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D4732" w14:textId="77777777" w:rsidR="008A6059" w:rsidRPr="009B7433" w:rsidRDefault="002211AB" w:rsidP="008A6059">
      <w:pPr>
        <w:jc w:val="center"/>
        <w:rPr>
          <w:rFonts w:ascii="Book Antiqua" w:hAnsi="Book Antiqua" w:cs="Arial"/>
          <w:caps/>
          <w:color w:val="000000"/>
          <w:sz w:val="16"/>
          <w:szCs w:val="16"/>
        </w:rPr>
      </w:pPr>
      <w:r>
        <w:rPr>
          <w:noProof/>
          <w:lang w:val="en-US" w:eastAsia="en-US"/>
        </w:rPr>
        <w:drawing>
          <wp:inline distT="0" distB="0" distL="0" distR="0" wp14:anchorId="54823CF0" wp14:editId="156A1C74">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14:paraId="364CD872"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3D1867EE" w14:textId="62D5D35D" w:rsidR="007B0824" w:rsidRPr="00813EDE"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813EDE">
        <w:rPr>
          <w:rFonts w:ascii="Book Antiqua" w:hAnsi="Book Antiqua" w:cs="Arial"/>
          <w:b/>
          <w:color w:val="000000"/>
        </w:rPr>
        <w:t xml:space="preserve">   </w:t>
      </w:r>
      <w:proofErr w:type="gramEnd"/>
      <w:r w:rsidR="00813EDE">
        <w:rPr>
          <w:rFonts w:ascii="Book Antiqua" w:hAnsi="Book Antiqua" w:cs="Arial"/>
          <w:b/>
          <w:color w:val="000000"/>
        </w:rPr>
        <w:t xml:space="preserve">                </w:t>
      </w:r>
      <w:r w:rsidR="00B81464">
        <w:rPr>
          <w:rFonts w:ascii="Book Antiqua" w:hAnsi="Book Antiqua" w:cs="Arial"/>
          <w:b/>
          <w:color w:val="000000"/>
        </w:rPr>
        <w:t xml:space="preserve"> </w:t>
      </w:r>
      <w:r w:rsidR="00B3524D" w:rsidRPr="00813EDE">
        <w:rPr>
          <w:rFonts w:ascii="Book Antiqua" w:hAnsi="Book Antiqua" w:cs="Arial"/>
          <w:b/>
          <w:color w:val="000000"/>
        </w:rPr>
        <w:t>Appeal Number</w:t>
      </w:r>
      <w:r w:rsidR="00D53769" w:rsidRPr="00813EDE">
        <w:rPr>
          <w:rFonts w:ascii="Book Antiqua" w:hAnsi="Book Antiqua" w:cs="Arial"/>
          <w:b/>
          <w:color w:val="000000"/>
        </w:rPr>
        <w:t>:</w:t>
      </w:r>
      <w:r w:rsidR="00B3524D" w:rsidRPr="00813EDE">
        <w:rPr>
          <w:rFonts w:ascii="Book Antiqua" w:hAnsi="Book Antiqua" w:cs="Arial"/>
          <w:b/>
          <w:color w:val="000000"/>
        </w:rPr>
        <w:t xml:space="preserve"> </w:t>
      </w:r>
      <w:r w:rsidR="001504A4" w:rsidRPr="00813EDE">
        <w:rPr>
          <w:rFonts w:ascii="Book Antiqua" w:hAnsi="Book Antiqua" w:cs="Arial"/>
          <w:b/>
          <w:caps/>
          <w:color w:val="000000"/>
        </w:rPr>
        <w:t>EA/06575/2017</w:t>
      </w:r>
    </w:p>
    <w:p w14:paraId="6C57D91E" w14:textId="77777777" w:rsidR="00C345E1" w:rsidRPr="009B7433" w:rsidRDefault="00C345E1" w:rsidP="00C345E1">
      <w:pPr>
        <w:jc w:val="center"/>
        <w:rPr>
          <w:rFonts w:ascii="Book Antiqua" w:hAnsi="Book Antiqua" w:cs="Arial"/>
          <w:color w:val="000000"/>
        </w:rPr>
      </w:pPr>
    </w:p>
    <w:p w14:paraId="5C93D9D8"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701A8195" w14:textId="77777777"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962"/>
        <w:gridCol w:w="1086"/>
        <w:gridCol w:w="3960"/>
      </w:tblGrid>
      <w:tr w:rsidR="00D22636" w:rsidRPr="009B7433" w14:paraId="1ACAF531" w14:textId="77777777" w:rsidTr="00813EDE">
        <w:tc>
          <w:tcPr>
            <w:tcW w:w="4962" w:type="dxa"/>
          </w:tcPr>
          <w:p w14:paraId="43EA1B9A"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1504A4">
              <w:rPr>
                <w:rFonts w:ascii="Book Antiqua" w:hAnsi="Book Antiqua" w:cs="Arial"/>
                <w:b/>
              </w:rPr>
              <w:t>Field House</w:t>
            </w:r>
          </w:p>
        </w:tc>
        <w:tc>
          <w:tcPr>
            <w:tcW w:w="5046" w:type="dxa"/>
            <w:gridSpan w:val="2"/>
          </w:tcPr>
          <w:p w14:paraId="0731C122" w14:textId="167FADCC" w:rsidR="00D22636" w:rsidRPr="009B7433" w:rsidRDefault="00813EDE" w:rsidP="00093D4D">
            <w:pPr>
              <w:jc w:val="both"/>
              <w:rPr>
                <w:rFonts w:ascii="Book Antiqua" w:hAnsi="Book Antiqua" w:cs="Arial"/>
                <w:b/>
                <w:color w:val="000000"/>
              </w:rPr>
            </w:pPr>
            <w:r>
              <w:rPr>
                <w:rFonts w:ascii="Book Antiqua" w:hAnsi="Book Antiqua" w:cs="Arial"/>
                <w:b/>
                <w:color w:val="000000"/>
              </w:rPr>
              <w:t xml:space="preserve"> </w:t>
            </w:r>
            <w:r w:rsidR="00B81464">
              <w:rPr>
                <w:rFonts w:ascii="Book Antiqua" w:hAnsi="Book Antiqua" w:cs="Arial"/>
                <w:b/>
                <w:color w:val="000000"/>
              </w:rPr>
              <w:t xml:space="preserve"> </w:t>
            </w:r>
            <w:r w:rsidR="00D949B7">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14:paraId="58F51959" w14:textId="77777777" w:rsidTr="00813EDE">
        <w:tc>
          <w:tcPr>
            <w:tcW w:w="4962" w:type="dxa"/>
          </w:tcPr>
          <w:p w14:paraId="772D2958"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1504A4">
              <w:rPr>
                <w:rFonts w:ascii="Book Antiqua" w:hAnsi="Book Antiqua" w:cs="Arial"/>
                <w:b/>
              </w:rPr>
              <w:t>5 November 2018</w:t>
            </w:r>
          </w:p>
        </w:tc>
        <w:tc>
          <w:tcPr>
            <w:tcW w:w="5046" w:type="dxa"/>
            <w:gridSpan w:val="2"/>
          </w:tcPr>
          <w:p w14:paraId="1A981F4A" w14:textId="0EDFA510" w:rsidR="00D22636" w:rsidRPr="009B7433" w:rsidRDefault="00813EDE" w:rsidP="004A1848">
            <w:pPr>
              <w:jc w:val="both"/>
              <w:rPr>
                <w:rFonts w:ascii="Book Antiqua" w:hAnsi="Book Antiqua" w:cs="Arial"/>
                <w:b/>
              </w:rPr>
            </w:pPr>
            <w:r>
              <w:rPr>
                <w:rFonts w:ascii="Book Antiqua" w:hAnsi="Book Antiqua" w:cs="Arial"/>
                <w:b/>
              </w:rPr>
              <w:t xml:space="preserve"> </w:t>
            </w:r>
            <w:r w:rsidR="00B81464">
              <w:rPr>
                <w:rFonts w:ascii="Book Antiqua" w:hAnsi="Book Antiqua" w:cs="Arial"/>
                <w:b/>
              </w:rPr>
              <w:t xml:space="preserve"> </w:t>
            </w:r>
            <w:r w:rsidR="00EA6A94">
              <w:rPr>
                <w:rFonts w:ascii="Book Antiqua" w:hAnsi="Book Antiqua" w:cs="Arial"/>
                <w:b/>
              </w:rPr>
              <w:t xml:space="preserve">On 19 November 2018 </w:t>
            </w:r>
          </w:p>
        </w:tc>
      </w:tr>
      <w:tr w:rsidR="00D22636" w:rsidRPr="009B7433" w14:paraId="67EC7ED6" w14:textId="77777777" w:rsidTr="00EA6A94">
        <w:tc>
          <w:tcPr>
            <w:tcW w:w="6048" w:type="dxa"/>
            <w:gridSpan w:val="2"/>
          </w:tcPr>
          <w:p w14:paraId="4DDA3F67" w14:textId="77777777" w:rsidR="00D22636" w:rsidRPr="009B7433" w:rsidRDefault="00D22636" w:rsidP="004A1848">
            <w:pPr>
              <w:jc w:val="both"/>
              <w:rPr>
                <w:rFonts w:ascii="Book Antiqua" w:hAnsi="Book Antiqua" w:cs="Arial"/>
                <w:b/>
              </w:rPr>
            </w:pPr>
          </w:p>
        </w:tc>
        <w:tc>
          <w:tcPr>
            <w:tcW w:w="3960" w:type="dxa"/>
          </w:tcPr>
          <w:p w14:paraId="48BF249D" w14:textId="7FED7F9B" w:rsidR="00D22636" w:rsidRPr="009B7433" w:rsidRDefault="00D22636" w:rsidP="004A1848">
            <w:pPr>
              <w:jc w:val="both"/>
              <w:rPr>
                <w:rFonts w:ascii="Book Antiqua" w:hAnsi="Book Antiqua" w:cs="Arial"/>
                <w:b/>
              </w:rPr>
            </w:pPr>
          </w:p>
        </w:tc>
      </w:tr>
    </w:tbl>
    <w:p w14:paraId="5E7AB435" w14:textId="77777777" w:rsidR="00A15234" w:rsidRPr="009B7433" w:rsidRDefault="00A15234" w:rsidP="007B04B2">
      <w:pPr>
        <w:rPr>
          <w:rFonts w:ascii="Book Antiqua" w:hAnsi="Book Antiqua" w:cs="Arial"/>
        </w:rPr>
      </w:pPr>
    </w:p>
    <w:p w14:paraId="24602F18"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18FB7D65" w14:textId="77777777" w:rsidR="00A15234" w:rsidRDefault="00A15234" w:rsidP="00A15234">
      <w:pPr>
        <w:jc w:val="center"/>
        <w:rPr>
          <w:rFonts w:ascii="Book Antiqua" w:hAnsi="Book Antiqua" w:cs="Arial"/>
          <w:b/>
        </w:rPr>
      </w:pPr>
    </w:p>
    <w:p w14:paraId="03063EB9" w14:textId="77777777" w:rsidR="001C3EBC" w:rsidRPr="009B7433" w:rsidRDefault="001C3EBC" w:rsidP="00A15234">
      <w:pPr>
        <w:jc w:val="center"/>
        <w:rPr>
          <w:rFonts w:ascii="Book Antiqua" w:hAnsi="Book Antiqua" w:cs="Arial"/>
          <w:b/>
        </w:rPr>
      </w:pPr>
      <w:r>
        <w:rPr>
          <w:rFonts w:ascii="Book Antiqua" w:hAnsi="Book Antiqua" w:cs="Arial"/>
          <w:b/>
        </w:rPr>
        <w:t>UPPER TRIBUNAL JUDGE BRUCE</w:t>
      </w:r>
    </w:p>
    <w:p w14:paraId="21A0E712" w14:textId="77777777" w:rsidR="001B186A" w:rsidRPr="009B7433" w:rsidRDefault="00FE6895" w:rsidP="001504A4">
      <w:pPr>
        <w:jc w:val="center"/>
        <w:rPr>
          <w:rFonts w:ascii="Book Antiqua" w:hAnsi="Book Antiqua" w:cs="Arial"/>
          <w:b/>
          <w:color w:val="000000"/>
        </w:rPr>
      </w:pPr>
      <w:r>
        <w:rPr>
          <w:rFonts w:ascii="Book Antiqua" w:hAnsi="Book Antiqua" w:cs="Arial"/>
          <w:b/>
          <w:color w:val="000000"/>
        </w:rPr>
        <w:t>DEPUTY UPPER TRIBUNAL JUDGE NORTON-TAYLOR</w:t>
      </w:r>
    </w:p>
    <w:p w14:paraId="34CD694B" w14:textId="77777777" w:rsidR="00D20757" w:rsidRPr="009B7433" w:rsidRDefault="00D20757" w:rsidP="00A15234">
      <w:pPr>
        <w:jc w:val="center"/>
        <w:rPr>
          <w:rFonts w:ascii="Book Antiqua" w:hAnsi="Book Antiqua" w:cs="Arial"/>
          <w:b/>
        </w:rPr>
      </w:pPr>
    </w:p>
    <w:p w14:paraId="474D453A" w14:textId="77777777"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7A6599E2" w14:textId="77777777" w:rsidR="00A845DC" w:rsidRPr="009B7433" w:rsidRDefault="00A845DC" w:rsidP="00A15234">
      <w:pPr>
        <w:jc w:val="center"/>
        <w:rPr>
          <w:rFonts w:ascii="Book Antiqua" w:hAnsi="Book Antiqua" w:cs="Arial"/>
          <w:b/>
        </w:rPr>
      </w:pPr>
    </w:p>
    <w:p w14:paraId="26CD6ECF" w14:textId="77777777" w:rsidR="00A845DC" w:rsidRDefault="00DB3BB4" w:rsidP="00A15234">
      <w:pPr>
        <w:jc w:val="center"/>
        <w:rPr>
          <w:rFonts w:ascii="Book Antiqua" w:hAnsi="Book Antiqua" w:cs="Arial"/>
          <w:b/>
          <w:caps/>
        </w:rPr>
      </w:pPr>
      <w:r>
        <w:rPr>
          <w:rFonts w:ascii="Book Antiqua" w:hAnsi="Book Antiqua" w:cs="Arial"/>
          <w:b/>
          <w:caps/>
        </w:rPr>
        <w:t xml:space="preserve">MR </w:t>
      </w:r>
      <w:r w:rsidR="00A051E6" w:rsidRPr="00A051E6">
        <w:rPr>
          <w:rFonts w:ascii="Book Antiqua" w:hAnsi="Book Antiqua" w:cs="Arial"/>
          <w:b/>
          <w:caps/>
        </w:rPr>
        <w:t>Yves Pentecote Amakoue</w:t>
      </w:r>
      <w:r w:rsidR="00A051E6">
        <w:rPr>
          <w:rFonts w:ascii="Book Antiqua" w:hAnsi="Book Antiqua" w:cs="Arial"/>
          <w:b/>
          <w:caps/>
        </w:rPr>
        <w:t xml:space="preserve"> </w:t>
      </w:r>
      <w:r w:rsidR="00A051E6" w:rsidRPr="00A051E6">
        <w:rPr>
          <w:rFonts w:ascii="Book Antiqua" w:hAnsi="Book Antiqua" w:cs="Arial"/>
          <w:b/>
          <w:caps/>
        </w:rPr>
        <w:t>Anani</w:t>
      </w:r>
    </w:p>
    <w:p w14:paraId="2FF8B98C" w14:textId="619E0D27" w:rsidR="00704B61" w:rsidRPr="00813EDE" w:rsidRDefault="00D949B7" w:rsidP="007B04B2">
      <w:pPr>
        <w:jc w:val="center"/>
        <w:rPr>
          <w:rFonts w:ascii="Book Antiqua" w:hAnsi="Book Antiqua" w:cs="Arial"/>
          <w:caps/>
        </w:rPr>
      </w:pPr>
      <w:r w:rsidRPr="00813EDE">
        <w:rPr>
          <w:rFonts w:ascii="Book Antiqua" w:hAnsi="Book Antiqua" w:cs="Arial"/>
          <w:caps/>
        </w:rPr>
        <w:t>(ANONYMITY DIRECTION</w:t>
      </w:r>
      <w:r w:rsidR="001C3EBC" w:rsidRPr="00813EDE">
        <w:rPr>
          <w:rFonts w:ascii="Book Antiqua" w:hAnsi="Book Antiqua" w:cs="Arial"/>
          <w:caps/>
        </w:rPr>
        <w:t xml:space="preserve"> NOT MADE</w:t>
      </w:r>
      <w:r w:rsidRPr="00813EDE">
        <w:rPr>
          <w:rFonts w:ascii="Book Antiqua" w:hAnsi="Book Antiqua" w:cs="Arial"/>
          <w:caps/>
        </w:rPr>
        <w:t>)</w:t>
      </w:r>
    </w:p>
    <w:p w14:paraId="73F309D8"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14:paraId="3345481E" w14:textId="77777777" w:rsidR="00813EDE" w:rsidRDefault="00813EDE" w:rsidP="00704B61">
      <w:pPr>
        <w:jc w:val="center"/>
        <w:rPr>
          <w:rFonts w:ascii="Book Antiqua" w:hAnsi="Book Antiqua" w:cs="Arial"/>
          <w:b/>
        </w:rPr>
      </w:pPr>
    </w:p>
    <w:p w14:paraId="4DCDA971" w14:textId="663FA90D" w:rsidR="00704B61" w:rsidRPr="009B7433" w:rsidRDefault="00DD5071" w:rsidP="00704B61">
      <w:pPr>
        <w:jc w:val="center"/>
        <w:rPr>
          <w:rFonts w:ascii="Book Antiqua" w:hAnsi="Book Antiqua" w:cs="Arial"/>
          <w:b/>
        </w:rPr>
      </w:pPr>
      <w:r w:rsidRPr="009B7433">
        <w:rPr>
          <w:rFonts w:ascii="Book Antiqua" w:hAnsi="Book Antiqua" w:cs="Arial"/>
          <w:b/>
        </w:rPr>
        <w:t>and</w:t>
      </w:r>
    </w:p>
    <w:p w14:paraId="65EA2532" w14:textId="41586753" w:rsidR="00DD5071" w:rsidRDefault="00DD5071" w:rsidP="00704B61">
      <w:pPr>
        <w:jc w:val="center"/>
        <w:rPr>
          <w:rFonts w:ascii="Book Antiqua" w:hAnsi="Book Antiqua" w:cs="Arial"/>
          <w:b/>
        </w:rPr>
      </w:pPr>
    </w:p>
    <w:p w14:paraId="7780A494" w14:textId="17E18E31" w:rsidR="00813EDE" w:rsidRPr="009B7433" w:rsidRDefault="00813EDE" w:rsidP="00704B61">
      <w:pPr>
        <w:jc w:val="center"/>
        <w:rPr>
          <w:rFonts w:ascii="Book Antiqua" w:hAnsi="Book Antiqua" w:cs="Arial"/>
          <w:b/>
        </w:rPr>
      </w:pPr>
      <w:r>
        <w:rPr>
          <w:rFonts w:ascii="Book Antiqua" w:hAnsi="Book Antiqua" w:cs="Arial"/>
          <w:b/>
        </w:rPr>
        <w:t>THE SECRETARY OF STATE FOR THE HOME DEPARTMENT</w:t>
      </w:r>
    </w:p>
    <w:p w14:paraId="4BF1E988" w14:textId="77777777"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14:paraId="1A98EB0A" w14:textId="77777777" w:rsidR="00DD5071" w:rsidRPr="009B7433" w:rsidRDefault="00DD5071" w:rsidP="00DD5071">
      <w:pPr>
        <w:rPr>
          <w:rFonts w:ascii="Book Antiqua" w:hAnsi="Book Antiqua" w:cs="Arial"/>
          <w:u w:val="single"/>
        </w:rPr>
      </w:pPr>
    </w:p>
    <w:p w14:paraId="2707B199" w14:textId="77777777"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6D34F21A" w14:textId="77777777" w:rsidR="00DE7DB7" w:rsidRPr="009B7433" w:rsidRDefault="00DE7DB7" w:rsidP="00DD5071">
      <w:pPr>
        <w:rPr>
          <w:rFonts w:ascii="Book Antiqua" w:hAnsi="Book Antiqua" w:cs="Arial"/>
        </w:rPr>
      </w:pPr>
    </w:p>
    <w:p w14:paraId="2338C024"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1C3EBC">
        <w:rPr>
          <w:rFonts w:ascii="Book Antiqua" w:hAnsi="Book Antiqua" w:cs="Arial"/>
        </w:rPr>
        <w:t>Ms K Joshi, solicitor from Joshi Advocates</w:t>
      </w:r>
    </w:p>
    <w:p w14:paraId="532FDFBF"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1504A4">
        <w:rPr>
          <w:rFonts w:ascii="Book Antiqua" w:hAnsi="Book Antiqua" w:cs="Arial"/>
        </w:rPr>
        <w:t xml:space="preserve">Mr D Clarke, </w:t>
      </w:r>
      <w:r w:rsidR="001C3EBC">
        <w:rPr>
          <w:rFonts w:ascii="Book Antiqua" w:hAnsi="Book Antiqua" w:cs="Arial"/>
        </w:rPr>
        <w:t xml:space="preserve">Senior </w:t>
      </w:r>
      <w:r w:rsidR="001504A4">
        <w:rPr>
          <w:rFonts w:ascii="Book Antiqua" w:hAnsi="Book Antiqua" w:cs="Arial"/>
        </w:rPr>
        <w:t>Home Office Presenting Officer</w:t>
      </w:r>
    </w:p>
    <w:p w14:paraId="2BA01FDF" w14:textId="77777777" w:rsidR="00DE7DB7" w:rsidRPr="009B7433" w:rsidRDefault="00DE7DB7" w:rsidP="00402B9E">
      <w:pPr>
        <w:tabs>
          <w:tab w:val="left" w:pos="2520"/>
        </w:tabs>
        <w:jc w:val="center"/>
        <w:rPr>
          <w:rFonts w:ascii="Book Antiqua" w:hAnsi="Book Antiqua" w:cs="Arial"/>
        </w:rPr>
      </w:pPr>
    </w:p>
    <w:p w14:paraId="38F379EA" w14:textId="77777777"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14:paraId="563BED45" w14:textId="540A5E96" w:rsidR="00DD6B35" w:rsidRPr="00DD6B35" w:rsidRDefault="00DD6B35" w:rsidP="00DD6B35">
      <w:pPr>
        <w:spacing w:before="240"/>
        <w:jc w:val="both"/>
        <w:rPr>
          <w:rFonts w:ascii="Book Antiqua" w:hAnsi="Book Antiqua" w:cs="Arial"/>
          <w:b/>
          <w:u w:val="single"/>
        </w:rPr>
      </w:pPr>
      <w:r w:rsidRPr="00DD6B35">
        <w:rPr>
          <w:rFonts w:ascii="Book Antiqua" w:hAnsi="Book Antiqua" w:cs="Arial"/>
          <w:b/>
          <w:u w:val="single"/>
        </w:rPr>
        <w:t>Introduction</w:t>
      </w:r>
    </w:p>
    <w:p w14:paraId="4AF0083C" w14:textId="77777777" w:rsidR="00DD6B35" w:rsidRDefault="00FE0AEF" w:rsidP="00CD4CF3">
      <w:pPr>
        <w:numPr>
          <w:ilvl w:val="0"/>
          <w:numId w:val="1"/>
        </w:numPr>
        <w:tabs>
          <w:tab w:val="clear" w:pos="567"/>
        </w:tabs>
        <w:spacing w:before="240"/>
        <w:jc w:val="both"/>
        <w:rPr>
          <w:rFonts w:ascii="Book Antiqua" w:hAnsi="Book Antiqua" w:cs="Arial"/>
        </w:rPr>
      </w:pPr>
      <w:r>
        <w:rPr>
          <w:rFonts w:ascii="Book Antiqua" w:hAnsi="Book Antiqua" w:cs="Arial"/>
        </w:rPr>
        <w:t>This is a challenge by the Appellant against the decision of First-tier Tribunal Judge Kainth</w:t>
      </w:r>
      <w:r w:rsidR="00461263">
        <w:rPr>
          <w:rFonts w:ascii="Book Antiqua" w:hAnsi="Book Antiqua" w:cs="Arial"/>
        </w:rPr>
        <w:t xml:space="preserve"> (the judge)</w:t>
      </w:r>
      <w:r w:rsidR="00DD6B35">
        <w:rPr>
          <w:rFonts w:ascii="Book Antiqua" w:hAnsi="Book Antiqua" w:cs="Arial"/>
        </w:rPr>
        <w:t>,</w:t>
      </w:r>
      <w:r w:rsidR="00461263">
        <w:rPr>
          <w:rFonts w:ascii="Book Antiqua" w:hAnsi="Book Antiqua" w:cs="Arial"/>
        </w:rPr>
        <w:t xml:space="preserve"> promulgated on 25 June </w:t>
      </w:r>
      <w:r w:rsidR="00B41D5D">
        <w:rPr>
          <w:rFonts w:ascii="Book Antiqua" w:hAnsi="Book Antiqua" w:cs="Arial"/>
        </w:rPr>
        <w:t>2018</w:t>
      </w:r>
      <w:r w:rsidR="00DD6B35">
        <w:rPr>
          <w:rFonts w:ascii="Book Antiqua" w:hAnsi="Book Antiqua" w:cs="Arial"/>
        </w:rPr>
        <w:t>, in which he dismissed the Appellant’s</w:t>
      </w:r>
      <w:r w:rsidR="00461263">
        <w:rPr>
          <w:rFonts w:ascii="Book Antiqua" w:hAnsi="Book Antiqua" w:cs="Arial"/>
        </w:rPr>
        <w:t xml:space="preserve"> ap</w:t>
      </w:r>
      <w:r w:rsidR="003175E4">
        <w:rPr>
          <w:rFonts w:ascii="Book Antiqua" w:hAnsi="Book Antiqua" w:cs="Arial"/>
        </w:rPr>
        <w:t>peal against a decision of the R</w:t>
      </w:r>
      <w:r w:rsidR="00461263">
        <w:rPr>
          <w:rFonts w:ascii="Book Antiqua" w:hAnsi="Book Antiqua" w:cs="Arial"/>
        </w:rPr>
        <w:t xml:space="preserve">espondent, dated 14 July 2017, refusing to issue him with a residence card under the Immigration (European Economic Area) Regulations 2016 (the Regulations).  </w:t>
      </w:r>
    </w:p>
    <w:p w14:paraId="5A96D5CC" w14:textId="77777777" w:rsidR="00DD6B35" w:rsidRDefault="00461263" w:rsidP="00CD4CF3">
      <w:pPr>
        <w:numPr>
          <w:ilvl w:val="0"/>
          <w:numId w:val="1"/>
        </w:numPr>
        <w:tabs>
          <w:tab w:val="clear" w:pos="567"/>
        </w:tabs>
        <w:spacing w:before="240"/>
        <w:jc w:val="both"/>
        <w:rPr>
          <w:rFonts w:ascii="Book Antiqua" w:hAnsi="Book Antiqua" w:cs="Arial"/>
        </w:rPr>
      </w:pPr>
      <w:r>
        <w:rPr>
          <w:rFonts w:ascii="Book Antiqua" w:hAnsi="Book Antiqua" w:cs="Arial"/>
        </w:rPr>
        <w:t>In essence</w:t>
      </w:r>
      <w:r w:rsidR="00DD6B35">
        <w:rPr>
          <w:rFonts w:ascii="Book Antiqua" w:hAnsi="Book Antiqua" w:cs="Arial"/>
        </w:rPr>
        <w:t>,</w:t>
      </w:r>
      <w:r>
        <w:rPr>
          <w:rFonts w:ascii="Book Antiqua" w:hAnsi="Book Antiqua" w:cs="Arial"/>
        </w:rPr>
        <w:t xml:space="preserve"> the Appellant’s case was that he had undertaken a proxy marriage </w:t>
      </w:r>
      <w:r w:rsidR="00DD6B35">
        <w:rPr>
          <w:rFonts w:ascii="Book Antiqua" w:hAnsi="Book Antiqua" w:cs="Arial"/>
        </w:rPr>
        <w:t xml:space="preserve">in 2014 </w:t>
      </w:r>
      <w:r>
        <w:rPr>
          <w:rFonts w:ascii="Book Antiqua" w:hAnsi="Book Antiqua" w:cs="Arial"/>
        </w:rPr>
        <w:t>with an EEA national (a citizen of France</w:t>
      </w:r>
      <w:r w:rsidR="00DD6B35">
        <w:rPr>
          <w:rFonts w:ascii="Book Antiqua" w:hAnsi="Book Antiqua" w:cs="Arial"/>
        </w:rPr>
        <w:t>) under the law of Benin</w:t>
      </w:r>
      <w:r>
        <w:rPr>
          <w:rFonts w:ascii="Book Antiqua" w:hAnsi="Book Antiqua" w:cs="Arial"/>
        </w:rPr>
        <w:t>.  He asserted that this was a perfectly genuine marriage and that he had been in a subsisting and genuine relationship ever since.  I</w:t>
      </w:r>
      <w:r w:rsidR="00C03E61">
        <w:rPr>
          <w:rFonts w:ascii="Book Antiqua" w:hAnsi="Book Antiqua" w:cs="Arial"/>
        </w:rPr>
        <w:t>n refusing the application</w:t>
      </w:r>
      <w:r w:rsidR="00DD6B35">
        <w:rPr>
          <w:rFonts w:ascii="Book Antiqua" w:hAnsi="Book Antiqua" w:cs="Arial"/>
        </w:rPr>
        <w:t>,</w:t>
      </w:r>
      <w:r w:rsidR="00C03E61">
        <w:rPr>
          <w:rFonts w:ascii="Book Antiqua" w:hAnsi="Book Antiqua" w:cs="Arial"/>
        </w:rPr>
        <w:t xml:space="preserve"> the R</w:t>
      </w:r>
      <w:r>
        <w:rPr>
          <w:rFonts w:ascii="Book Antiqua" w:hAnsi="Book Antiqua" w:cs="Arial"/>
        </w:rPr>
        <w:t xml:space="preserve">espondent had concluded </w:t>
      </w:r>
      <w:r>
        <w:rPr>
          <w:rFonts w:ascii="Book Antiqua" w:hAnsi="Book Antiqua" w:cs="Arial"/>
        </w:rPr>
        <w:lastRenderedPageBreak/>
        <w:t>that no such valid proxy marriage h</w:t>
      </w:r>
      <w:r w:rsidR="00DD6B35">
        <w:rPr>
          <w:rFonts w:ascii="Book Antiqua" w:hAnsi="Book Antiqua" w:cs="Arial"/>
        </w:rPr>
        <w:t>ad in fact taken place in Benin and, in the alternative,</w:t>
      </w:r>
      <w:r>
        <w:rPr>
          <w:rFonts w:ascii="Book Antiqua" w:hAnsi="Book Antiqua" w:cs="Arial"/>
        </w:rPr>
        <w:t xml:space="preserve"> that any marriage contracted was one of convenience only.</w:t>
      </w:r>
    </w:p>
    <w:p w14:paraId="56D33960" w14:textId="16F0AB9D" w:rsidR="00461263" w:rsidRPr="00461263" w:rsidRDefault="00461263" w:rsidP="00510953">
      <w:pPr>
        <w:spacing w:before="240"/>
        <w:ind w:left="-142"/>
        <w:jc w:val="both"/>
        <w:rPr>
          <w:rFonts w:ascii="Book Antiqua" w:hAnsi="Book Antiqua" w:cs="Arial"/>
          <w:b/>
          <w:u w:val="single"/>
        </w:rPr>
      </w:pPr>
      <w:r>
        <w:rPr>
          <w:rFonts w:ascii="Book Antiqua" w:hAnsi="Book Antiqua" w:cs="Arial"/>
        </w:rPr>
        <w:t xml:space="preserve">  </w:t>
      </w:r>
      <w:r w:rsidR="00DD6B35">
        <w:rPr>
          <w:rFonts w:ascii="Book Antiqua" w:hAnsi="Book Antiqua" w:cs="Arial"/>
          <w:b/>
          <w:u w:val="single"/>
        </w:rPr>
        <w:t>The judge’s d</w:t>
      </w:r>
      <w:r w:rsidRPr="00461263">
        <w:rPr>
          <w:rFonts w:ascii="Book Antiqua" w:hAnsi="Book Antiqua" w:cs="Arial"/>
          <w:b/>
          <w:u w:val="single"/>
        </w:rPr>
        <w:t>ecision</w:t>
      </w:r>
    </w:p>
    <w:p w14:paraId="0D929F8C" w14:textId="7F1586DA" w:rsidR="00DD6B35" w:rsidRDefault="00461263" w:rsidP="00CD4CF3">
      <w:pPr>
        <w:numPr>
          <w:ilvl w:val="0"/>
          <w:numId w:val="1"/>
        </w:numPr>
        <w:tabs>
          <w:tab w:val="clear" w:pos="567"/>
        </w:tabs>
        <w:spacing w:before="240"/>
        <w:jc w:val="both"/>
        <w:rPr>
          <w:rFonts w:ascii="Book Antiqua" w:hAnsi="Book Antiqua" w:cs="Arial"/>
        </w:rPr>
      </w:pPr>
      <w:r>
        <w:rPr>
          <w:rFonts w:ascii="Book Antiqua" w:hAnsi="Book Antiqua" w:cs="Arial"/>
        </w:rPr>
        <w:t>The Appellant opted to have his appeal deter</w:t>
      </w:r>
      <w:r w:rsidR="00DD6B35">
        <w:rPr>
          <w:rFonts w:ascii="Book Antiqua" w:hAnsi="Book Antiqua" w:cs="Arial"/>
        </w:rPr>
        <w:t>mined without an oral hearing.</w:t>
      </w:r>
      <w:r>
        <w:rPr>
          <w:rFonts w:ascii="Book Antiqua" w:hAnsi="Book Antiqua" w:cs="Arial"/>
        </w:rPr>
        <w:t xml:space="preserve">  The judge noted that </w:t>
      </w:r>
      <w:r w:rsidR="00DD6B35">
        <w:rPr>
          <w:rFonts w:ascii="Book Antiqua" w:hAnsi="Book Antiqua" w:cs="Arial"/>
        </w:rPr>
        <w:t xml:space="preserve">although </w:t>
      </w:r>
      <w:r>
        <w:rPr>
          <w:rFonts w:ascii="Book Antiqua" w:hAnsi="Book Antiqua" w:cs="Arial"/>
        </w:rPr>
        <w:t>there was no Respondent’s bundl</w:t>
      </w:r>
      <w:r w:rsidR="00DD6B35">
        <w:rPr>
          <w:rFonts w:ascii="Book Antiqua" w:hAnsi="Book Antiqua" w:cs="Arial"/>
        </w:rPr>
        <w:t xml:space="preserve">e before him, </w:t>
      </w:r>
      <w:r>
        <w:rPr>
          <w:rFonts w:ascii="Book Antiqua" w:hAnsi="Book Antiqua" w:cs="Arial"/>
        </w:rPr>
        <w:t xml:space="preserve">one </w:t>
      </w:r>
      <w:r w:rsidR="00DD6B35">
        <w:rPr>
          <w:rFonts w:ascii="Book Antiqua" w:hAnsi="Book Antiqua" w:cs="Arial"/>
        </w:rPr>
        <w:t>had been provided by the Appellant,</w:t>
      </w:r>
      <w:r>
        <w:rPr>
          <w:rFonts w:ascii="Book Antiqua" w:hAnsi="Book Antiqua" w:cs="Arial"/>
        </w:rPr>
        <w:t xml:space="preserve"> in compliance with standard directions of the First-tier Tribunal.  </w:t>
      </w:r>
    </w:p>
    <w:p w14:paraId="004CED39" w14:textId="69F77835" w:rsidR="007F5E7A" w:rsidRDefault="00461263" w:rsidP="00CD4CF3">
      <w:pPr>
        <w:numPr>
          <w:ilvl w:val="0"/>
          <w:numId w:val="1"/>
        </w:numPr>
        <w:tabs>
          <w:tab w:val="clear" w:pos="567"/>
        </w:tabs>
        <w:spacing w:before="240"/>
        <w:jc w:val="both"/>
        <w:rPr>
          <w:rFonts w:ascii="Book Antiqua" w:hAnsi="Book Antiqua" w:cs="Arial"/>
        </w:rPr>
      </w:pPr>
      <w:r>
        <w:rPr>
          <w:rFonts w:ascii="Book Antiqua" w:hAnsi="Book Antiqua" w:cs="Arial"/>
        </w:rPr>
        <w:t>In respect of the proxy marriage issue</w:t>
      </w:r>
      <w:r w:rsidR="00DD6B35">
        <w:rPr>
          <w:rFonts w:ascii="Book Antiqua" w:hAnsi="Book Antiqua" w:cs="Arial"/>
        </w:rPr>
        <w:t>,</w:t>
      </w:r>
      <w:r>
        <w:rPr>
          <w:rFonts w:ascii="Book Antiqua" w:hAnsi="Book Antiqua" w:cs="Arial"/>
        </w:rPr>
        <w:t xml:space="preserve"> the judge cites two decisions of the Upper Tribunal, </w:t>
      </w:r>
      <w:r w:rsidRPr="002367D6">
        <w:rPr>
          <w:rFonts w:ascii="Book Antiqua" w:hAnsi="Book Antiqua" w:cs="Arial"/>
          <w:u w:val="single"/>
        </w:rPr>
        <w:t>Kareem</w:t>
      </w:r>
      <w:r w:rsidR="00DD6B35">
        <w:rPr>
          <w:rFonts w:ascii="Book Antiqua" w:hAnsi="Book Antiqua" w:cs="Arial"/>
          <w:u w:val="single"/>
        </w:rPr>
        <w:t xml:space="preserve"> (Proxy marriages – EU law)</w:t>
      </w:r>
      <w:r>
        <w:rPr>
          <w:rFonts w:ascii="Book Antiqua" w:hAnsi="Book Antiqua" w:cs="Arial"/>
        </w:rPr>
        <w:t xml:space="preserve"> </w:t>
      </w:r>
      <w:r w:rsidR="00DD6B35">
        <w:rPr>
          <w:rFonts w:ascii="Book Antiqua" w:hAnsi="Book Antiqua" w:cs="Arial"/>
        </w:rPr>
        <w:t xml:space="preserve">[2104] UKUT 24 (IAC) </w:t>
      </w:r>
      <w:r>
        <w:rPr>
          <w:rFonts w:ascii="Book Antiqua" w:hAnsi="Book Antiqua" w:cs="Arial"/>
        </w:rPr>
        <w:t xml:space="preserve">and </w:t>
      </w:r>
      <w:proofErr w:type="spellStart"/>
      <w:r w:rsidRPr="002367D6">
        <w:rPr>
          <w:rFonts w:ascii="Book Antiqua" w:hAnsi="Book Antiqua" w:cs="Arial"/>
          <w:u w:val="single"/>
        </w:rPr>
        <w:t>Cudjo</w:t>
      </w:r>
      <w:r w:rsidR="00CD1A9A">
        <w:rPr>
          <w:rFonts w:ascii="Book Antiqua" w:hAnsi="Book Antiqua" w:cs="Arial"/>
          <w:u w:val="single"/>
        </w:rPr>
        <w:t>e</w:t>
      </w:r>
      <w:proofErr w:type="spellEnd"/>
      <w:r w:rsidR="00DD6B35">
        <w:rPr>
          <w:rFonts w:ascii="Book Antiqua" w:hAnsi="Book Antiqua" w:cs="Arial"/>
          <w:u w:val="single"/>
        </w:rPr>
        <w:t xml:space="preserve"> (Proxy marriages – burden of proof) </w:t>
      </w:r>
      <w:r w:rsidR="00DD6B35" w:rsidRPr="00DD6B35">
        <w:rPr>
          <w:rFonts w:ascii="Book Antiqua" w:hAnsi="Book Antiqua" w:cs="Arial"/>
        </w:rPr>
        <w:t>[2016] UKUT 180 (IAC</w:t>
      </w:r>
      <w:r w:rsidR="00DD6B35">
        <w:rPr>
          <w:rFonts w:ascii="Book Antiqua" w:hAnsi="Book Antiqua" w:cs="Arial"/>
          <w:u w:val="single"/>
        </w:rPr>
        <w:t>)</w:t>
      </w:r>
      <w:r>
        <w:rPr>
          <w:rFonts w:ascii="Book Antiqua" w:hAnsi="Book Antiqua" w:cs="Arial"/>
        </w:rPr>
        <w:t>.  He directed himself that it was for the Appellant to prove that the proxy marriage in Benin was valid according to the laws of that country.  In assessing the evidence he noted the existence of a letter from the Benin Consulate in the United Kingdom</w:t>
      </w:r>
      <w:r w:rsidR="00DD6B35">
        <w:rPr>
          <w:rFonts w:ascii="Book Antiqua" w:hAnsi="Book Antiqua" w:cs="Arial"/>
        </w:rPr>
        <w:t>,</w:t>
      </w:r>
      <w:r>
        <w:rPr>
          <w:rFonts w:ascii="Book Antiqua" w:hAnsi="Book Antiqua" w:cs="Arial"/>
        </w:rPr>
        <w:t xml:space="preserve"> dated 11 May 2018</w:t>
      </w:r>
      <w:r w:rsidR="00DD6B35">
        <w:rPr>
          <w:rFonts w:ascii="Book Antiqua" w:hAnsi="Book Antiqua" w:cs="Arial"/>
        </w:rPr>
        <w:t>,</w:t>
      </w:r>
      <w:r>
        <w:rPr>
          <w:rFonts w:ascii="Book Antiqua" w:hAnsi="Book Antiqua" w:cs="Arial"/>
        </w:rPr>
        <w:t xml:space="preserve"> which attested to the genuineness of the marriage certificate, which had al</w:t>
      </w:r>
      <w:r w:rsidR="00DD6B35">
        <w:rPr>
          <w:rFonts w:ascii="Book Antiqua" w:hAnsi="Book Antiqua" w:cs="Arial"/>
        </w:rPr>
        <w:t>so been provided.  At [</w:t>
      </w:r>
      <w:r>
        <w:rPr>
          <w:rFonts w:ascii="Book Antiqua" w:hAnsi="Book Antiqua" w:cs="Arial"/>
        </w:rPr>
        <w:t>15</w:t>
      </w:r>
      <w:r w:rsidR="00DD6B35">
        <w:rPr>
          <w:rFonts w:ascii="Book Antiqua" w:hAnsi="Book Antiqua" w:cs="Arial"/>
        </w:rPr>
        <w:t>]</w:t>
      </w:r>
      <w:r>
        <w:rPr>
          <w:rFonts w:ascii="Book Antiqua" w:hAnsi="Book Antiqua" w:cs="Arial"/>
        </w:rPr>
        <w:t xml:space="preserve"> the judge</w:t>
      </w:r>
      <w:r w:rsidR="003A4DFE">
        <w:rPr>
          <w:rFonts w:ascii="Book Antiqua" w:hAnsi="Book Antiqua" w:cs="Arial"/>
        </w:rPr>
        <w:t xml:space="preserve"> noted that the originals of the letter and marriage certificate had not been sent in to the Tribunal.  He concluded that he could not therefore attach any real weight </w:t>
      </w:r>
      <w:r w:rsidR="00F4779E">
        <w:rPr>
          <w:rFonts w:ascii="Book Antiqua" w:hAnsi="Book Antiqua" w:cs="Arial"/>
        </w:rPr>
        <w:t>to the photocopied documents.  In addition h</w:t>
      </w:r>
      <w:r w:rsidR="003A4DFE">
        <w:rPr>
          <w:rFonts w:ascii="Book Antiqua" w:hAnsi="Book Antiqua" w:cs="Arial"/>
        </w:rPr>
        <w:t>e stated that he had not been directed to any “Benin legislation” which suggested that the</w:t>
      </w:r>
      <w:r w:rsidR="00DD6B35">
        <w:rPr>
          <w:rFonts w:ascii="Book Antiqua" w:hAnsi="Book Antiqua" w:cs="Arial"/>
        </w:rPr>
        <w:t xml:space="preserve"> C</w:t>
      </w:r>
      <w:r w:rsidR="005660DA">
        <w:rPr>
          <w:rFonts w:ascii="Book Antiqua" w:hAnsi="Book Antiqua" w:cs="Arial"/>
        </w:rPr>
        <w:t xml:space="preserve">onsulate </w:t>
      </w:r>
      <w:r w:rsidR="003A4DFE">
        <w:rPr>
          <w:rFonts w:ascii="Book Antiqua" w:hAnsi="Book Antiqua" w:cs="Arial"/>
        </w:rPr>
        <w:t xml:space="preserve">in the United Kingdom was a “designated and authorised authority” able to confirm the validity of the marriage certificate.  In light of this the judge concluded that the Appellant had failed to show that his proxy marriage was valid according to the laws of Benin.  </w:t>
      </w:r>
    </w:p>
    <w:p w14:paraId="223552EA" w14:textId="4F7D65F3" w:rsidR="00461263" w:rsidRDefault="003A4DFE"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The judge then moves on to the marriage of convenience issue.  He cites </w:t>
      </w:r>
      <w:proofErr w:type="spellStart"/>
      <w:r w:rsidRPr="008D41D9">
        <w:rPr>
          <w:rFonts w:ascii="Book Antiqua" w:hAnsi="Book Antiqua" w:cs="Arial"/>
          <w:u w:val="single"/>
        </w:rPr>
        <w:t>Papajorgji</w:t>
      </w:r>
      <w:proofErr w:type="spellEnd"/>
      <w:r w:rsidR="00DD6B35">
        <w:rPr>
          <w:rFonts w:ascii="Book Antiqua" w:hAnsi="Book Antiqua" w:cs="Arial"/>
          <w:u w:val="single"/>
        </w:rPr>
        <w:t xml:space="preserve"> (EEA spouse – marriage of convenience) Greece </w:t>
      </w:r>
      <w:r w:rsidR="00DD6B35" w:rsidRPr="00D273A0">
        <w:rPr>
          <w:rFonts w:ascii="Book Antiqua" w:hAnsi="Book Antiqua" w:cs="Arial"/>
        </w:rPr>
        <w:t>[2012] UKUT 00038 (IAC)</w:t>
      </w:r>
      <w:r>
        <w:rPr>
          <w:rFonts w:ascii="Book Antiqua" w:hAnsi="Book Antiqua" w:cs="Arial"/>
        </w:rPr>
        <w:t xml:space="preserve"> (although not the passage relating to the location of the burden of proof).  The judge then notes the failure of the Appellant and the EEA national to attend interviews with the Home Office on two occasions.  He finds that no good reason for these failures had been provided</w:t>
      </w:r>
      <w:r w:rsidR="00D57B33">
        <w:rPr>
          <w:rFonts w:ascii="Book Antiqua" w:hAnsi="Book Antiqua" w:cs="Arial"/>
        </w:rPr>
        <w:t xml:space="preserve"> [19]-[20]</w:t>
      </w:r>
      <w:r>
        <w:rPr>
          <w:rFonts w:ascii="Book Antiqua" w:hAnsi="Book Antiqua" w:cs="Arial"/>
        </w:rPr>
        <w:t>.  In relation to other documentary evidence before him</w:t>
      </w:r>
      <w:r w:rsidR="00D57B33">
        <w:rPr>
          <w:rFonts w:ascii="Book Antiqua" w:hAnsi="Book Antiqua" w:cs="Arial"/>
        </w:rPr>
        <w:t>,</w:t>
      </w:r>
      <w:r>
        <w:rPr>
          <w:rFonts w:ascii="Book Antiqua" w:hAnsi="Book Antiqua" w:cs="Arial"/>
        </w:rPr>
        <w:t xml:space="preserve"> he again notes the absence of originals and therefore places “little weight” on this evidence</w:t>
      </w:r>
      <w:r w:rsidR="00D57B33">
        <w:rPr>
          <w:rFonts w:ascii="Book Antiqua" w:hAnsi="Book Antiqua" w:cs="Arial"/>
        </w:rPr>
        <w:t xml:space="preserve"> [20].  Finally, at [</w:t>
      </w:r>
      <w:r>
        <w:rPr>
          <w:rFonts w:ascii="Book Antiqua" w:hAnsi="Book Antiqua" w:cs="Arial"/>
        </w:rPr>
        <w:t>21</w:t>
      </w:r>
      <w:r w:rsidR="00D57B33">
        <w:rPr>
          <w:rFonts w:ascii="Book Antiqua" w:hAnsi="Book Antiqua" w:cs="Arial"/>
        </w:rPr>
        <w:t>]</w:t>
      </w:r>
      <w:r>
        <w:rPr>
          <w:rFonts w:ascii="Book Antiqua" w:hAnsi="Book Antiqua" w:cs="Arial"/>
        </w:rPr>
        <w:t xml:space="preserve"> he comments on the lack of detail in the witness statements </w:t>
      </w:r>
      <w:proofErr w:type="gramStart"/>
      <w:r>
        <w:rPr>
          <w:rFonts w:ascii="Book Antiqua" w:hAnsi="Book Antiqua" w:cs="Arial"/>
        </w:rPr>
        <w:t>as regards</w:t>
      </w:r>
      <w:proofErr w:type="gramEnd"/>
      <w:r>
        <w:rPr>
          <w:rFonts w:ascii="Book Antiqua" w:hAnsi="Book Antiqua" w:cs="Arial"/>
        </w:rPr>
        <w:t xml:space="preserve"> the claimed relationship and concludes </w:t>
      </w:r>
      <w:r w:rsidR="00351576">
        <w:rPr>
          <w:rFonts w:ascii="Book Antiqua" w:hAnsi="Book Antiqua" w:cs="Arial"/>
        </w:rPr>
        <w:t>that “</w:t>
      </w:r>
      <w:r w:rsidR="00C624AE">
        <w:rPr>
          <w:rFonts w:ascii="Book Antiqua" w:hAnsi="Book Antiqua" w:cs="Arial"/>
        </w:rPr>
        <w:t>the A</w:t>
      </w:r>
      <w:r w:rsidR="00351576">
        <w:rPr>
          <w:rFonts w:ascii="Book Antiqua" w:hAnsi="Book Antiqua" w:cs="Arial"/>
        </w:rPr>
        <w:t>ppellant has failed to discharge the civil standard of proof in his favour.”  The appeal was duly dismissed.</w:t>
      </w:r>
    </w:p>
    <w:p w14:paraId="72BA9F1E" w14:textId="2EA4A6C3" w:rsidR="00351576" w:rsidRPr="00351576" w:rsidRDefault="00351576" w:rsidP="00351576">
      <w:pPr>
        <w:spacing w:before="240"/>
        <w:jc w:val="both"/>
        <w:rPr>
          <w:rFonts w:ascii="Book Antiqua" w:hAnsi="Book Antiqua" w:cs="Arial"/>
          <w:b/>
          <w:u w:val="single"/>
        </w:rPr>
      </w:pPr>
      <w:r w:rsidRPr="00351576">
        <w:rPr>
          <w:rFonts w:ascii="Book Antiqua" w:hAnsi="Book Antiqua" w:cs="Arial"/>
          <w:b/>
          <w:u w:val="single"/>
        </w:rPr>
        <w:t xml:space="preserve">The </w:t>
      </w:r>
      <w:r w:rsidR="00D57B33">
        <w:rPr>
          <w:rFonts w:ascii="Book Antiqua" w:hAnsi="Book Antiqua" w:cs="Arial"/>
          <w:b/>
          <w:u w:val="single"/>
        </w:rPr>
        <w:t>grounds of appeal and grant of p</w:t>
      </w:r>
      <w:r w:rsidRPr="00351576">
        <w:rPr>
          <w:rFonts w:ascii="Book Antiqua" w:hAnsi="Book Antiqua" w:cs="Arial"/>
          <w:b/>
          <w:u w:val="single"/>
        </w:rPr>
        <w:t>ermission</w:t>
      </w:r>
    </w:p>
    <w:p w14:paraId="1167EBF6" w14:textId="77777777" w:rsidR="00D57B33" w:rsidRDefault="00351576" w:rsidP="00CD4CF3">
      <w:pPr>
        <w:numPr>
          <w:ilvl w:val="0"/>
          <w:numId w:val="1"/>
        </w:numPr>
        <w:tabs>
          <w:tab w:val="clear" w:pos="567"/>
        </w:tabs>
        <w:spacing w:before="240"/>
        <w:jc w:val="both"/>
        <w:rPr>
          <w:rFonts w:ascii="Book Antiqua" w:hAnsi="Book Antiqua" w:cs="Arial"/>
        </w:rPr>
      </w:pPr>
      <w:r>
        <w:rPr>
          <w:rFonts w:ascii="Book Antiqua" w:hAnsi="Book Antiqua" w:cs="Arial"/>
        </w:rPr>
        <w:t>The grounds of appeal focus very much on the judge’s treatment of the proxy marriage i</w:t>
      </w:r>
      <w:r w:rsidR="00D57B33">
        <w:rPr>
          <w:rFonts w:ascii="Book Antiqua" w:hAnsi="Book Antiqua" w:cs="Arial"/>
        </w:rPr>
        <w:t>ssue.  It is said that he</w:t>
      </w:r>
      <w:r>
        <w:rPr>
          <w:rFonts w:ascii="Book Antiqua" w:hAnsi="Book Antiqua" w:cs="Arial"/>
        </w:rPr>
        <w:t xml:space="preserve"> erred in failing to place due weight on the evidence from the Benin Consulate as to the validity of the marriage and criticises the jud</w:t>
      </w:r>
      <w:r w:rsidR="00D57B33">
        <w:rPr>
          <w:rFonts w:ascii="Book Antiqua" w:hAnsi="Book Antiqua" w:cs="Arial"/>
        </w:rPr>
        <w:t>ge for requiring</w:t>
      </w:r>
      <w:r>
        <w:rPr>
          <w:rFonts w:ascii="Book Antiqua" w:hAnsi="Book Antiqua" w:cs="Arial"/>
        </w:rPr>
        <w:t xml:space="preserve"> original documents when none had been requested by the Tribunal in </w:t>
      </w:r>
      <w:r w:rsidR="00D57B33">
        <w:rPr>
          <w:rFonts w:ascii="Book Antiqua" w:hAnsi="Book Antiqua" w:cs="Arial"/>
        </w:rPr>
        <w:t>the directions and in circumstances where</w:t>
      </w:r>
      <w:r>
        <w:rPr>
          <w:rFonts w:ascii="Book Antiqua" w:hAnsi="Book Antiqua" w:cs="Arial"/>
        </w:rPr>
        <w:t xml:space="preserve"> the Respondent had not taken any issue with the l</w:t>
      </w:r>
      <w:r w:rsidR="00D57B33">
        <w:rPr>
          <w:rFonts w:ascii="Book Antiqua" w:hAnsi="Book Antiqua" w:cs="Arial"/>
        </w:rPr>
        <w:t>ack of originals</w:t>
      </w:r>
      <w:r>
        <w:rPr>
          <w:rFonts w:ascii="Book Antiqua" w:hAnsi="Book Antiqua" w:cs="Arial"/>
        </w:rPr>
        <w:t xml:space="preserve">.  </w:t>
      </w:r>
    </w:p>
    <w:p w14:paraId="7C772E64" w14:textId="5AD408DE" w:rsidR="00351576" w:rsidRDefault="00351576"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Permission to appeal was granted by First-tier Judge Grant-Hutchison on 20 September 2018.  </w:t>
      </w:r>
    </w:p>
    <w:p w14:paraId="5DD08219" w14:textId="77777777" w:rsidR="00B81464" w:rsidRDefault="00B81464" w:rsidP="00351576">
      <w:pPr>
        <w:spacing w:before="240"/>
        <w:jc w:val="both"/>
        <w:rPr>
          <w:rFonts w:ascii="Book Antiqua" w:hAnsi="Book Antiqua" w:cs="Arial"/>
          <w:b/>
          <w:u w:val="single"/>
        </w:rPr>
      </w:pPr>
    </w:p>
    <w:p w14:paraId="2453DC1F" w14:textId="5E2F760C" w:rsidR="00351576" w:rsidRPr="00351576" w:rsidRDefault="00D57B33" w:rsidP="00351576">
      <w:pPr>
        <w:spacing w:before="240"/>
        <w:jc w:val="both"/>
        <w:rPr>
          <w:rFonts w:ascii="Book Antiqua" w:hAnsi="Book Antiqua" w:cs="Arial"/>
          <w:b/>
          <w:u w:val="single"/>
        </w:rPr>
      </w:pPr>
      <w:r>
        <w:rPr>
          <w:rFonts w:ascii="Book Antiqua" w:hAnsi="Book Antiqua" w:cs="Arial"/>
          <w:b/>
          <w:u w:val="single"/>
        </w:rPr>
        <w:lastRenderedPageBreak/>
        <w:t>The hearing before u</w:t>
      </w:r>
      <w:r w:rsidR="00351576" w:rsidRPr="00351576">
        <w:rPr>
          <w:rFonts w:ascii="Book Antiqua" w:hAnsi="Book Antiqua" w:cs="Arial"/>
          <w:b/>
          <w:u w:val="single"/>
        </w:rPr>
        <w:t>s</w:t>
      </w:r>
    </w:p>
    <w:p w14:paraId="26CA1E71" w14:textId="77777777" w:rsidR="00D57B33" w:rsidRDefault="00351576"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At the outset of the hearing we indicated to Ms Joshi that our preliminary view was that the judge had erred in respect of his approach to the proxy marriage issue, having regard to the evidence before him, relevant case law, and questions of procedural fairness relating to the production of original documents.  </w:t>
      </w:r>
    </w:p>
    <w:p w14:paraId="6F0F77EE" w14:textId="77777777" w:rsidR="00D57B33" w:rsidRDefault="00351576"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Mr Clarke, in his customary fair and pragmatic manner, accepted that the judge had erred, as claimed.  </w:t>
      </w:r>
    </w:p>
    <w:p w14:paraId="1633B14A" w14:textId="77777777" w:rsidR="00097323" w:rsidRDefault="00351576" w:rsidP="00CD4CF3">
      <w:pPr>
        <w:numPr>
          <w:ilvl w:val="0"/>
          <w:numId w:val="1"/>
        </w:numPr>
        <w:tabs>
          <w:tab w:val="clear" w:pos="567"/>
        </w:tabs>
        <w:spacing w:before="240"/>
        <w:jc w:val="both"/>
        <w:rPr>
          <w:rFonts w:ascii="Book Antiqua" w:hAnsi="Book Antiqua" w:cs="Arial"/>
        </w:rPr>
      </w:pPr>
      <w:r>
        <w:rPr>
          <w:rFonts w:ascii="Book Antiqua" w:hAnsi="Book Antiqua" w:cs="Arial"/>
        </w:rPr>
        <w:t>We then pointed out to Ms Joshi that the grounds of appeal did not specifically challenge the judge’s alternative findings and conclusion on the marriage of convenience issue</w:t>
      </w:r>
      <w:r w:rsidR="00D57B33">
        <w:rPr>
          <w:rFonts w:ascii="Book Antiqua" w:hAnsi="Book Antiqua" w:cs="Arial"/>
        </w:rPr>
        <w:t xml:space="preserve"> (although the point taken in respect of the original documents did have some bearing on the </w:t>
      </w:r>
      <w:r w:rsidR="00097323">
        <w:rPr>
          <w:rFonts w:ascii="Book Antiqua" w:hAnsi="Book Antiqua" w:cs="Arial"/>
        </w:rPr>
        <w:t>issue)</w:t>
      </w:r>
      <w:r>
        <w:rPr>
          <w:rFonts w:ascii="Book Antiqua" w:hAnsi="Book Antiqua" w:cs="Arial"/>
        </w:rPr>
        <w:t xml:space="preserve">.  </w:t>
      </w:r>
      <w:r w:rsidR="00D57B33">
        <w:rPr>
          <w:rFonts w:ascii="Book Antiqua" w:hAnsi="Book Antiqua" w:cs="Arial"/>
        </w:rPr>
        <w:t xml:space="preserve">She candidly acknowledged this. </w:t>
      </w:r>
      <w:r>
        <w:rPr>
          <w:rFonts w:ascii="Book Antiqua" w:hAnsi="Book Antiqua" w:cs="Arial"/>
        </w:rPr>
        <w:t xml:space="preserve">Her response was to seek permission from the Tribunal to amend the grounds and expressly include a challenge to the judge’s approach.  </w:t>
      </w:r>
    </w:p>
    <w:p w14:paraId="2564EEE9" w14:textId="77777777" w:rsidR="00097323" w:rsidRDefault="00351576" w:rsidP="00CD4CF3">
      <w:pPr>
        <w:numPr>
          <w:ilvl w:val="0"/>
          <w:numId w:val="1"/>
        </w:numPr>
        <w:tabs>
          <w:tab w:val="clear" w:pos="567"/>
        </w:tabs>
        <w:spacing w:before="240"/>
        <w:jc w:val="both"/>
        <w:rPr>
          <w:rFonts w:ascii="Book Antiqua" w:hAnsi="Book Antiqua" w:cs="Arial"/>
        </w:rPr>
      </w:pPr>
      <w:r>
        <w:rPr>
          <w:rFonts w:ascii="Book Antiqua" w:hAnsi="Book Antiqua" w:cs="Arial"/>
        </w:rPr>
        <w:t xml:space="preserve">Again, Mr Clarke adopted a pragmatic position and did not object to the amendment of the grounds.  </w:t>
      </w:r>
    </w:p>
    <w:p w14:paraId="403050A7" w14:textId="5FA755F2" w:rsidR="00FE3842" w:rsidRDefault="00351576" w:rsidP="00CD4CF3">
      <w:pPr>
        <w:numPr>
          <w:ilvl w:val="0"/>
          <w:numId w:val="1"/>
        </w:numPr>
        <w:tabs>
          <w:tab w:val="clear" w:pos="567"/>
        </w:tabs>
        <w:spacing w:before="240"/>
        <w:jc w:val="both"/>
        <w:rPr>
          <w:rFonts w:ascii="Book Antiqua" w:hAnsi="Book Antiqua" w:cs="Arial"/>
        </w:rPr>
      </w:pPr>
      <w:r>
        <w:rPr>
          <w:rFonts w:ascii="Book Antiqua" w:hAnsi="Book Antiqua" w:cs="Arial"/>
        </w:rPr>
        <w:t>Having regard to all the circumstances</w:t>
      </w:r>
      <w:r w:rsidR="00097323">
        <w:rPr>
          <w:rFonts w:ascii="Book Antiqua" w:hAnsi="Book Antiqua" w:cs="Arial"/>
        </w:rPr>
        <w:t>, including the obvious merit in the proposed amended ground</w:t>
      </w:r>
      <w:r>
        <w:rPr>
          <w:rFonts w:ascii="Book Antiqua" w:hAnsi="Book Antiqua" w:cs="Arial"/>
        </w:rPr>
        <w:t xml:space="preserve">, and </w:t>
      </w:r>
      <w:r w:rsidR="00097323">
        <w:rPr>
          <w:rFonts w:ascii="Book Antiqua" w:hAnsi="Book Antiqua" w:cs="Arial"/>
        </w:rPr>
        <w:t xml:space="preserve">in view of </w:t>
      </w:r>
      <w:r>
        <w:rPr>
          <w:rFonts w:ascii="Book Antiqua" w:hAnsi="Book Antiqua" w:cs="Arial"/>
        </w:rPr>
        <w:t>Mr Clarke’s stated position, we permitted the amendment on an exceptio</w:t>
      </w:r>
      <w:r w:rsidR="00097323">
        <w:rPr>
          <w:rFonts w:ascii="Book Antiqua" w:hAnsi="Book Antiqua" w:cs="Arial"/>
        </w:rPr>
        <w:t>nal basis.  It is unclear to us</w:t>
      </w:r>
      <w:r>
        <w:rPr>
          <w:rFonts w:ascii="Book Antiqua" w:hAnsi="Book Antiqua" w:cs="Arial"/>
        </w:rPr>
        <w:t xml:space="preserve"> why th</w:t>
      </w:r>
      <w:r w:rsidR="00097323">
        <w:rPr>
          <w:rFonts w:ascii="Book Antiqua" w:hAnsi="Book Antiqua" w:cs="Arial"/>
        </w:rPr>
        <w:t>e point was not set out expressly in the grounds as initially drafted,</w:t>
      </w:r>
      <w:r w:rsidR="001B45A7">
        <w:rPr>
          <w:rFonts w:ascii="Book Antiqua" w:hAnsi="Book Antiqua" w:cs="Arial"/>
        </w:rPr>
        <w:t xml:space="preserve"> but there were</w:t>
      </w:r>
      <w:r>
        <w:rPr>
          <w:rFonts w:ascii="Book Antiqua" w:hAnsi="Book Antiqua" w:cs="Arial"/>
        </w:rPr>
        <w:t xml:space="preserve"> </w:t>
      </w:r>
      <w:r w:rsidR="00097323">
        <w:rPr>
          <w:rFonts w:ascii="Book Antiqua" w:hAnsi="Book Antiqua" w:cs="Arial"/>
        </w:rPr>
        <w:t xml:space="preserve">clearly </w:t>
      </w:r>
      <w:r>
        <w:rPr>
          <w:rFonts w:ascii="Book Antiqua" w:hAnsi="Book Antiqua" w:cs="Arial"/>
        </w:rPr>
        <w:t xml:space="preserve">real questions as to the correctness of the judge’s approach to the marriage of convenience issue.  </w:t>
      </w:r>
    </w:p>
    <w:p w14:paraId="1FFB9C22" w14:textId="77777777" w:rsidR="001B45A7" w:rsidRDefault="00351576" w:rsidP="00CD4CF3">
      <w:pPr>
        <w:numPr>
          <w:ilvl w:val="0"/>
          <w:numId w:val="1"/>
        </w:numPr>
        <w:tabs>
          <w:tab w:val="clear" w:pos="567"/>
        </w:tabs>
        <w:spacing w:before="240"/>
        <w:jc w:val="both"/>
        <w:rPr>
          <w:rFonts w:ascii="Book Antiqua" w:hAnsi="Book Antiqua" w:cs="Arial"/>
        </w:rPr>
      </w:pPr>
      <w:r>
        <w:rPr>
          <w:rFonts w:ascii="Book Antiqua" w:hAnsi="Book Antiqua" w:cs="Arial"/>
        </w:rPr>
        <w:t>Ms Joshi argued that the sole basis put forward by the Respondent for concluding that the marriage was one of convenience was the couple’s failure to attend the two interviews</w:t>
      </w:r>
      <w:r w:rsidR="004A3000">
        <w:rPr>
          <w:rFonts w:ascii="Book Antiqua" w:hAnsi="Book Antiqua" w:cs="Arial"/>
        </w:rPr>
        <w:t>.  I</w:t>
      </w:r>
      <w:r>
        <w:rPr>
          <w:rFonts w:ascii="Book Antiqua" w:hAnsi="Book Antiqua" w:cs="Arial"/>
        </w:rPr>
        <w:t>n light of Regulation 22 of the Regulations</w:t>
      </w:r>
      <w:r w:rsidR="004A3000">
        <w:rPr>
          <w:rFonts w:ascii="Book Antiqua" w:hAnsi="Book Antiqua" w:cs="Arial"/>
        </w:rPr>
        <w:t xml:space="preserve"> t</w:t>
      </w:r>
      <w:r>
        <w:rPr>
          <w:rFonts w:ascii="Book Antiqua" w:hAnsi="Book Antiqua" w:cs="Arial"/>
        </w:rPr>
        <w:t>he Respondent had been entitled to draw an adverse inference from the failures</w:t>
      </w:r>
      <w:r w:rsidR="001B45A7">
        <w:rPr>
          <w:rFonts w:ascii="Book Antiqua" w:hAnsi="Book Antiqua" w:cs="Arial"/>
        </w:rPr>
        <w:t>,</w:t>
      </w:r>
      <w:r>
        <w:rPr>
          <w:rFonts w:ascii="Book Antiqua" w:hAnsi="Book Antiqua" w:cs="Arial"/>
        </w:rPr>
        <w:t xml:space="preserve"> but was not entitled to base his decision </w:t>
      </w:r>
      <w:r w:rsidR="001B45A7">
        <w:rPr>
          <w:rFonts w:ascii="Book Antiqua" w:hAnsi="Book Antiqua" w:cs="Arial"/>
        </w:rPr>
        <w:t>solely upon this point</w:t>
      </w:r>
      <w:r>
        <w:rPr>
          <w:rFonts w:ascii="Book Antiqua" w:hAnsi="Book Antiqua" w:cs="Arial"/>
        </w:rPr>
        <w:t>.  She submitted that the judge had only really adopted the same reasoning in his decision</w:t>
      </w:r>
      <w:r w:rsidR="00444EF7">
        <w:rPr>
          <w:rFonts w:ascii="Book Antiqua" w:hAnsi="Book Antiqua" w:cs="Arial"/>
        </w:rPr>
        <w:t xml:space="preserve"> </w:t>
      </w:r>
      <w:r w:rsidR="001B45A7">
        <w:rPr>
          <w:rFonts w:ascii="Book Antiqua" w:hAnsi="Book Antiqua" w:cs="Arial"/>
        </w:rPr>
        <w:t xml:space="preserve">and </w:t>
      </w:r>
      <w:r w:rsidR="00444EF7">
        <w:rPr>
          <w:rFonts w:ascii="Book Antiqua" w:hAnsi="Book Antiqua" w:cs="Arial"/>
        </w:rPr>
        <w:t>h</w:t>
      </w:r>
      <w:r>
        <w:rPr>
          <w:rFonts w:ascii="Book Antiqua" w:hAnsi="Book Antiqua" w:cs="Arial"/>
        </w:rPr>
        <w:t>e had been wrong to reject the other documentary evidence out of hand be</w:t>
      </w:r>
      <w:r w:rsidR="001B45A7">
        <w:rPr>
          <w:rFonts w:ascii="Book Antiqua" w:hAnsi="Book Antiqua" w:cs="Arial"/>
        </w:rPr>
        <w:t>cause the originals were not before</w:t>
      </w:r>
      <w:r>
        <w:rPr>
          <w:rFonts w:ascii="Book Antiqua" w:hAnsi="Book Antiqua" w:cs="Arial"/>
        </w:rPr>
        <w:t xml:space="preserve"> him.  This documentary evidence included information relating to cohabitation and the genuineness of the relationship which, Ms Joshi submitted, went to the issue of the parties’ intentions at the time of the marriage itself</w:t>
      </w:r>
      <w:r w:rsidR="001B45A7">
        <w:rPr>
          <w:rFonts w:ascii="Book Antiqua" w:hAnsi="Book Antiqua" w:cs="Arial"/>
        </w:rPr>
        <w:t xml:space="preserve">.  It was also argued that the judge had </w:t>
      </w:r>
      <w:r w:rsidR="002211AB">
        <w:rPr>
          <w:rFonts w:ascii="Book Antiqua" w:hAnsi="Book Antiqua" w:cs="Arial"/>
        </w:rPr>
        <w:t>simply failed to state that the legal burden rested with the Respondent and had failed</w:t>
      </w:r>
      <w:r w:rsidR="001B45A7">
        <w:rPr>
          <w:rFonts w:ascii="Book Antiqua" w:hAnsi="Book Antiqua" w:cs="Arial"/>
        </w:rPr>
        <w:t>,</w:t>
      </w:r>
      <w:r w:rsidR="002211AB">
        <w:rPr>
          <w:rFonts w:ascii="Book Antiqua" w:hAnsi="Book Antiqua" w:cs="Arial"/>
        </w:rPr>
        <w:t xml:space="preserve"> as a matter of substance</w:t>
      </w:r>
      <w:r w:rsidR="001B45A7">
        <w:rPr>
          <w:rFonts w:ascii="Book Antiqua" w:hAnsi="Book Antiqua" w:cs="Arial"/>
        </w:rPr>
        <w:t>,</w:t>
      </w:r>
      <w:r w:rsidR="002211AB">
        <w:rPr>
          <w:rFonts w:ascii="Book Antiqua" w:hAnsi="Book Antiqua" w:cs="Arial"/>
        </w:rPr>
        <w:t xml:space="preserve"> to consider the issue on a correct legal footing.  </w:t>
      </w:r>
    </w:p>
    <w:p w14:paraId="1892FAC6" w14:textId="5B6A12F0" w:rsidR="00351576" w:rsidRDefault="002211AB" w:rsidP="00CD4CF3">
      <w:pPr>
        <w:numPr>
          <w:ilvl w:val="0"/>
          <w:numId w:val="1"/>
        </w:numPr>
        <w:tabs>
          <w:tab w:val="clear" w:pos="567"/>
        </w:tabs>
        <w:spacing w:before="240"/>
        <w:jc w:val="both"/>
        <w:rPr>
          <w:rFonts w:ascii="Book Antiqua" w:hAnsi="Book Antiqua" w:cs="Arial"/>
        </w:rPr>
      </w:pPr>
      <w:r>
        <w:rPr>
          <w:rFonts w:ascii="Book Antiqua" w:hAnsi="Book Antiqua" w:cs="Arial"/>
        </w:rPr>
        <w:t>For his part Mr Clarke submitted that the judge was entitled to have concluded that the marriage was one of convenience.  He had taken into account not simply the interview issue but the paucity of the information contained in the witness st</w:t>
      </w:r>
      <w:r w:rsidR="00423ABD">
        <w:rPr>
          <w:rFonts w:ascii="Book Antiqua" w:hAnsi="Book Antiqua" w:cs="Arial"/>
        </w:rPr>
        <w:t>atements and the fact that the A</w:t>
      </w:r>
      <w:r>
        <w:rPr>
          <w:rFonts w:ascii="Book Antiqua" w:hAnsi="Book Antiqua" w:cs="Arial"/>
        </w:rPr>
        <w:t>ppellant had chosen not to have an oral hearing</w:t>
      </w:r>
      <w:r w:rsidR="001B45A7">
        <w:rPr>
          <w:rFonts w:ascii="Book Antiqua" w:hAnsi="Book Antiqua" w:cs="Arial"/>
        </w:rPr>
        <w:t>,</w:t>
      </w:r>
      <w:r>
        <w:rPr>
          <w:rFonts w:ascii="Book Antiqua" w:hAnsi="Book Antiqua" w:cs="Arial"/>
        </w:rPr>
        <w:t xml:space="preserve"> thereby avoiding the ability of the Respondent to test the evidence.  </w:t>
      </w:r>
    </w:p>
    <w:p w14:paraId="59AB4B2E" w14:textId="3718499E" w:rsidR="002211AB" w:rsidRPr="002211AB" w:rsidRDefault="001B45A7" w:rsidP="002211AB">
      <w:pPr>
        <w:spacing w:before="240"/>
        <w:jc w:val="both"/>
        <w:rPr>
          <w:rFonts w:ascii="Book Antiqua" w:hAnsi="Book Antiqua" w:cs="Arial"/>
          <w:b/>
          <w:u w:val="single"/>
        </w:rPr>
      </w:pPr>
      <w:r>
        <w:rPr>
          <w:rFonts w:ascii="Book Antiqua" w:hAnsi="Book Antiqua" w:cs="Arial"/>
          <w:b/>
          <w:u w:val="single"/>
        </w:rPr>
        <w:t xml:space="preserve">Error of law decision </w:t>
      </w:r>
    </w:p>
    <w:p w14:paraId="078CB22B" w14:textId="77777777" w:rsidR="001B45A7" w:rsidRDefault="002211AB" w:rsidP="00F3221E">
      <w:pPr>
        <w:numPr>
          <w:ilvl w:val="0"/>
          <w:numId w:val="1"/>
        </w:numPr>
        <w:tabs>
          <w:tab w:val="clear" w:pos="567"/>
        </w:tabs>
        <w:spacing w:before="240"/>
        <w:jc w:val="both"/>
        <w:rPr>
          <w:rFonts w:ascii="Book Antiqua" w:hAnsi="Book Antiqua" w:cs="Arial"/>
        </w:rPr>
      </w:pPr>
      <w:r>
        <w:rPr>
          <w:rFonts w:ascii="Book Antiqua" w:hAnsi="Book Antiqua" w:cs="Arial"/>
        </w:rPr>
        <w:t>As we announced to the parties at the hearing</w:t>
      </w:r>
      <w:r w:rsidR="001B45A7">
        <w:rPr>
          <w:rFonts w:ascii="Book Antiqua" w:hAnsi="Book Antiqua" w:cs="Arial"/>
        </w:rPr>
        <w:t>,</w:t>
      </w:r>
      <w:r>
        <w:rPr>
          <w:rFonts w:ascii="Book Antiqua" w:hAnsi="Book Antiqua" w:cs="Arial"/>
        </w:rPr>
        <w:t xml:space="preserve"> we conclude that the judge has materially erred in law.  Our reasons for this conclusion are as follows.  </w:t>
      </w:r>
    </w:p>
    <w:p w14:paraId="115D745F" w14:textId="77777777" w:rsidR="001B45A7" w:rsidRDefault="001B45A7" w:rsidP="00F3221E">
      <w:pPr>
        <w:numPr>
          <w:ilvl w:val="0"/>
          <w:numId w:val="1"/>
        </w:numPr>
        <w:tabs>
          <w:tab w:val="clear" w:pos="567"/>
        </w:tabs>
        <w:spacing w:before="240"/>
        <w:jc w:val="both"/>
        <w:rPr>
          <w:rFonts w:ascii="Book Antiqua" w:hAnsi="Book Antiqua" w:cs="Arial"/>
        </w:rPr>
      </w:pPr>
      <w:r>
        <w:rPr>
          <w:rFonts w:ascii="Book Antiqua" w:hAnsi="Book Antiqua" w:cs="Arial"/>
        </w:rPr>
        <w:lastRenderedPageBreak/>
        <w:t>Starting</w:t>
      </w:r>
      <w:r w:rsidR="002211AB">
        <w:rPr>
          <w:rFonts w:ascii="Book Antiqua" w:hAnsi="Book Antiqua" w:cs="Arial"/>
        </w:rPr>
        <w:t xml:space="preserve"> with the proxy marriage issue</w:t>
      </w:r>
      <w:r>
        <w:rPr>
          <w:rFonts w:ascii="Book Antiqua" w:hAnsi="Book Antiqua" w:cs="Arial"/>
        </w:rPr>
        <w:t>,</w:t>
      </w:r>
      <w:r w:rsidR="00FC0097">
        <w:rPr>
          <w:rFonts w:ascii="Book Antiqua" w:hAnsi="Book Antiqua" w:cs="Arial"/>
        </w:rPr>
        <w:t xml:space="preserve"> we </w:t>
      </w:r>
      <w:r>
        <w:rPr>
          <w:rFonts w:ascii="Book Antiqua" w:hAnsi="Book Antiqua" w:cs="Arial"/>
        </w:rPr>
        <w:t xml:space="preserve">find that Mr Clarke was correct to have conceded the error. We </w:t>
      </w:r>
      <w:r w:rsidR="00FC0097">
        <w:rPr>
          <w:rFonts w:ascii="Book Antiqua" w:hAnsi="Book Antiqua" w:cs="Arial"/>
        </w:rPr>
        <w:t>not</w:t>
      </w:r>
      <w:r>
        <w:rPr>
          <w:rFonts w:ascii="Book Antiqua" w:hAnsi="Book Antiqua" w:cs="Arial"/>
        </w:rPr>
        <w:t>e that the judge</w:t>
      </w:r>
      <w:r w:rsidR="00FC0097">
        <w:rPr>
          <w:rFonts w:ascii="Book Antiqua" w:hAnsi="Book Antiqua" w:cs="Arial"/>
        </w:rPr>
        <w:t xml:space="preserve"> relied on </w:t>
      </w:r>
      <w:r w:rsidR="00FC0097" w:rsidRPr="00AD777B">
        <w:rPr>
          <w:rFonts w:ascii="Book Antiqua" w:hAnsi="Book Antiqua" w:cs="Arial"/>
          <w:u w:val="single"/>
        </w:rPr>
        <w:t>Kareem</w:t>
      </w:r>
      <w:r w:rsidR="00FC0097">
        <w:rPr>
          <w:rFonts w:ascii="Book Antiqua" w:hAnsi="Book Antiqua" w:cs="Arial"/>
        </w:rPr>
        <w:t xml:space="preserve">, a decision that was overturned by the Court of Appeal in </w:t>
      </w:r>
      <w:proofErr w:type="spellStart"/>
      <w:r w:rsidR="00FC0097" w:rsidRPr="00AD777B">
        <w:rPr>
          <w:rFonts w:ascii="Book Antiqua" w:hAnsi="Book Antiqua" w:cs="Arial"/>
          <w:u w:val="single"/>
        </w:rPr>
        <w:t>Awuku</w:t>
      </w:r>
      <w:proofErr w:type="spellEnd"/>
      <w:r w:rsidR="00FC0097" w:rsidRPr="00AD777B">
        <w:rPr>
          <w:rFonts w:ascii="Book Antiqua" w:hAnsi="Book Antiqua" w:cs="Arial"/>
        </w:rPr>
        <w:t xml:space="preserve"> [2017]</w:t>
      </w:r>
      <w:r w:rsidR="00FC0097">
        <w:rPr>
          <w:rFonts w:ascii="Book Antiqua" w:hAnsi="Book Antiqua" w:cs="Arial"/>
        </w:rPr>
        <w:t xml:space="preserve"> </w:t>
      </w:r>
      <w:r>
        <w:rPr>
          <w:rFonts w:ascii="Book Antiqua" w:hAnsi="Book Antiqua" w:cs="Arial"/>
        </w:rPr>
        <w:t xml:space="preserve">EWCA </w:t>
      </w:r>
      <w:proofErr w:type="spellStart"/>
      <w:r>
        <w:rPr>
          <w:rFonts w:ascii="Book Antiqua" w:hAnsi="Book Antiqua" w:cs="Arial"/>
        </w:rPr>
        <w:t>Civ</w:t>
      </w:r>
      <w:proofErr w:type="spellEnd"/>
      <w:r>
        <w:rPr>
          <w:rFonts w:ascii="Book Antiqua" w:hAnsi="Book Antiqua" w:cs="Arial"/>
        </w:rPr>
        <w:t xml:space="preserve"> 178, </w:t>
      </w:r>
      <w:r w:rsidR="00FC0097">
        <w:rPr>
          <w:rFonts w:ascii="Book Antiqua" w:hAnsi="Book Antiqua" w:cs="Arial"/>
        </w:rPr>
        <w:t>over a year before he considered the Appellant’s case.  Notwithstanding that</w:t>
      </w:r>
      <w:r>
        <w:rPr>
          <w:rFonts w:ascii="Book Antiqua" w:hAnsi="Book Antiqua" w:cs="Arial"/>
        </w:rPr>
        <w:t>,</w:t>
      </w:r>
      <w:r w:rsidR="00FC0097">
        <w:rPr>
          <w:rFonts w:ascii="Book Antiqua" w:hAnsi="Book Antiqua" w:cs="Arial"/>
        </w:rPr>
        <w:t xml:space="preserve"> the decision in </w:t>
      </w:r>
      <w:r w:rsidR="00FC0097" w:rsidRPr="00D213D6">
        <w:rPr>
          <w:rFonts w:ascii="Book Antiqua" w:hAnsi="Book Antiqua" w:cs="Arial"/>
          <w:u w:val="single"/>
        </w:rPr>
        <w:t>Cu</w:t>
      </w:r>
      <w:r w:rsidR="00A710A5">
        <w:rPr>
          <w:rFonts w:ascii="Book Antiqua" w:hAnsi="Book Antiqua" w:cs="Arial"/>
          <w:u w:val="single"/>
        </w:rPr>
        <w:t>d</w:t>
      </w:r>
      <w:r w:rsidR="00FC0097" w:rsidRPr="00D213D6">
        <w:rPr>
          <w:rFonts w:ascii="Book Antiqua" w:hAnsi="Book Antiqua" w:cs="Arial"/>
          <w:u w:val="single"/>
        </w:rPr>
        <w:t>joe</w:t>
      </w:r>
      <w:r w:rsidR="00FC0097">
        <w:rPr>
          <w:rFonts w:ascii="Book Antiqua" w:hAnsi="Book Antiqua" w:cs="Arial"/>
        </w:rPr>
        <w:t xml:space="preserve"> remains sound and the judge did correctly direct himself that it was for the Appellant to show that the proxy marriage was valid under the law of Benin.  However, </w:t>
      </w:r>
      <w:r w:rsidR="0027566E">
        <w:rPr>
          <w:rFonts w:ascii="Book Antiqua" w:hAnsi="Book Antiqua" w:cs="Arial"/>
        </w:rPr>
        <w:t xml:space="preserve">in </w:t>
      </w:r>
      <w:r w:rsidR="00FC0097">
        <w:rPr>
          <w:rFonts w:ascii="Book Antiqua" w:hAnsi="Book Antiqua" w:cs="Arial"/>
        </w:rPr>
        <w:t>the circumstances of this case the judge was wrong to have effectively rejected the evidence not only of the marriage certificate</w:t>
      </w:r>
      <w:r>
        <w:rPr>
          <w:rFonts w:ascii="Book Antiqua" w:hAnsi="Book Antiqua" w:cs="Arial"/>
        </w:rPr>
        <w:t>, but also the letter from the C</w:t>
      </w:r>
      <w:r w:rsidR="00FC0097">
        <w:rPr>
          <w:rFonts w:ascii="Book Antiqua" w:hAnsi="Book Antiqua" w:cs="Arial"/>
        </w:rPr>
        <w:t xml:space="preserve">onsulate almost out of hand for the reasons </w:t>
      </w:r>
      <w:r>
        <w:rPr>
          <w:rFonts w:ascii="Book Antiqua" w:hAnsi="Book Antiqua" w:cs="Arial"/>
        </w:rPr>
        <w:t>that he has stated in [</w:t>
      </w:r>
      <w:r w:rsidR="00FC0097">
        <w:rPr>
          <w:rFonts w:ascii="Book Antiqua" w:hAnsi="Book Antiqua" w:cs="Arial"/>
        </w:rPr>
        <w:t>15</w:t>
      </w:r>
      <w:r>
        <w:rPr>
          <w:rFonts w:ascii="Book Antiqua" w:hAnsi="Book Antiqua" w:cs="Arial"/>
        </w:rPr>
        <w:t>]</w:t>
      </w:r>
      <w:r w:rsidR="00FC0097">
        <w:rPr>
          <w:rFonts w:ascii="Book Antiqua" w:hAnsi="Book Antiqua" w:cs="Arial"/>
        </w:rPr>
        <w:t xml:space="preserve">.  There had been no direction from the First-tier Tribunal for the Appellant to produce the original documents. The standard Tribunal directions do not require originals to be sent in.  </w:t>
      </w:r>
      <w:r>
        <w:rPr>
          <w:rFonts w:ascii="Book Antiqua" w:hAnsi="Book Antiqua" w:cs="Arial"/>
        </w:rPr>
        <w:t xml:space="preserve">The judge had not taken it upon himself to issue a direction once he had inspected a file and forming the view that the originals had to be seen.  </w:t>
      </w:r>
    </w:p>
    <w:p w14:paraId="1B7007F8" w14:textId="39436408" w:rsidR="00F3221E" w:rsidRDefault="00FC0097" w:rsidP="00F3221E">
      <w:pPr>
        <w:numPr>
          <w:ilvl w:val="0"/>
          <w:numId w:val="1"/>
        </w:numPr>
        <w:tabs>
          <w:tab w:val="clear" w:pos="567"/>
        </w:tabs>
        <w:spacing w:before="240"/>
        <w:jc w:val="both"/>
        <w:rPr>
          <w:rFonts w:ascii="Book Antiqua" w:hAnsi="Book Antiqua" w:cs="Arial"/>
        </w:rPr>
      </w:pPr>
      <w:r>
        <w:rPr>
          <w:rFonts w:ascii="Book Antiqua" w:hAnsi="Book Antiqua" w:cs="Arial"/>
        </w:rPr>
        <w:t xml:space="preserve">In light of </w:t>
      </w:r>
      <w:proofErr w:type="spellStart"/>
      <w:r w:rsidRPr="000D659D">
        <w:rPr>
          <w:rFonts w:ascii="Book Antiqua" w:hAnsi="Book Antiqua" w:cs="Arial"/>
          <w:u w:val="single"/>
        </w:rPr>
        <w:t>Cudjoe</w:t>
      </w:r>
      <w:proofErr w:type="spellEnd"/>
      <w:r>
        <w:rPr>
          <w:rFonts w:ascii="Book Antiqua" w:hAnsi="Book Antiqua" w:cs="Arial"/>
        </w:rPr>
        <w:t>, the marriage certificate com</w:t>
      </w:r>
      <w:r w:rsidR="001B45A7">
        <w:rPr>
          <w:rFonts w:ascii="Book Antiqua" w:hAnsi="Book Antiqua" w:cs="Arial"/>
        </w:rPr>
        <w:t>bined with the letter from the C</w:t>
      </w:r>
      <w:r>
        <w:rPr>
          <w:rFonts w:ascii="Book Antiqua" w:hAnsi="Book Antiqua" w:cs="Arial"/>
        </w:rPr>
        <w:t>onsulate was, on its face</w:t>
      </w:r>
      <w:r w:rsidR="001B45A7">
        <w:rPr>
          <w:rFonts w:ascii="Book Antiqua" w:hAnsi="Book Antiqua" w:cs="Arial"/>
        </w:rPr>
        <w:t>,</w:t>
      </w:r>
      <w:r>
        <w:rPr>
          <w:rFonts w:ascii="Book Antiqua" w:hAnsi="Book Antiqua" w:cs="Arial"/>
        </w:rPr>
        <w:t xml:space="preserve"> sufficie</w:t>
      </w:r>
      <w:r w:rsidR="008F20AC">
        <w:rPr>
          <w:rFonts w:ascii="Book Antiqua" w:hAnsi="Book Antiqua" w:cs="Arial"/>
        </w:rPr>
        <w:t>nt for the A</w:t>
      </w:r>
      <w:r>
        <w:rPr>
          <w:rFonts w:ascii="Book Antiqua" w:hAnsi="Book Antiqua" w:cs="Arial"/>
        </w:rPr>
        <w:t xml:space="preserve">ppellant to prove this element of his case.  </w:t>
      </w:r>
      <w:r w:rsidR="00105C71">
        <w:rPr>
          <w:rFonts w:ascii="Book Antiqua" w:hAnsi="Book Antiqua" w:cs="Arial"/>
        </w:rPr>
        <w:t>Furthermore</w:t>
      </w:r>
      <w:r w:rsidR="001B45A7">
        <w:rPr>
          <w:rFonts w:ascii="Book Antiqua" w:hAnsi="Book Antiqua" w:cs="Arial"/>
        </w:rPr>
        <w:t>,</w:t>
      </w:r>
      <w:r w:rsidR="00105C71">
        <w:rPr>
          <w:rFonts w:ascii="Book Antiqua" w:hAnsi="Book Antiqua" w:cs="Arial"/>
        </w:rPr>
        <w:t xml:space="preserve"> we cannot see any justification in the judge requiring the Appellant to provide any “Benin legislation” which s</w:t>
      </w:r>
      <w:r w:rsidR="001B45A7">
        <w:rPr>
          <w:rFonts w:ascii="Book Antiqua" w:hAnsi="Book Antiqua" w:cs="Arial"/>
        </w:rPr>
        <w:t>pecifically indicated that the C</w:t>
      </w:r>
      <w:r w:rsidR="00105C71">
        <w:rPr>
          <w:rFonts w:ascii="Book Antiqua" w:hAnsi="Book Antiqua" w:cs="Arial"/>
        </w:rPr>
        <w:t>onsulate was able to confirm the validity of the marriage certificate or the marriage itself.  There was no justification for seeking to go behind the f</w:t>
      </w:r>
      <w:r w:rsidR="001B45A7">
        <w:rPr>
          <w:rFonts w:ascii="Book Antiqua" w:hAnsi="Book Antiqua" w:cs="Arial"/>
        </w:rPr>
        <w:t>ace of these two documents (</w:t>
      </w:r>
      <w:r w:rsidR="00105C71">
        <w:rPr>
          <w:rFonts w:ascii="Book Antiqua" w:hAnsi="Book Antiqua" w:cs="Arial"/>
        </w:rPr>
        <w:t xml:space="preserve">bearing in mind </w:t>
      </w:r>
      <w:r w:rsidR="001B45A7">
        <w:rPr>
          <w:rFonts w:ascii="Book Antiqua" w:hAnsi="Book Antiqua" w:cs="Arial"/>
        </w:rPr>
        <w:t>as well our previous conclusion</w:t>
      </w:r>
      <w:r w:rsidR="00105C71">
        <w:rPr>
          <w:rFonts w:ascii="Book Antiqua" w:hAnsi="Book Antiqua" w:cs="Arial"/>
        </w:rPr>
        <w:t xml:space="preserve"> that if the judge had wanted to inspect the originals, he could and should have issued a direction to that effec</w:t>
      </w:r>
      <w:r w:rsidR="001B45A7">
        <w:rPr>
          <w:rFonts w:ascii="Book Antiqua" w:hAnsi="Book Antiqua" w:cs="Arial"/>
        </w:rPr>
        <w:t xml:space="preserve">t before deciding the appeal). </w:t>
      </w:r>
    </w:p>
    <w:p w14:paraId="4A600800" w14:textId="77777777" w:rsidR="003F5B64" w:rsidRDefault="00105C71" w:rsidP="00F3221E">
      <w:pPr>
        <w:numPr>
          <w:ilvl w:val="0"/>
          <w:numId w:val="1"/>
        </w:numPr>
        <w:tabs>
          <w:tab w:val="clear" w:pos="567"/>
        </w:tabs>
        <w:spacing w:before="240"/>
        <w:jc w:val="both"/>
        <w:rPr>
          <w:rFonts w:ascii="Book Antiqua" w:hAnsi="Book Antiqua" w:cs="Arial"/>
        </w:rPr>
      </w:pPr>
      <w:r w:rsidRPr="00F3221E">
        <w:rPr>
          <w:rFonts w:ascii="Book Antiqua" w:hAnsi="Book Antiqua" w:cs="Arial"/>
        </w:rPr>
        <w:t xml:space="preserve">We turn now to the marriage of convenience issue.  The reasons for refusal letter does not specifically cite Regulation 22 of the Regulations despite </w:t>
      </w:r>
      <w:r w:rsidR="001B45A7">
        <w:rPr>
          <w:rFonts w:ascii="Book Antiqua" w:hAnsi="Book Antiqua" w:cs="Arial"/>
        </w:rPr>
        <w:t xml:space="preserve">the fact </w:t>
      </w:r>
      <w:r w:rsidRPr="00F3221E">
        <w:rPr>
          <w:rFonts w:ascii="Book Antiqua" w:hAnsi="Book Antiqua" w:cs="Arial"/>
        </w:rPr>
        <w:t xml:space="preserve">that it seems clear enough </w:t>
      </w:r>
      <w:r w:rsidR="003F5B64">
        <w:rPr>
          <w:rFonts w:ascii="Book Antiqua" w:hAnsi="Book Antiqua" w:cs="Arial"/>
        </w:rPr>
        <w:t xml:space="preserve">that </w:t>
      </w:r>
      <w:r w:rsidRPr="00F3221E">
        <w:rPr>
          <w:rFonts w:ascii="Book Antiqua" w:hAnsi="Book Antiqua" w:cs="Arial"/>
        </w:rPr>
        <w:t>thi</w:t>
      </w:r>
      <w:r w:rsidR="003F5B64">
        <w:rPr>
          <w:rFonts w:ascii="Book Antiqua" w:hAnsi="Book Antiqua" w:cs="Arial"/>
        </w:rPr>
        <w:t>s provision was in the decision-</w:t>
      </w:r>
      <w:r w:rsidRPr="00F3221E">
        <w:rPr>
          <w:rFonts w:ascii="Book Antiqua" w:hAnsi="Book Antiqua" w:cs="Arial"/>
        </w:rPr>
        <w:t xml:space="preserve">maker’s mind when the application was considered.  The Appellant and his spouse had indeed failed to attend interviews on two occasions, thereby triggering the Respondent’s ability </w:t>
      </w:r>
      <w:r w:rsidR="003F5B64">
        <w:rPr>
          <w:rFonts w:ascii="Book Antiqua" w:hAnsi="Book Antiqua" w:cs="Arial"/>
        </w:rPr>
        <w:t>to draw adverse inferences (</w:t>
      </w:r>
      <w:r w:rsidRPr="00F3221E">
        <w:rPr>
          <w:rFonts w:ascii="Book Antiqua" w:hAnsi="Book Antiqua" w:cs="Arial"/>
        </w:rPr>
        <w:t xml:space="preserve">Regulation 22(4)).  We note that this was the only basis upon which led the Respondent to conclude that the relationship/marriage was one of convenience.  The judge essentially adopts this reasoning and clearly places significant weight upon </w:t>
      </w:r>
      <w:r w:rsidR="003F5B64">
        <w:rPr>
          <w:rFonts w:ascii="Book Antiqua" w:hAnsi="Book Antiqua" w:cs="Arial"/>
        </w:rPr>
        <w:t>it when reaching his</w:t>
      </w:r>
      <w:r w:rsidRPr="00F3221E">
        <w:rPr>
          <w:rFonts w:ascii="Book Antiqua" w:hAnsi="Book Antiqua" w:cs="Arial"/>
        </w:rPr>
        <w:t xml:space="preserve"> conclusion on the marriage issue.  He was not impressed by the explanation given for the failure to attend the interviews, and his finding on this was, in our view, open to him</w:t>
      </w:r>
      <w:r w:rsidR="003F5B64">
        <w:rPr>
          <w:rFonts w:ascii="Book Antiqua" w:hAnsi="Book Antiqua" w:cs="Arial"/>
        </w:rPr>
        <w:t>,</w:t>
      </w:r>
      <w:r w:rsidRPr="00F3221E">
        <w:rPr>
          <w:rFonts w:ascii="Book Antiqua" w:hAnsi="Book Antiqua" w:cs="Arial"/>
        </w:rPr>
        <w:t xml:space="preserve"> insofar as that goes.  It was also potentially open to the judge to place weight on what he perceived to be the lack of detail in the witness statements</w:t>
      </w:r>
      <w:r w:rsidR="003F5B64">
        <w:rPr>
          <w:rFonts w:ascii="Book Antiqua" w:hAnsi="Book Antiqua" w:cs="Arial"/>
        </w:rPr>
        <w:t xml:space="preserve">. </w:t>
      </w:r>
    </w:p>
    <w:p w14:paraId="1DA38104" w14:textId="6E700638" w:rsidR="003F5B64" w:rsidRDefault="003F5B64" w:rsidP="00F3221E">
      <w:pPr>
        <w:numPr>
          <w:ilvl w:val="0"/>
          <w:numId w:val="1"/>
        </w:numPr>
        <w:tabs>
          <w:tab w:val="clear" w:pos="567"/>
        </w:tabs>
        <w:spacing w:before="240"/>
        <w:jc w:val="both"/>
        <w:rPr>
          <w:rFonts w:ascii="Book Antiqua" w:hAnsi="Book Antiqua" w:cs="Arial"/>
        </w:rPr>
      </w:pPr>
      <w:r>
        <w:rPr>
          <w:rFonts w:ascii="Book Antiqua" w:hAnsi="Book Antiqua" w:cs="Arial"/>
        </w:rPr>
        <w:t xml:space="preserve">We are willing to accept that the failure to attend the two interviews and the application of Regulation 22(4) was sufficient for the Respondent to discharge the evidence burden of raising a </w:t>
      </w:r>
      <w:r w:rsidRPr="003F5B64">
        <w:rPr>
          <w:rFonts w:ascii="Book Antiqua" w:hAnsi="Book Antiqua" w:cs="Arial"/>
          <w:i/>
        </w:rPr>
        <w:t>prima facie</w:t>
      </w:r>
      <w:r>
        <w:rPr>
          <w:rFonts w:ascii="Book Antiqua" w:hAnsi="Book Antiqua" w:cs="Arial"/>
        </w:rPr>
        <w:t xml:space="preserve"> case against the Appellant. In turn, the judge may have been entitled to adopt this point in his decision.</w:t>
      </w:r>
    </w:p>
    <w:p w14:paraId="33EE69EB" w14:textId="66982770" w:rsidR="008E25C8" w:rsidRDefault="003F5B64" w:rsidP="00F3221E">
      <w:pPr>
        <w:numPr>
          <w:ilvl w:val="0"/>
          <w:numId w:val="1"/>
        </w:numPr>
        <w:tabs>
          <w:tab w:val="clear" w:pos="567"/>
        </w:tabs>
        <w:spacing w:before="240"/>
        <w:jc w:val="both"/>
        <w:rPr>
          <w:rFonts w:ascii="Book Antiqua" w:hAnsi="Book Antiqua" w:cs="Arial"/>
        </w:rPr>
      </w:pPr>
      <w:r>
        <w:rPr>
          <w:rFonts w:ascii="Book Antiqua" w:hAnsi="Book Antiqua" w:cs="Arial"/>
        </w:rPr>
        <w:t>H</w:t>
      </w:r>
      <w:r w:rsidR="00105C71" w:rsidRPr="00F3221E">
        <w:rPr>
          <w:rFonts w:ascii="Book Antiqua" w:hAnsi="Book Antiqua" w:cs="Arial"/>
        </w:rPr>
        <w:t>owever the judge’s approach has gone</w:t>
      </w:r>
      <w:r w:rsidR="006C20DB">
        <w:rPr>
          <w:rFonts w:ascii="Book Antiqua" w:hAnsi="Book Antiqua" w:cs="Arial"/>
        </w:rPr>
        <w:t xml:space="preserve"> awry in the following respects</w:t>
      </w:r>
      <w:r w:rsidR="00105C71" w:rsidRPr="00F3221E">
        <w:rPr>
          <w:rFonts w:ascii="Book Antiqua" w:hAnsi="Book Antiqua" w:cs="Arial"/>
        </w:rPr>
        <w:t xml:space="preserve">.  </w:t>
      </w:r>
      <w:r w:rsidR="006C20DB">
        <w:rPr>
          <w:rFonts w:ascii="Book Antiqua" w:hAnsi="Book Antiqua" w:cs="Arial"/>
        </w:rPr>
        <w:t>Putting aside the absence of any structured legal framework to the marriage issue, we focus on the substance of what has been done. As with his rejection of the C</w:t>
      </w:r>
      <w:r w:rsidR="00105C71" w:rsidRPr="00F3221E">
        <w:rPr>
          <w:rFonts w:ascii="Book Antiqua" w:hAnsi="Book Antiqua" w:cs="Arial"/>
        </w:rPr>
        <w:t xml:space="preserve">onsulate letter and marriage certificate, it was unfair of the judge to simply reject the other documentary evidence going to the marriage and relationship issue simply because originals had </w:t>
      </w:r>
      <w:r w:rsidR="00105C71" w:rsidRPr="00F3221E">
        <w:rPr>
          <w:rFonts w:ascii="Book Antiqua" w:hAnsi="Book Antiqua" w:cs="Arial"/>
        </w:rPr>
        <w:lastRenderedPageBreak/>
        <w:t>not been provided.  Thus, the judge h</w:t>
      </w:r>
      <w:r w:rsidR="006C20DB">
        <w:rPr>
          <w:rFonts w:ascii="Book Antiqua" w:hAnsi="Book Antiqua" w:cs="Arial"/>
        </w:rPr>
        <w:t>ad not taken account of</w:t>
      </w:r>
      <w:r w:rsidR="00105C71" w:rsidRPr="00F3221E">
        <w:rPr>
          <w:rFonts w:ascii="Book Antiqua" w:hAnsi="Book Antiqua" w:cs="Arial"/>
        </w:rPr>
        <w:t xml:space="preserve"> evidence</w:t>
      </w:r>
      <w:r w:rsidR="006C20DB">
        <w:rPr>
          <w:rFonts w:ascii="Book Antiqua" w:hAnsi="Book Antiqua" w:cs="Arial"/>
        </w:rPr>
        <w:t xml:space="preserve"> which had a potential bearing on a material matter. This is</w:t>
      </w:r>
      <w:r w:rsidR="005B76A4" w:rsidRPr="00F3221E">
        <w:rPr>
          <w:rFonts w:ascii="Book Antiqua" w:hAnsi="Book Antiqua" w:cs="Arial"/>
        </w:rPr>
        <w:t xml:space="preserve"> an error of law.  </w:t>
      </w:r>
    </w:p>
    <w:p w14:paraId="5EB027DB" w14:textId="77777777" w:rsidR="00B01CFD" w:rsidRDefault="006C20DB" w:rsidP="00F3221E">
      <w:pPr>
        <w:numPr>
          <w:ilvl w:val="0"/>
          <w:numId w:val="1"/>
        </w:numPr>
        <w:tabs>
          <w:tab w:val="clear" w:pos="567"/>
        </w:tabs>
        <w:spacing w:before="240"/>
        <w:jc w:val="both"/>
        <w:rPr>
          <w:rFonts w:ascii="Book Antiqua" w:hAnsi="Book Antiqua" w:cs="Arial"/>
        </w:rPr>
      </w:pPr>
      <w:r>
        <w:rPr>
          <w:rFonts w:ascii="Book Antiqua" w:hAnsi="Book Antiqua" w:cs="Arial"/>
        </w:rPr>
        <w:t>Next</w:t>
      </w:r>
      <w:r w:rsidR="005B76A4" w:rsidRPr="00F3221E">
        <w:rPr>
          <w:rFonts w:ascii="Book Antiqua" w:hAnsi="Book Antiqua" w:cs="Arial"/>
        </w:rPr>
        <w:t>, the judge has failed to state</w:t>
      </w:r>
      <w:r>
        <w:rPr>
          <w:rFonts w:ascii="Book Antiqua" w:hAnsi="Book Antiqua" w:cs="Arial"/>
        </w:rPr>
        <w:t xml:space="preserve"> </w:t>
      </w:r>
      <w:r w:rsidR="005B76A4" w:rsidRPr="00F3221E">
        <w:rPr>
          <w:rFonts w:ascii="Book Antiqua" w:hAnsi="Book Antiqua" w:cs="Arial"/>
        </w:rPr>
        <w:t xml:space="preserve">at any stage that the legal burden of proving that a marriage was one of convenience rested firmly with the Respondent. He makes no reference to either </w:t>
      </w:r>
      <w:r w:rsidR="005B76A4" w:rsidRPr="00B90962">
        <w:rPr>
          <w:rFonts w:ascii="Book Antiqua" w:hAnsi="Book Antiqua" w:cs="Arial"/>
          <w:u w:val="single"/>
        </w:rPr>
        <w:t>Rosa</w:t>
      </w:r>
      <w:r w:rsidR="005B76A4" w:rsidRPr="00F3221E">
        <w:rPr>
          <w:rFonts w:ascii="Book Antiqua" w:hAnsi="Book Antiqua" w:cs="Arial"/>
        </w:rPr>
        <w:t xml:space="preserve"> </w:t>
      </w:r>
      <w:r w:rsidR="00B01CFD">
        <w:rPr>
          <w:rFonts w:ascii="Book Antiqua" w:hAnsi="Book Antiqua" w:cs="Arial"/>
        </w:rPr>
        <w:t xml:space="preserve">[2016] EWCA </w:t>
      </w:r>
      <w:proofErr w:type="spellStart"/>
      <w:r w:rsidR="00B01CFD">
        <w:rPr>
          <w:rFonts w:ascii="Book Antiqua" w:hAnsi="Book Antiqua" w:cs="Arial"/>
        </w:rPr>
        <w:t>Civ</w:t>
      </w:r>
      <w:proofErr w:type="spellEnd"/>
      <w:r w:rsidR="00B01CFD">
        <w:rPr>
          <w:rFonts w:ascii="Book Antiqua" w:hAnsi="Book Antiqua" w:cs="Arial"/>
        </w:rPr>
        <w:t xml:space="preserve"> 14 </w:t>
      </w:r>
      <w:r w:rsidR="005B76A4" w:rsidRPr="00F3221E">
        <w:rPr>
          <w:rFonts w:ascii="Book Antiqua" w:hAnsi="Book Antiqua" w:cs="Arial"/>
        </w:rPr>
        <w:t xml:space="preserve">or </w:t>
      </w:r>
      <w:proofErr w:type="spellStart"/>
      <w:r w:rsidR="00B01CFD">
        <w:rPr>
          <w:rFonts w:ascii="Book Antiqua" w:hAnsi="Book Antiqua" w:cs="Arial"/>
          <w:u w:val="single"/>
        </w:rPr>
        <w:t>Sadovska</w:t>
      </w:r>
      <w:proofErr w:type="spellEnd"/>
      <w:r w:rsidR="00B01CFD">
        <w:rPr>
          <w:rFonts w:ascii="Book Antiqua" w:hAnsi="Book Antiqua" w:cs="Arial"/>
        </w:rPr>
        <w:t xml:space="preserve"> [2017] UKSC 54</w:t>
      </w:r>
      <w:r w:rsidR="005B76A4" w:rsidRPr="00F3221E">
        <w:rPr>
          <w:rFonts w:ascii="Book Antiqua" w:hAnsi="Book Antiqua" w:cs="Arial"/>
        </w:rPr>
        <w:t>, binding authorities which had been handed down at least a year before this appeal was decided.  We fully appreciate that substance is almost always more im</w:t>
      </w:r>
      <w:r w:rsidR="00B01CFD">
        <w:rPr>
          <w:rFonts w:ascii="Book Antiqua" w:hAnsi="Book Antiqua" w:cs="Arial"/>
        </w:rPr>
        <w:t>portant than form and this applies</w:t>
      </w:r>
      <w:r w:rsidR="005B76A4" w:rsidRPr="00F3221E">
        <w:rPr>
          <w:rFonts w:ascii="Book Antiqua" w:hAnsi="Book Antiqua" w:cs="Arial"/>
        </w:rPr>
        <w:t xml:space="preserve"> to </w:t>
      </w:r>
      <w:r w:rsidR="00B01CFD">
        <w:rPr>
          <w:rFonts w:ascii="Book Antiqua" w:hAnsi="Book Antiqua" w:cs="Arial"/>
        </w:rPr>
        <w:t>the question of whether</w:t>
      </w:r>
      <w:r w:rsidR="005B76A4" w:rsidRPr="00F3221E">
        <w:rPr>
          <w:rFonts w:ascii="Book Antiqua" w:hAnsi="Book Antiqua" w:cs="Arial"/>
        </w:rPr>
        <w:t xml:space="preserve"> the correct burden of proof</w:t>
      </w:r>
      <w:r w:rsidR="00B01CFD">
        <w:rPr>
          <w:rFonts w:ascii="Book Antiqua" w:hAnsi="Book Antiqua" w:cs="Arial"/>
        </w:rPr>
        <w:t xml:space="preserve"> has been applied</w:t>
      </w:r>
      <w:r w:rsidR="005B76A4" w:rsidRPr="00F3221E">
        <w:rPr>
          <w:rFonts w:ascii="Book Antiqua" w:hAnsi="Book Antiqua" w:cs="Arial"/>
        </w:rPr>
        <w:t>.  Howe</w:t>
      </w:r>
      <w:r w:rsidR="00B01CFD">
        <w:rPr>
          <w:rFonts w:ascii="Book Antiqua" w:hAnsi="Book Antiqua" w:cs="Arial"/>
        </w:rPr>
        <w:t>ver when one looks at [</w:t>
      </w:r>
      <w:r w:rsidR="005B76A4" w:rsidRPr="00F3221E">
        <w:rPr>
          <w:rFonts w:ascii="Book Antiqua" w:hAnsi="Book Antiqua" w:cs="Arial"/>
        </w:rPr>
        <w:t>21</w:t>
      </w:r>
      <w:r w:rsidR="00B01CFD">
        <w:rPr>
          <w:rFonts w:ascii="Book Antiqua" w:hAnsi="Book Antiqua" w:cs="Arial"/>
        </w:rPr>
        <w:t>]</w:t>
      </w:r>
      <w:r w:rsidR="005B76A4" w:rsidRPr="00F3221E">
        <w:rPr>
          <w:rFonts w:ascii="Book Antiqua" w:hAnsi="Book Antiqua" w:cs="Arial"/>
        </w:rPr>
        <w:t xml:space="preserve"> of the judge’s d</w:t>
      </w:r>
      <w:r w:rsidR="00B01CFD">
        <w:rPr>
          <w:rFonts w:ascii="Book Antiqua" w:hAnsi="Book Antiqua" w:cs="Arial"/>
        </w:rPr>
        <w:t>ecision it is</w:t>
      </w:r>
      <w:r w:rsidR="005B76A4" w:rsidRPr="00F3221E">
        <w:rPr>
          <w:rFonts w:ascii="Book Antiqua" w:hAnsi="Book Antiqua" w:cs="Arial"/>
        </w:rPr>
        <w:t xml:space="preserve"> clear enough to us, that he has, as a matter of substance, placed the burden of proof upon the Appellan</w:t>
      </w:r>
      <w:r w:rsidR="00B01CFD">
        <w:rPr>
          <w:rFonts w:ascii="Book Antiqua" w:hAnsi="Book Antiqua" w:cs="Arial"/>
        </w:rPr>
        <w:t>t.  His reference back to [</w:t>
      </w:r>
      <w:r w:rsidR="005B76A4" w:rsidRPr="00F3221E">
        <w:rPr>
          <w:rFonts w:ascii="Book Antiqua" w:hAnsi="Book Antiqua" w:cs="Arial"/>
        </w:rPr>
        <w:t>16</w:t>
      </w:r>
      <w:r w:rsidR="00B01CFD">
        <w:rPr>
          <w:rFonts w:ascii="Book Antiqua" w:hAnsi="Book Antiqua" w:cs="Arial"/>
        </w:rPr>
        <w:t>]</w:t>
      </w:r>
      <w:r w:rsidR="005B76A4" w:rsidRPr="00F3221E">
        <w:rPr>
          <w:rFonts w:ascii="Book Antiqua" w:hAnsi="Book Antiqua" w:cs="Arial"/>
        </w:rPr>
        <w:t xml:space="preserve"> does nothing to rectify the error as in that earlier passage he had quite clearly also placed the burden upon the Appellant.  Although the evidence before the judge may well have been less than ideal and that deciding appeals without oral hearings can be a difficult task, we </w:t>
      </w:r>
      <w:r w:rsidR="001616A0">
        <w:rPr>
          <w:rFonts w:ascii="Book Antiqua" w:hAnsi="Book Antiqua" w:cs="Arial"/>
        </w:rPr>
        <w:t>are satisfied that the judge has</w:t>
      </w:r>
      <w:r w:rsidR="005B76A4" w:rsidRPr="00F3221E">
        <w:rPr>
          <w:rFonts w:ascii="Book Antiqua" w:hAnsi="Book Antiqua" w:cs="Arial"/>
        </w:rPr>
        <w:t xml:space="preserve"> gone materially wrong in his approach.  </w:t>
      </w:r>
    </w:p>
    <w:p w14:paraId="5C623862" w14:textId="753573F0" w:rsidR="005B76A4" w:rsidRDefault="00B01CFD" w:rsidP="00F3221E">
      <w:pPr>
        <w:numPr>
          <w:ilvl w:val="0"/>
          <w:numId w:val="1"/>
        </w:numPr>
        <w:tabs>
          <w:tab w:val="clear" w:pos="567"/>
        </w:tabs>
        <w:spacing w:before="240"/>
        <w:jc w:val="both"/>
        <w:rPr>
          <w:rFonts w:ascii="Book Antiqua" w:hAnsi="Book Antiqua" w:cs="Arial"/>
        </w:rPr>
      </w:pPr>
      <w:r>
        <w:rPr>
          <w:rFonts w:ascii="Book Antiqua" w:hAnsi="Book Antiqua" w:cs="Arial"/>
        </w:rPr>
        <w:t>In light of the above, we set the judge’s</w:t>
      </w:r>
      <w:r w:rsidR="005B76A4" w:rsidRPr="00F3221E">
        <w:rPr>
          <w:rFonts w:ascii="Book Antiqua" w:hAnsi="Book Antiqua" w:cs="Arial"/>
        </w:rPr>
        <w:t xml:space="preserve"> decision aside.</w:t>
      </w:r>
    </w:p>
    <w:p w14:paraId="0C734DEE" w14:textId="77777777" w:rsidR="00B81464" w:rsidRDefault="00B81464" w:rsidP="00B81464">
      <w:pPr>
        <w:jc w:val="both"/>
        <w:rPr>
          <w:rFonts w:ascii="Book Antiqua" w:hAnsi="Book Antiqua" w:cs="Arial"/>
          <w:b/>
          <w:u w:val="single"/>
        </w:rPr>
      </w:pPr>
    </w:p>
    <w:p w14:paraId="3F19E38A" w14:textId="2C5D2579" w:rsidR="005B76A4" w:rsidRPr="005B76A4" w:rsidRDefault="005B76A4" w:rsidP="005B76A4">
      <w:pPr>
        <w:spacing w:before="240"/>
        <w:jc w:val="both"/>
        <w:rPr>
          <w:rFonts w:ascii="Book Antiqua" w:hAnsi="Book Antiqua" w:cs="Arial"/>
          <w:b/>
          <w:u w:val="single"/>
        </w:rPr>
      </w:pPr>
      <w:r w:rsidRPr="005B76A4">
        <w:rPr>
          <w:rFonts w:ascii="Book Antiqua" w:hAnsi="Book Antiqua" w:cs="Arial"/>
          <w:b/>
          <w:u w:val="single"/>
        </w:rPr>
        <w:t>Disposal</w:t>
      </w:r>
    </w:p>
    <w:p w14:paraId="448A2F95" w14:textId="40A051B7" w:rsidR="00B01CFD" w:rsidRDefault="00B01CFD" w:rsidP="005B76A4">
      <w:pPr>
        <w:numPr>
          <w:ilvl w:val="0"/>
          <w:numId w:val="1"/>
        </w:numPr>
        <w:tabs>
          <w:tab w:val="clear" w:pos="567"/>
        </w:tabs>
        <w:spacing w:before="240"/>
        <w:jc w:val="both"/>
        <w:rPr>
          <w:rFonts w:ascii="Book Antiqua" w:hAnsi="Book Antiqua" w:cs="Arial"/>
        </w:rPr>
      </w:pPr>
      <w:r>
        <w:rPr>
          <w:rFonts w:ascii="Book Antiqua" w:hAnsi="Book Antiqua" w:cs="Arial"/>
        </w:rPr>
        <w:t xml:space="preserve">Following our error of law </w:t>
      </w:r>
      <w:proofErr w:type="gramStart"/>
      <w:r>
        <w:rPr>
          <w:rFonts w:ascii="Book Antiqua" w:hAnsi="Book Antiqua" w:cs="Arial"/>
        </w:rPr>
        <w:t>decision</w:t>
      </w:r>
      <w:proofErr w:type="gramEnd"/>
      <w:r>
        <w:rPr>
          <w:rFonts w:ascii="Book Antiqua" w:hAnsi="Book Antiqua" w:cs="Arial"/>
        </w:rPr>
        <w:t xml:space="preserve"> we </w:t>
      </w:r>
      <w:r w:rsidR="0091047C">
        <w:rPr>
          <w:rFonts w:ascii="Book Antiqua" w:hAnsi="Book Antiqua" w:cs="Arial"/>
        </w:rPr>
        <w:t>had a discussion with the representatives as to the next steps in this appeal. Mr Clarke accepted that the sole issue is now whether the Appellant's marriage was one of convenience: the question of the proxy marriage has effectively been resolved in the Appellant's favour. Mr Clarke suggested that the appeal should be remitted on the single issue, whilst Ms Joshi though that it could remain in the Upper Tribunal.</w:t>
      </w:r>
    </w:p>
    <w:p w14:paraId="04503CDA" w14:textId="378F821A" w:rsidR="00B01CFD" w:rsidRDefault="005B76A4" w:rsidP="005B76A4">
      <w:pPr>
        <w:numPr>
          <w:ilvl w:val="0"/>
          <w:numId w:val="1"/>
        </w:numPr>
        <w:tabs>
          <w:tab w:val="clear" w:pos="567"/>
        </w:tabs>
        <w:spacing w:before="240"/>
        <w:jc w:val="both"/>
        <w:rPr>
          <w:rFonts w:ascii="Book Antiqua" w:hAnsi="Book Antiqua" w:cs="Arial"/>
        </w:rPr>
      </w:pPr>
      <w:r>
        <w:rPr>
          <w:rFonts w:ascii="Book Antiqua" w:hAnsi="Book Antiqua" w:cs="Arial"/>
        </w:rPr>
        <w:t>We take the view that this appeal must be remitted to the First-tier Tribunal.  We do not make that decision l</w:t>
      </w:r>
      <w:r w:rsidR="00B01CFD">
        <w:rPr>
          <w:rFonts w:ascii="Book Antiqua" w:hAnsi="Book Antiqua" w:cs="Arial"/>
        </w:rPr>
        <w:t>ightly,</w:t>
      </w:r>
      <w:r>
        <w:rPr>
          <w:rFonts w:ascii="Book Antiqua" w:hAnsi="Book Antiqua" w:cs="Arial"/>
        </w:rPr>
        <w:t xml:space="preserve"> and have had full regard to paragraph 7.2 of the Practice Statement.  Having done so, we note that the issue of the proxy marriage is now resolved in the Appellant’s favour however, the marriage of convenience issue is one involving credibility</w:t>
      </w:r>
      <w:r w:rsidR="0091047C">
        <w:rPr>
          <w:rFonts w:ascii="Book Antiqua" w:hAnsi="Book Antiqua" w:cs="Arial"/>
        </w:rPr>
        <w:t>, with the consequential need for</w:t>
      </w:r>
      <w:r>
        <w:rPr>
          <w:rFonts w:ascii="Book Antiqua" w:hAnsi="Book Antiqua" w:cs="Arial"/>
        </w:rPr>
        <w:t xml:space="preserve"> clear and detailed findings of fact</w:t>
      </w:r>
      <w:r w:rsidR="0091047C">
        <w:rPr>
          <w:rFonts w:ascii="Book Antiqua" w:hAnsi="Book Antiqua" w:cs="Arial"/>
        </w:rPr>
        <w:t xml:space="preserve"> to be made</w:t>
      </w:r>
      <w:r>
        <w:rPr>
          <w:rFonts w:ascii="Book Antiqua" w:hAnsi="Book Antiqua" w:cs="Arial"/>
        </w:rPr>
        <w:t>.  Given the fact that there was no previous oral hearing and that there is very little by way of fact-finding in the judge’s decision</w:t>
      </w:r>
      <w:r w:rsidR="0091047C">
        <w:rPr>
          <w:rFonts w:ascii="Book Antiqua" w:hAnsi="Book Antiqua" w:cs="Arial"/>
        </w:rPr>
        <w:t>,</w:t>
      </w:r>
      <w:r>
        <w:rPr>
          <w:rFonts w:ascii="Book Antiqua" w:hAnsi="Book Antiqua" w:cs="Arial"/>
        </w:rPr>
        <w:t xml:space="preserve"> remittal is appropriate.  </w:t>
      </w:r>
    </w:p>
    <w:p w14:paraId="5F3AFA1A" w14:textId="153B22E2" w:rsidR="005B76A4" w:rsidRDefault="005B76A4" w:rsidP="005B76A4">
      <w:pPr>
        <w:numPr>
          <w:ilvl w:val="0"/>
          <w:numId w:val="1"/>
        </w:numPr>
        <w:tabs>
          <w:tab w:val="clear" w:pos="567"/>
        </w:tabs>
        <w:spacing w:before="240"/>
        <w:jc w:val="both"/>
        <w:rPr>
          <w:rFonts w:ascii="Book Antiqua" w:hAnsi="Book Antiqua" w:cs="Arial"/>
        </w:rPr>
      </w:pPr>
      <w:r>
        <w:rPr>
          <w:rFonts w:ascii="Book Antiqua" w:hAnsi="Book Antiqua" w:cs="Arial"/>
        </w:rPr>
        <w:t>We shall issue directions to the parties and the First-tier Tribunal below.</w:t>
      </w:r>
    </w:p>
    <w:p w14:paraId="739B0A03" w14:textId="77777777" w:rsidR="00B81464" w:rsidRDefault="00B81464" w:rsidP="00B81464">
      <w:pPr>
        <w:jc w:val="both"/>
        <w:rPr>
          <w:rFonts w:ascii="Book Antiqua" w:hAnsi="Book Antiqua" w:cs="Arial"/>
          <w:b/>
          <w:u w:val="single"/>
        </w:rPr>
      </w:pPr>
      <w:bookmarkStart w:id="0" w:name="_GoBack"/>
      <w:bookmarkEnd w:id="0"/>
    </w:p>
    <w:p w14:paraId="74999088" w14:textId="016F3340" w:rsidR="00D949B7" w:rsidRDefault="00D949B7" w:rsidP="00CD4CF3">
      <w:pPr>
        <w:spacing w:before="240"/>
        <w:jc w:val="both"/>
        <w:rPr>
          <w:rFonts w:ascii="Book Antiqua" w:hAnsi="Book Antiqua" w:cs="Arial"/>
          <w:b/>
          <w:u w:val="single"/>
        </w:rPr>
      </w:pPr>
      <w:r w:rsidRPr="00D949B7">
        <w:rPr>
          <w:rFonts w:ascii="Book Antiqua" w:hAnsi="Book Antiqua" w:cs="Arial"/>
          <w:b/>
          <w:u w:val="single"/>
        </w:rPr>
        <w:t>Notice of Decision</w:t>
      </w:r>
    </w:p>
    <w:p w14:paraId="220DBFAC" w14:textId="77777777" w:rsidR="00B81464" w:rsidRPr="00D949B7" w:rsidRDefault="00B81464" w:rsidP="00CD4CF3">
      <w:pPr>
        <w:spacing w:before="240"/>
        <w:jc w:val="both"/>
        <w:rPr>
          <w:rFonts w:ascii="Book Antiqua" w:hAnsi="Book Antiqua" w:cs="Arial"/>
          <w:b/>
          <w:u w:val="single"/>
        </w:rPr>
      </w:pPr>
    </w:p>
    <w:p w14:paraId="177EFC82" w14:textId="77777777" w:rsidR="0091047C" w:rsidRDefault="00FE6895" w:rsidP="00CD4CF3">
      <w:pPr>
        <w:spacing w:before="240"/>
        <w:jc w:val="both"/>
        <w:rPr>
          <w:rFonts w:ascii="Book Antiqua" w:hAnsi="Book Antiqua" w:cs="Arial"/>
          <w:b/>
        </w:rPr>
      </w:pPr>
      <w:r w:rsidRPr="00F65B55">
        <w:rPr>
          <w:rFonts w:ascii="Book Antiqua" w:hAnsi="Book Antiqua" w:cs="Arial"/>
          <w:b/>
        </w:rPr>
        <w:t>The</w:t>
      </w:r>
      <w:r w:rsidR="005B76A4">
        <w:rPr>
          <w:rFonts w:ascii="Book Antiqua" w:hAnsi="Book Antiqua" w:cs="Arial"/>
          <w:b/>
        </w:rPr>
        <w:t xml:space="preserve"> decision</w:t>
      </w:r>
      <w:r w:rsidR="00923138">
        <w:rPr>
          <w:rFonts w:ascii="Book Antiqua" w:hAnsi="Book Antiqua" w:cs="Arial"/>
          <w:b/>
        </w:rPr>
        <w:t xml:space="preserve"> of the First-tier Tribunal contains material errors of law.  </w:t>
      </w:r>
    </w:p>
    <w:p w14:paraId="76DBF57C" w14:textId="77777777" w:rsidR="0091047C" w:rsidRDefault="00923138" w:rsidP="00CD4CF3">
      <w:pPr>
        <w:spacing w:before="240"/>
        <w:jc w:val="both"/>
        <w:rPr>
          <w:rFonts w:ascii="Book Antiqua" w:hAnsi="Book Antiqua" w:cs="Arial"/>
          <w:b/>
        </w:rPr>
      </w:pPr>
      <w:r>
        <w:rPr>
          <w:rFonts w:ascii="Book Antiqua" w:hAnsi="Book Antiqua" w:cs="Arial"/>
          <w:b/>
        </w:rPr>
        <w:t xml:space="preserve">We set that decision aside.  </w:t>
      </w:r>
    </w:p>
    <w:p w14:paraId="424AB07C" w14:textId="6F659ABE" w:rsidR="00923138" w:rsidRDefault="00923138" w:rsidP="00CD4CF3">
      <w:pPr>
        <w:spacing w:before="240"/>
        <w:jc w:val="both"/>
        <w:rPr>
          <w:rFonts w:ascii="Book Antiqua" w:hAnsi="Book Antiqua" w:cs="Arial"/>
          <w:b/>
        </w:rPr>
      </w:pPr>
      <w:r>
        <w:rPr>
          <w:rFonts w:ascii="Book Antiqua" w:hAnsi="Book Antiqua" w:cs="Arial"/>
          <w:b/>
        </w:rPr>
        <w:t>We remit this appeal to the First-tier Tribunal.</w:t>
      </w:r>
    </w:p>
    <w:p w14:paraId="1AFE263D" w14:textId="609D6D19" w:rsidR="00D2168B" w:rsidRDefault="00D2168B" w:rsidP="00CD4CF3">
      <w:pPr>
        <w:spacing w:before="240"/>
        <w:jc w:val="both"/>
        <w:rPr>
          <w:rFonts w:ascii="Book Antiqua" w:hAnsi="Book Antiqua" w:cs="Arial"/>
          <w:b/>
        </w:rPr>
      </w:pPr>
      <w:r>
        <w:rPr>
          <w:rFonts w:ascii="Book Antiqua" w:hAnsi="Book Antiqua" w:cs="Arial"/>
          <w:b/>
        </w:rPr>
        <w:lastRenderedPageBreak/>
        <w:t>No anonymity direction made.</w:t>
      </w:r>
    </w:p>
    <w:p w14:paraId="230DB9CB" w14:textId="77777777" w:rsidR="00D2168B" w:rsidRDefault="00D2168B" w:rsidP="00CD4CF3">
      <w:pPr>
        <w:spacing w:before="240"/>
        <w:jc w:val="both"/>
        <w:rPr>
          <w:rFonts w:ascii="Book Antiqua" w:hAnsi="Book Antiqua" w:cs="Arial"/>
          <w:b/>
        </w:rPr>
      </w:pPr>
    </w:p>
    <w:p w14:paraId="22569D5A" w14:textId="65E1A353" w:rsidR="0091047C" w:rsidRPr="009B7433" w:rsidRDefault="0091047C" w:rsidP="0091047C">
      <w:pPr>
        <w:spacing w:before="2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Pr>
          <w:noProof/>
          <w:lang w:val="en-US" w:eastAsia="en-US"/>
        </w:rPr>
        <w:drawing>
          <wp:inline distT="0" distB="0" distL="0" distR="0" wp14:anchorId="1527CC01" wp14:editId="32C9F2FE">
            <wp:extent cx="2287494" cy="674370"/>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8888" cy="674781"/>
                    </a:xfrm>
                    <a:prstGeom prst="rect">
                      <a:avLst/>
                    </a:prstGeom>
                    <a:noFill/>
                    <a:ln>
                      <a:noFill/>
                    </a:ln>
                  </pic:spPr>
                </pic:pic>
              </a:graphicData>
            </a:graphic>
          </wp:inline>
        </w:drawing>
      </w:r>
      <w:r>
        <w:rPr>
          <w:rFonts w:ascii="Book Antiqua" w:hAnsi="Book Antiqua" w:cs="Arial"/>
        </w:rPr>
        <w:tab/>
      </w:r>
      <w:r>
        <w:rPr>
          <w:rFonts w:ascii="Book Antiqua" w:hAnsi="Book Antiqua" w:cs="Arial"/>
        </w:rPr>
        <w:tab/>
      </w:r>
      <w:r>
        <w:rPr>
          <w:rFonts w:ascii="Book Antiqua" w:hAnsi="Book Antiqua" w:cs="Arial"/>
        </w:rPr>
        <w:tab/>
      </w:r>
      <w:r w:rsidRPr="009B7433">
        <w:rPr>
          <w:rFonts w:ascii="Book Antiqua" w:hAnsi="Book Antiqua" w:cs="Arial"/>
        </w:rPr>
        <w:t>Date</w:t>
      </w:r>
      <w:r>
        <w:rPr>
          <w:rFonts w:ascii="Book Antiqua" w:hAnsi="Book Antiqua" w:cs="Arial"/>
        </w:rPr>
        <w:t>: 11 November 2018</w:t>
      </w:r>
    </w:p>
    <w:p w14:paraId="6FDF47DB" w14:textId="77777777" w:rsidR="0091047C" w:rsidRPr="001C5703" w:rsidRDefault="0091047C" w:rsidP="0091047C">
      <w:pPr>
        <w:spacing w:before="240"/>
        <w:jc w:val="both"/>
        <w:rPr>
          <w:rFonts w:ascii="Book Antiqua" w:hAnsi="Book Antiqua" w:cs="Arial"/>
          <w:color w:val="000000"/>
        </w:rPr>
      </w:pPr>
      <w:r>
        <w:rPr>
          <w:rFonts w:ascii="Book Antiqua" w:hAnsi="Book Antiqua" w:cs="Arial"/>
          <w:color w:val="000000"/>
        </w:rPr>
        <w:t>Deputy Upper Tribunal Judge Norton-Taylor</w:t>
      </w:r>
    </w:p>
    <w:p w14:paraId="06A9D58E" w14:textId="77777777" w:rsidR="0091047C" w:rsidRDefault="0091047C" w:rsidP="00CD4CF3">
      <w:pPr>
        <w:spacing w:before="240"/>
        <w:jc w:val="both"/>
        <w:rPr>
          <w:rFonts w:ascii="Book Antiqua" w:hAnsi="Book Antiqua" w:cs="Arial"/>
          <w:b/>
        </w:rPr>
      </w:pPr>
    </w:p>
    <w:p w14:paraId="07996223" w14:textId="77777777" w:rsidR="0091047C" w:rsidRDefault="0091047C" w:rsidP="00CD4CF3">
      <w:pPr>
        <w:spacing w:before="240"/>
        <w:jc w:val="both"/>
        <w:rPr>
          <w:rFonts w:ascii="Book Antiqua" w:hAnsi="Book Antiqua" w:cs="Arial"/>
          <w:b/>
        </w:rPr>
      </w:pPr>
    </w:p>
    <w:sectPr w:rsidR="0091047C" w:rsidSect="00813EDE">
      <w:headerReference w:type="default" r:id="rId10"/>
      <w:footerReference w:type="default" r:id="rId11"/>
      <w:headerReference w:type="first" r:id="rId12"/>
      <w:footerReference w:type="first" r:id="rId13"/>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8BFD4" w14:textId="77777777" w:rsidR="00D2168B" w:rsidRDefault="00D2168B">
      <w:r>
        <w:separator/>
      </w:r>
    </w:p>
  </w:endnote>
  <w:endnote w:type="continuationSeparator" w:id="0">
    <w:p w14:paraId="64E51A35" w14:textId="77777777" w:rsidR="00D2168B" w:rsidRDefault="00D21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auto"/>
    <w:pitch w:val="variable"/>
    <w:sig w:usb0="E1002A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8D820" w14:textId="71A02576" w:rsidR="00D2168B" w:rsidRPr="00510953" w:rsidRDefault="00D2168B" w:rsidP="00593795">
    <w:pPr>
      <w:pStyle w:val="Footer"/>
      <w:jc w:val="center"/>
      <w:rPr>
        <w:rFonts w:ascii="Book Antiqua" w:hAnsi="Book Antiqua" w:cs="Arial"/>
      </w:rPr>
    </w:pPr>
    <w:r w:rsidRPr="00510953">
      <w:rPr>
        <w:rStyle w:val="PageNumber"/>
        <w:rFonts w:ascii="Book Antiqua" w:hAnsi="Book Antiqua" w:cs="Arial"/>
      </w:rPr>
      <w:fldChar w:fldCharType="begin"/>
    </w:r>
    <w:r w:rsidRPr="00510953">
      <w:rPr>
        <w:rStyle w:val="PageNumber"/>
        <w:rFonts w:ascii="Book Antiqua" w:hAnsi="Book Antiqua" w:cs="Arial"/>
      </w:rPr>
      <w:instrText xml:space="preserve"> PAGE </w:instrText>
    </w:r>
    <w:r w:rsidRPr="00510953">
      <w:rPr>
        <w:rStyle w:val="PageNumber"/>
        <w:rFonts w:ascii="Book Antiqua" w:hAnsi="Book Antiqua" w:cs="Arial"/>
      </w:rPr>
      <w:fldChar w:fldCharType="separate"/>
    </w:r>
    <w:r w:rsidR="00924251">
      <w:rPr>
        <w:rStyle w:val="PageNumber"/>
        <w:rFonts w:ascii="Book Antiqua" w:hAnsi="Book Antiqua" w:cs="Arial"/>
        <w:noProof/>
      </w:rPr>
      <w:t>6</w:t>
    </w:r>
    <w:r w:rsidRPr="00510953">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F4879F" w14:textId="77777777" w:rsidR="00D2168B" w:rsidRPr="009B7433" w:rsidRDefault="00D2168B"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24FF1" w14:textId="77777777" w:rsidR="00D2168B" w:rsidRDefault="00D2168B">
      <w:r>
        <w:separator/>
      </w:r>
    </w:p>
  </w:footnote>
  <w:footnote w:type="continuationSeparator" w:id="0">
    <w:p w14:paraId="5453293C" w14:textId="77777777" w:rsidR="00D2168B" w:rsidRDefault="00D21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9573F" w14:textId="42F57B4F" w:rsidR="00D2168B" w:rsidRDefault="00D2168B"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Pr>
        <w:rFonts w:ascii="Book Antiqua" w:hAnsi="Book Antiqua" w:cs="Arial"/>
        <w:sz w:val="16"/>
        <w:szCs w:val="16"/>
      </w:rPr>
      <w:t>EA/06575/2017</w:t>
    </w:r>
  </w:p>
  <w:p w14:paraId="5E8850B3" w14:textId="77777777" w:rsidR="00510953" w:rsidRPr="009B7433" w:rsidRDefault="00510953"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82CB0" w14:textId="77777777" w:rsidR="00D2168B" w:rsidRPr="009B7433" w:rsidRDefault="00D2168B">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C5181"/>
    <w:multiLevelType w:val="hybridMultilevel"/>
    <w:tmpl w:val="0E8C5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6100FF"/>
    <w:multiLevelType w:val="hybridMultilevel"/>
    <w:tmpl w:val="C3BEE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4A4"/>
    <w:rsid w:val="00000621"/>
    <w:rsid w:val="00003131"/>
    <w:rsid w:val="000036C2"/>
    <w:rsid w:val="000111FC"/>
    <w:rsid w:val="00016C1A"/>
    <w:rsid w:val="00033588"/>
    <w:rsid w:val="00033D3D"/>
    <w:rsid w:val="0004776F"/>
    <w:rsid w:val="00052895"/>
    <w:rsid w:val="00062F02"/>
    <w:rsid w:val="0007011D"/>
    <w:rsid w:val="00071A7E"/>
    <w:rsid w:val="000746C0"/>
    <w:rsid w:val="00074D1D"/>
    <w:rsid w:val="00092580"/>
    <w:rsid w:val="00093D4D"/>
    <w:rsid w:val="00097323"/>
    <w:rsid w:val="000D5D94"/>
    <w:rsid w:val="000D659D"/>
    <w:rsid w:val="000F1A0E"/>
    <w:rsid w:val="00105C71"/>
    <w:rsid w:val="001165A7"/>
    <w:rsid w:val="001504A4"/>
    <w:rsid w:val="00160508"/>
    <w:rsid w:val="001616A0"/>
    <w:rsid w:val="0016508E"/>
    <w:rsid w:val="00167D3A"/>
    <w:rsid w:val="00173F50"/>
    <w:rsid w:val="00185986"/>
    <w:rsid w:val="001A3082"/>
    <w:rsid w:val="001B186A"/>
    <w:rsid w:val="001B2F75"/>
    <w:rsid w:val="001B45A7"/>
    <w:rsid w:val="001C3EBC"/>
    <w:rsid w:val="001C6F5F"/>
    <w:rsid w:val="001C6F98"/>
    <w:rsid w:val="001C7F77"/>
    <w:rsid w:val="001D6167"/>
    <w:rsid w:val="001E5948"/>
    <w:rsid w:val="001F2716"/>
    <w:rsid w:val="001F3AC0"/>
    <w:rsid w:val="00207617"/>
    <w:rsid w:val="002211AB"/>
    <w:rsid w:val="00230CB9"/>
    <w:rsid w:val="0023134B"/>
    <w:rsid w:val="002367D6"/>
    <w:rsid w:val="0027566E"/>
    <w:rsid w:val="00283659"/>
    <w:rsid w:val="0029177A"/>
    <w:rsid w:val="002A1BC5"/>
    <w:rsid w:val="002C6BD4"/>
    <w:rsid w:val="002D68BF"/>
    <w:rsid w:val="002E4541"/>
    <w:rsid w:val="002F6B98"/>
    <w:rsid w:val="003053D1"/>
    <w:rsid w:val="003173A3"/>
    <w:rsid w:val="003175E4"/>
    <w:rsid w:val="00336CBF"/>
    <w:rsid w:val="00343FE3"/>
    <w:rsid w:val="00351576"/>
    <w:rsid w:val="003546C8"/>
    <w:rsid w:val="00354B77"/>
    <w:rsid w:val="003825D4"/>
    <w:rsid w:val="003A4DFE"/>
    <w:rsid w:val="003A7CF2"/>
    <w:rsid w:val="003C5CE5"/>
    <w:rsid w:val="003D6FAD"/>
    <w:rsid w:val="003E267B"/>
    <w:rsid w:val="003E7CD1"/>
    <w:rsid w:val="003F5B64"/>
    <w:rsid w:val="00402B9E"/>
    <w:rsid w:val="00423ABD"/>
    <w:rsid w:val="004249CB"/>
    <w:rsid w:val="0044127D"/>
    <w:rsid w:val="004448DB"/>
    <w:rsid w:val="00444EF7"/>
    <w:rsid w:val="00446C9A"/>
    <w:rsid w:val="00452F2B"/>
    <w:rsid w:val="00461263"/>
    <w:rsid w:val="00477193"/>
    <w:rsid w:val="00493146"/>
    <w:rsid w:val="00494716"/>
    <w:rsid w:val="004A1848"/>
    <w:rsid w:val="004A2D15"/>
    <w:rsid w:val="004A3000"/>
    <w:rsid w:val="004A534C"/>
    <w:rsid w:val="004A6F4A"/>
    <w:rsid w:val="004B70D7"/>
    <w:rsid w:val="004D6B45"/>
    <w:rsid w:val="004D6CE8"/>
    <w:rsid w:val="004E4717"/>
    <w:rsid w:val="00507FEC"/>
    <w:rsid w:val="00510953"/>
    <w:rsid w:val="00510F0E"/>
    <w:rsid w:val="005479E1"/>
    <w:rsid w:val="00553E0A"/>
    <w:rsid w:val="005570FD"/>
    <w:rsid w:val="005575EA"/>
    <w:rsid w:val="005660DA"/>
    <w:rsid w:val="0057790C"/>
    <w:rsid w:val="00593795"/>
    <w:rsid w:val="005A75FF"/>
    <w:rsid w:val="005B76A4"/>
    <w:rsid w:val="005D10AB"/>
    <w:rsid w:val="00601D8F"/>
    <w:rsid w:val="00605582"/>
    <w:rsid w:val="00611F34"/>
    <w:rsid w:val="00620F3C"/>
    <w:rsid w:val="00621FE8"/>
    <w:rsid w:val="006434B6"/>
    <w:rsid w:val="00653E97"/>
    <w:rsid w:val="006667DB"/>
    <w:rsid w:val="00670EAF"/>
    <w:rsid w:val="00684A74"/>
    <w:rsid w:val="0068620A"/>
    <w:rsid w:val="00690B8A"/>
    <w:rsid w:val="00690E71"/>
    <w:rsid w:val="006C20DB"/>
    <w:rsid w:val="006F2CF1"/>
    <w:rsid w:val="007038ED"/>
    <w:rsid w:val="00703BC3"/>
    <w:rsid w:val="00704B61"/>
    <w:rsid w:val="00715A64"/>
    <w:rsid w:val="00740C1F"/>
    <w:rsid w:val="0074796D"/>
    <w:rsid w:val="007552A9"/>
    <w:rsid w:val="0075658A"/>
    <w:rsid w:val="00761858"/>
    <w:rsid w:val="00767D59"/>
    <w:rsid w:val="00776E97"/>
    <w:rsid w:val="00780F86"/>
    <w:rsid w:val="007912AD"/>
    <w:rsid w:val="007B04B2"/>
    <w:rsid w:val="007B0824"/>
    <w:rsid w:val="007B5D3C"/>
    <w:rsid w:val="007B7391"/>
    <w:rsid w:val="007C0815"/>
    <w:rsid w:val="007F2E69"/>
    <w:rsid w:val="007F5E7A"/>
    <w:rsid w:val="0081376C"/>
    <w:rsid w:val="00813EDE"/>
    <w:rsid w:val="00815011"/>
    <w:rsid w:val="00821B72"/>
    <w:rsid w:val="00823EF2"/>
    <w:rsid w:val="008303B8"/>
    <w:rsid w:val="00833DCE"/>
    <w:rsid w:val="0085036E"/>
    <w:rsid w:val="00871D34"/>
    <w:rsid w:val="008A1AB1"/>
    <w:rsid w:val="008A25EC"/>
    <w:rsid w:val="008A6059"/>
    <w:rsid w:val="008B270C"/>
    <w:rsid w:val="008B35A0"/>
    <w:rsid w:val="008B5078"/>
    <w:rsid w:val="008C3D3D"/>
    <w:rsid w:val="008D05F7"/>
    <w:rsid w:val="008D4131"/>
    <w:rsid w:val="008D41D9"/>
    <w:rsid w:val="008E25C8"/>
    <w:rsid w:val="008F1932"/>
    <w:rsid w:val="008F20AC"/>
    <w:rsid w:val="0090151B"/>
    <w:rsid w:val="009042A9"/>
    <w:rsid w:val="0091047C"/>
    <w:rsid w:val="00921062"/>
    <w:rsid w:val="00923138"/>
    <w:rsid w:val="00924251"/>
    <w:rsid w:val="009425CC"/>
    <w:rsid w:val="009722BC"/>
    <w:rsid w:val="009727A3"/>
    <w:rsid w:val="00987774"/>
    <w:rsid w:val="009A11E8"/>
    <w:rsid w:val="009B7433"/>
    <w:rsid w:val="009C57C8"/>
    <w:rsid w:val="009D5357"/>
    <w:rsid w:val="009F5220"/>
    <w:rsid w:val="00A051E6"/>
    <w:rsid w:val="00A07919"/>
    <w:rsid w:val="00A15234"/>
    <w:rsid w:val="00A201AB"/>
    <w:rsid w:val="00A31C8B"/>
    <w:rsid w:val="00A509FA"/>
    <w:rsid w:val="00A710A5"/>
    <w:rsid w:val="00A845DC"/>
    <w:rsid w:val="00AD2088"/>
    <w:rsid w:val="00AD7143"/>
    <w:rsid w:val="00AD777B"/>
    <w:rsid w:val="00B01CFD"/>
    <w:rsid w:val="00B12405"/>
    <w:rsid w:val="00B255D1"/>
    <w:rsid w:val="00B26AA2"/>
    <w:rsid w:val="00B3524D"/>
    <w:rsid w:val="00B40F69"/>
    <w:rsid w:val="00B41D5D"/>
    <w:rsid w:val="00B46616"/>
    <w:rsid w:val="00B528BB"/>
    <w:rsid w:val="00B7040A"/>
    <w:rsid w:val="00B81464"/>
    <w:rsid w:val="00B83391"/>
    <w:rsid w:val="00B90962"/>
    <w:rsid w:val="00B95326"/>
    <w:rsid w:val="00BB0C31"/>
    <w:rsid w:val="00BD4196"/>
    <w:rsid w:val="00BF22CA"/>
    <w:rsid w:val="00BF23BB"/>
    <w:rsid w:val="00C03E61"/>
    <w:rsid w:val="00C07013"/>
    <w:rsid w:val="00C26032"/>
    <w:rsid w:val="00C345E1"/>
    <w:rsid w:val="00C40B79"/>
    <w:rsid w:val="00C43BFD"/>
    <w:rsid w:val="00C4615B"/>
    <w:rsid w:val="00C50865"/>
    <w:rsid w:val="00C6048A"/>
    <w:rsid w:val="00C623FF"/>
    <w:rsid w:val="00C624AE"/>
    <w:rsid w:val="00CB6E35"/>
    <w:rsid w:val="00CD1A9A"/>
    <w:rsid w:val="00CD4CF3"/>
    <w:rsid w:val="00CE09B1"/>
    <w:rsid w:val="00CE1A46"/>
    <w:rsid w:val="00D20757"/>
    <w:rsid w:val="00D213D6"/>
    <w:rsid w:val="00D2168B"/>
    <w:rsid w:val="00D22636"/>
    <w:rsid w:val="00D273A0"/>
    <w:rsid w:val="00D40FD9"/>
    <w:rsid w:val="00D53769"/>
    <w:rsid w:val="00D57B33"/>
    <w:rsid w:val="00D609F4"/>
    <w:rsid w:val="00D6602D"/>
    <w:rsid w:val="00D85C13"/>
    <w:rsid w:val="00D9111A"/>
    <w:rsid w:val="00D91BE3"/>
    <w:rsid w:val="00D949B7"/>
    <w:rsid w:val="00D94AFC"/>
    <w:rsid w:val="00DA1ACB"/>
    <w:rsid w:val="00DB3BB4"/>
    <w:rsid w:val="00DB70AE"/>
    <w:rsid w:val="00DD5071"/>
    <w:rsid w:val="00DD5C39"/>
    <w:rsid w:val="00DD6B35"/>
    <w:rsid w:val="00DE7DB7"/>
    <w:rsid w:val="00E00A0A"/>
    <w:rsid w:val="00E066DE"/>
    <w:rsid w:val="00E07F57"/>
    <w:rsid w:val="00E30683"/>
    <w:rsid w:val="00E42107"/>
    <w:rsid w:val="00E453D8"/>
    <w:rsid w:val="00E50BCE"/>
    <w:rsid w:val="00E574BF"/>
    <w:rsid w:val="00E61292"/>
    <w:rsid w:val="00E77C4D"/>
    <w:rsid w:val="00E81D01"/>
    <w:rsid w:val="00EA6A94"/>
    <w:rsid w:val="00EB485A"/>
    <w:rsid w:val="00EE45D8"/>
    <w:rsid w:val="00F22EDA"/>
    <w:rsid w:val="00F3221E"/>
    <w:rsid w:val="00F4779E"/>
    <w:rsid w:val="00F5589A"/>
    <w:rsid w:val="00F82A20"/>
    <w:rsid w:val="00FC0097"/>
    <w:rsid w:val="00FC40FA"/>
    <w:rsid w:val="00FE0AEF"/>
    <w:rsid w:val="00FE3842"/>
    <w:rsid w:val="00FE689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76514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910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44F01-A409-450E-97D0-0037C03AF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2276</Words>
  <Characters>11293</Characters>
  <Application>Microsoft Office Word</Application>
  <DocSecurity>0</DocSecurity>
  <Lines>94</Lines>
  <Paragraphs>27</Paragraphs>
  <ScaleCrop>false</ScaleCrop>
  <Company/>
  <LinksUpToDate>false</LinksUpToDate>
  <CharactersWithSpaces>13542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2018-12-07T12:41:00Z</dcterms:created>
  <dcterms:modified xsi:type="dcterms:W3CDTF">2018-12-07T12:41:00Z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