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C3A49"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E0CE5"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E0CE5">
        <w:rPr>
          <w:rFonts w:ascii="Book Antiqua" w:hAnsi="Book Antiqua" w:cs="Arial"/>
          <w:b/>
        </w:rPr>
        <w:t xml:space="preserve">   </w:t>
      </w:r>
      <w:proofErr w:type="gramEnd"/>
      <w:r w:rsidR="009E0CE5">
        <w:rPr>
          <w:rFonts w:ascii="Book Antiqua" w:hAnsi="Book Antiqua" w:cs="Arial"/>
          <w:b/>
        </w:rPr>
        <w:t xml:space="preserve">                      </w:t>
      </w:r>
      <w:r w:rsidR="00B3524D" w:rsidRPr="009E0CE5">
        <w:rPr>
          <w:rFonts w:ascii="Book Antiqua" w:hAnsi="Book Antiqua" w:cs="Arial"/>
          <w:b/>
        </w:rPr>
        <w:t>Appeal Number</w:t>
      </w:r>
      <w:r w:rsidR="00D53769" w:rsidRPr="009E0CE5">
        <w:rPr>
          <w:rFonts w:ascii="Book Antiqua" w:hAnsi="Book Antiqua" w:cs="Arial"/>
          <w:b/>
        </w:rPr>
        <w:t>:</w:t>
      </w:r>
      <w:r w:rsidR="00B3524D" w:rsidRPr="009E0CE5">
        <w:rPr>
          <w:rFonts w:ascii="Book Antiqua" w:hAnsi="Book Antiqua" w:cs="Arial"/>
          <w:b/>
        </w:rPr>
        <w:t xml:space="preserve"> </w:t>
      </w:r>
      <w:r w:rsidR="004C5DD0" w:rsidRPr="009E0CE5">
        <w:rPr>
          <w:rFonts w:ascii="Book Antiqua" w:hAnsi="Book Antiqua" w:cs="Arial"/>
          <w:b/>
          <w:caps/>
        </w:rPr>
        <w:t>EA/06608/2016</w:t>
      </w:r>
    </w:p>
    <w:p w:rsidR="00C345E1" w:rsidRPr="009E0CE5"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8C7A0E" w:rsidTr="009E0CE5">
        <w:tc>
          <w:tcPr>
            <w:tcW w:w="5387" w:type="dxa"/>
            <w:shd w:val="clear" w:color="auto" w:fill="auto"/>
          </w:tcPr>
          <w:p w:rsidR="00D22636" w:rsidRPr="008C7A0E" w:rsidRDefault="00D22636" w:rsidP="008C7A0E">
            <w:pPr>
              <w:jc w:val="both"/>
              <w:rPr>
                <w:rFonts w:ascii="Book Antiqua" w:hAnsi="Book Antiqua" w:cs="Arial"/>
                <w:b/>
              </w:rPr>
            </w:pPr>
            <w:r w:rsidRPr="008C7A0E">
              <w:rPr>
                <w:rFonts w:ascii="Book Antiqua" w:hAnsi="Book Antiqua" w:cs="Arial"/>
                <w:b/>
              </w:rPr>
              <w:t xml:space="preserve">Heard at </w:t>
            </w:r>
            <w:r w:rsidR="004C5DD0" w:rsidRPr="008C7A0E">
              <w:rPr>
                <w:rFonts w:ascii="Book Antiqua" w:hAnsi="Book Antiqua" w:cs="Arial"/>
                <w:b/>
              </w:rPr>
              <w:t xml:space="preserve">Field House </w:t>
            </w:r>
          </w:p>
        </w:tc>
        <w:tc>
          <w:tcPr>
            <w:tcW w:w="4621" w:type="dxa"/>
            <w:shd w:val="clear" w:color="auto" w:fill="auto"/>
          </w:tcPr>
          <w:p w:rsidR="00D22636" w:rsidRPr="008C7A0E" w:rsidRDefault="00CF7E9F" w:rsidP="008C7A0E">
            <w:pPr>
              <w:jc w:val="both"/>
              <w:rPr>
                <w:rFonts w:ascii="Book Antiqua" w:hAnsi="Book Antiqua" w:cs="Arial"/>
                <w:b/>
              </w:rPr>
            </w:pPr>
            <w:r w:rsidRPr="008C7A0E">
              <w:rPr>
                <w:rFonts w:ascii="Book Antiqua" w:hAnsi="Book Antiqua" w:cs="Arial"/>
                <w:b/>
              </w:rPr>
              <w:t>Decision &amp; Reasons</w:t>
            </w:r>
            <w:r w:rsidR="00283659" w:rsidRPr="008C7A0E">
              <w:rPr>
                <w:rFonts w:ascii="Book Antiqua" w:hAnsi="Book Antiqua" w:cs="Arial"/>
                <w:b/>
              </w:rPr>
              <w:t xml:space="preserve"> Promulgated</w:t>
            </w:r>
          </w:p>
        </w:tc>
      </w:tr>
      <w:tr w:rsidR="00D22636" w:rsidRPr="008C7A0E" w:rsidTr="009E0CE5">
        <w:tc>
          <w:tcPr>
            <w:tcW w:w="5387" w:type="dxa"/>
            <w:shd w:val="clear" w:color="auto" w:fill="auto"/>
          </w:tcPr>
          <w:p w:rsidR="00D22636" w:rsidRPr="008C7A0E" w:rsidRDefault="00D22636" w:rsidP="008C7A0E">
            <w:pPr>
              <w:jc w:val="both"/>
              <w:rPr>
                <w:rFonts w:ascii="Book Antiqua" w:hAnsi="Book Antiqua" w:cs="Arial"/>
                <w:b/>
              </w:rPr>
            </w:pPr>
            <w:r w:rsidRPr="008C7A0E">
              <w:rPr>
                <w:rFonts w:ascii="Book Antiqua" w:hAnsi="Book Antiqua" w:cs="Arial"/>
                <w:b/>
              </w:rPr>
              <w:t xml:space="preserve">On </w:t>
            </w:r>
            <w:r w:rsidR="004C5DD0" w:rsidRPr="008C7A0E">
              <w:rPr>
                <w:rFonts w:ascii="Book Antiqua" w:hAnsi="Book Antiqua" w:cs="Arial"/>
                <w:b/>
              </w:rPr>
              <w:t>27</w:t>
            </w:r>
            <w:r w:rsidR="004C5DD0" w:rsidRPr="008C7A0E">
              <w:rPr>
                <w:rFonts w:ascii="Book Antiqua" w:hAnsi="Book Antiqua" w:cs="Arial"/>
                <w:b/>
                <w:vertAlign w:val="superscript"/>
              </w:rPr>
              <w:t>th</w:t>
            </w:r>
            <w:r w:rsidR="004C5DD0" w:rsidRPr="008C7A0E">
              <w:rPr>
                <w:rFonts w:ascii="Book Antiqua" w:hAnsi="Book Antiqua" w:cs="Arial"/>
                <w:b/>
              </w:rPr>
              <w:t xml:space="preserve"> February 2018 </w:t>
            </w:r>
          </w:p>
        </w:tc>
        <w:tc>
          <w:tcPr>
            <w:tcW w:w="4621" w:type="dxa"/>
            <w:shd w:val="clear" w:color="auto" w:fill="auto"/>
          </w:tcPr>
          <w:p w:rsidR="00D22636" w:rsidRPr="008C7A0E" w:rsidRDefault="005C3A49" w:rsidP="008C7A0E">
            <w:pPr>
              <w:jc w:val="both"/>
              <w:rPr>
                <w:rFonts w:ascii="Book Antiqua" w:hAnsi="Book Antiqua" w:cs="Arial"/>
                <w:b/>
              </w:rPr>
            </w:pPr>
            <w:r>
              <w:rPr>
                <w:rFonts w:ascii="Book Antiqua" w:hAnsi="Book Antiqua" w:cs="Arial"/>
                <w:b/>
              </w:rPr>
              <w:t>On 17</w:t>
            </w:r>
            <w:r w:rsidRPr="005C3A49">
              <w:rPr>
                <w:rFonts w:ascii="Book Antiqua" w:hAnsi="Book Antiqua" w:cs="Arial"/>
                <w:b/>
                <w:vertAlign w:val="superscript"/>
              </w:rPr>
              <w:t>th</w:t>
            </w:r>
            <w:r>
              <w:rPr>
                <w:rFonts w:ascii="Book Antiqua" w:hAnsi="Book Antiqua" w:cs="Arial"/>
                <w:b/>
              </w:rPr>
              <w:t xml:space="preserve"> May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41B28"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71973">
        <w:rPr>
          <w:rFonts w:ascii="Book Antiqua" w:hAnsi="Book Antiqua" w:cs="Arial"/>
          <w:b/>
        </w:rPr>
        <w:t>KELLY</w:t>
      </w: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4C5DD0" w:rsidRDefault="004C5DD0" w:rsidP="00A15234">
      <w:pPr>
        <w:jc w:val="center"/>
        <w:rPr>
          <w:rFonts w:ascii="Book Antiqua" w:hAnsi="Book Antiqua" w:cs="Arial"/>
          <w:b/>
        </w:rPr>
      </w:pPr>
    </w:p>
    <w:p w:rsidR="004C5DD0" w:rsidRPr="00F5664C" w:rsidRDefault="004C5DD0"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3B3EE1"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4C5DD0" w:rsidRPr="004C5DD0" w:rsidRDefault="004C5DD0" w:rsidP="004C5DD0">
      <w:pPr>
        <w:jc w:val="center"/>
        <w:rPr>
          <w:rFonts w:ascii="Book Antiqua" w:hAnsi="Book Antiqua" w:cs="Arial"/>
          <w:b/>
          <w:caps/>
        </w:rPr>
      </w:pPr>
      <w:r>
        <w:rPr>
          <w:rFonts w:ascii="Book Antiqua" w:hAnsi="Book Antiqua" w:cs="Arial"/>
          <w:b/>
          <w:caps/>
        </w:rPr>
        <w:t xml:space="preserve">hakim </w:t>
      </w:r>
      <w:r w:rsidRPr="004C5DD0">
        <w:rPr>
          <w:rFonts w:ascii="Book Antiqua" w:hAnsi="Book Antiqua" w:cs="Arial"/>
          <w:b/>
          <w:caps/>
        </w:rPr>
        <w:t>Zouargui</w:t>
      </w:r>
    </w:p>
    <w:p w:rsidR="004C5DD0" w:rsidRPr="009E0CE5" w:rsidRDefault="004C5DD0" w:rsidP="004C5DD0">
      <w:pPr>
        <w:jc w:val="center"/>
        <w:rPr>
          <w:rFonts w:ascii="Book Antiqua" w:hAnsi="Book Antiqua" w:cs="Arial"/>
          <w:caps/>
        </w:rPr>
      </w:pPr>
      <w:r w:rsidRPr="009E0CE5">
        <w:rPr>
          <w:rFonts w:ascii="Book Antiqua" w:hAnsi="Book Antiqua" w:cs="Arial"/>
          <w:caps/>
        </w:rPr>
        <w:t>(ANONYMITY DIRECTION not made)</w:t>
      </w:r>
    </w:p>
    <w:p w:rsidR="00DD5071" w:rsidRPr="00F5664C" w:rsidRDefault="003B3EE1"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3B3EE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4C5DD0">
        <w:rPr>
          <w:rFonts w:ascii="Book Antiqua" w:hAnsi="Book Antiqua" w:cs="Arial"/>
        </w:rPr>
        <w:t xml:space="preserve">Mr J </w:t>
      </w:r>
      <w:proofErr w:type="spellStart"/>
      <w:r w:rsidR="004C5DD0">
        <w:rPr>
          <w:rFonts w:ascii="Book Antiqua" w:hAnsi="Book Antiqua" w:cs="Arial"/>
        </w:rPr>
        <w:t>McGi</w:t>
      </w:r>
      <w:r w:rsidR="00187948">
        <w:rPr>
          <w:rFonts w:ascii="Book Antiqua" w:hAnsi="Book Antiqua" w:cs="Arial"/>
        </w:rPr>
        <w:t>rr</w:t>
      </w:r>
      <w:proofErr w:type="spellEnd"/>
      <w:r w:rsidR="004C5DD0">
        <w:rPr>
          <w:rFonts w:ascii="Book Antiqua" w:hAnsi="Book Antiqua" w:cs="Arial"/>
        </w:rPr>
        <w:t xml:space="preserve">,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3B3EE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4C5DD0">
        <w:rPr>
          <w:rFonts w:ascii="Book Antiqua" w:hAnsi="Book Antiqua" w:cs="Arial"/>
        </w:rPr>
        <w:t xml:space="preserve">Ms C </w:t>
      </w:r>
      <w:proofErr w:type="spellStart"/>
      <w:r w:rsidR="004C5DD0">
        <w:rPr>
          <w:rFonts w:ascii="Book Antiqua" w:hAnsi="Book Antiqua" w:cs="Arial"/>
        </w:rPr>
        <w:t>Jacquiss</w:t>
      </w:r>
      <w:proofErr w:type="spellEnd"/>
      <w:r w:rsidR="004C5DD0">
        <w:rPr>
          <w:rFonts w:ascii="Book Antiqua" w:hAnsi="Book Antiqua" w:cs="Arial"/>
        </w:rPr>
        <w:t>, Counsel instructed by Harrow Law Centre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25579" w:rsidRDefault="004C5DD0" w:rsidP="00D371C7">
      <w:pPr>
        <w:numPr>
          <w:ilvl w:val="0"/>
          <w:numId w:val="3"/>
        </w:numPr>
        <w:spacing w:before="240"/>
        <w:jc w:val="both"/>
        <w:rPr>
          <w:rFonts w:ascii="Book Antiqua" w:hAnsi="Book Antiqua" w:cs="Arial"/>
        </w:rPr>
      </w:pPr>
      <w:r>
        <w:rPr>
          <w:rFonts w:ascii="Book Antiqua" w:hAnsi="Book Antiqua" w:cs="Arial"/>
        </w:rPr>
        <w:t xml:space="preserve">This is an appeal by the Secretary of State for the Home Department against a </w:t>
      </w:r>
      <w:r w:rsidR="00AB51B4">
        <w:rPr>
          <w:rFonts w:ascii="Book Antiqua" w:hAnsi="Book Antiqua" w:cs="Arial"/>
        </w:rPr>
        <w:t xml:space="preserve">decision </w:t>
      </w:r>
      <w:r>
        <w:rPr>
          <w:rFonts w:ascii="Book Antiqua" w:hAnsi="Book Antiqua" w:cs="Arial"/>
        </w:rPr>
        <w:t>of Judge Freer</w:t>
      </w:r>
      <w:r w:rsidR="00D25579">
        <w:rPr>
          <w:rFonts w:ascii="Book Antiqua" w:hAnsi="Book Antiqua" w:cs="Arial"/>
        </w:rPr>
        <w:t>,</w:t>
      </w:r>
      <w:r w:rsidR="00807DB6">
        <w:rPr>
          <w:rFonts w:ascii="Book Antiqua" w:hAnsi="Book Antiqua" w:cs="Arial"/>
        </w:rPr>
        <w:t xml:space="preserve"> </w:t>
      </w:r>
      <w:r>
        <w:rPr>
          <w:rFonts w:ascii="Book Antiqua" w:hAnsi="Book Antiqua" w:cs="Arial"/>
        </w:rPr>
        <w:t>promulgated on 1</w:t>
      </w:r>
      <w:r w:rsidRPr="004C5DD0">
        <w:rPr>
          <w:rFonts w:ascii="Book Antiqua" w:hAnsi="Book Antiqua" w:cs="Arial"/>
          <w:vertAlign w:val="superscript"/>
        </w:rPr>
        <w:t>st</w:t>
      </w:r>
      <w:r w:rsidR="003607E0">
        <w:rPr>
          <w:rFonts w:ascii="Book Antiqua" w:hAnsi="Book Antiqua" w:cs="Arial"/>
        </w:rPr>
        <w:t xml:space="preserve"> November 2017</w:t>
      </w:r>
      <w:r w:rsidR="00D25579">
        <w:rPr>
          <w:rFonts w:ascii="Book Antiqua" w:hAnsi="Book Antiqua" w:cs="Arial"/>
        </w:rPr>
        <w:t>,</w:t>
      </w:r>
      <w:r>
        <w:rPr>
          <w:rFonts w:ascii="Book Antiqua" w:hAnsi="Book Antiqua" w:cs="Arial"/>
        </w:rPr>
        <w:t xml:space="preserve"> whereby he allowed the appeal of Mr Hakim </w:t>
      </w:r>
      <w:proofErr w:type="spellStart"/>
      <w:r>
        <w:rPr>
          <w:rFonts w:ascii="Book Antiqua" w:hAnsi="Book Antiqua" w:cs="Arial"/>
        </w:rPr>
        <w:t>Zouargui</w:t>
      </w:r>
      <w:proofErr w:type="spellEnd"/>
      <w:r>
        <w:rPr>
          <w:rFonts w:ascii="Book Antiqua" w:hAnsi="Book Antiqua" w:cs="Arial"/>
        </w:rPr>
        <w:t xml:space="preserve"> against </w:t>
      </w:r>
      <w:r w:rsidR="00807DB6">
        <w:rPr>
          <w:rFonts w:ascii="Book Antiqua" w:hAnsi="Book Antiqua" w:cs="Arial"/>
        </w:rPr>
        <w:t>revocation of his</w:t>
      </w:r>
      <w:r>
        <w:rPr>
          <w:rFonts w:ascii="Book Antiqua" w:hAnsi="Book Antiqua" w:cs="Arial"/>
        </w:rPr>
        <w:t xml:space="preserve"> residence card</w:t>
      </w:r>
      <w:r w:rsidR="00807DB6">
        <w:rPr>
          <w:rFonts w:ascii="Book Antiqua" w:hAnsi="Book Antiqua" w:cs="Arial"/>
        </w:rPr>
        <w:t xml:space="preserve"> that had been granted to him</w:t>
      </w:r>
      <w:r w:rsidR="00D25579">
        <w:rPr>
          <w:rFonts w:ascii="Book Antiqua" w:hAnsi="Book Antiqua" w:cs="Arial"/>
        </w:rPr>
        <w:t xml:space="preserve"> as the spouse of an EEA national exercising free movement rights in the </w:t>
      </w:r>
      <w:smartTag w:uri="urn:schemas-microsoft-com:office:smarttags" w:element="country-region">
        <w:smartTag w:uri="urn:schemas-microsoft-com:office:smarttags" w:element="place">
          <w:r w:rsidR="00D25579">
            <w:rPr>
              <w:rFonts w:ascii="Book Antiqua" w:hAnsi="Book Antiqua" w:cs="Arial"/>
            </w:rPr>
            <w:t>United Kingdom</w:t>
          </w:r>
        </w:smartTag>
      </w:smartTag>
      <w:r w:rsidR="00D25579">
        <w:rPr>
          <w:rFonts w:ascii="Book Antiqua" w:hAnsi="Book Antiqua" w:cs="Arial"/>
        </w:rPr>
        <w:t>.</w:t>
      </w:r>
      <w:r>
        <w:rPr>
          <w:rFonts w:ascii="Book Antiqua" w:hAnsi="Book Antiqua" w:cs="Arial"/>
        </w:rPr>
        <w:t xml:space="preserve">  </w:t>
      </w:r>
    </w:p>
    <w:p w:rsidR="00807DB6" w:rsidRDefault="004C5DD0" w:rsidP="00D371C7">
      <w:pPr>
        <w:numPr>
          <w:ilvl w:val="0"/>
          <w:numId w:val="3"/>
        </w:numPr>
        <w:spacing w:before="240"/>
        <w:jc w:val="both"/>
        <w:rPr>
          <w:rFonts w:ascii="Book Antiqua" w:hAnsi="Book Antiqua" w:cs="Arial"/>
        </w:rPr>
      </w:pPr>
      <w:r>
        <w:rPr>
          <w:rFonts w:ascii="Book Antiqua" w:hAnsi="Book Antiqua" w:cs="Arial"/>
        </w:rPr>
        <w:t>The case for the Secretary of State was that w</w:t>
      </w:r>
      <w:r w:rsidR="00807DB6">
        <w:rPr>
          <w:rFonts w:ascii="Book Antiqua" w:hAnsi="Book Antiqua" w:cs="Arial"/>
        </w:rPr>
        <w:t>hilst acknowledging</w:t>
      </w:r>
      <w:r w:rsidR="00D25579">
        <w:rPr>
          <w:rFonts w:ascii="Book Antiqua" w:hAnsi="Book Antiqua" w:cs="Arial"/>
        </w:rPr>
        <w:t xml:space="preserve"> that Mr </w:t>
      </w:r>
      <w:proofErr w:type="spellStart"/>
      <w:r w:rsidR="00D25579">
        <w:rPr>
          <w:rFonts w:ascii="Book Antiqua" w:hAnsi="Book Antiqua" w:cs="Arial"/>
        </w:rPr>
        <w:t>Zouagri</w:t>
      </w:r>
      <w:proofErr w:type="spellEnd"/>
      <w:r>
        <w:rPr>
          <w:rFonts w:ascii="Book Antiqua" w:hAnsi="Book Antiqua" w:cs="Arial"/>
        </w:rPr>
        <w:t xml:space="preserve"> had married Amelie Picard in a civil ceremony on 18</w:t>
      </w:r>
      <w:r w:rsidRPr="004C5DD0">
        <w:rPr>
          <w:rFonts w:ascii="Book Antiqua" w:hAnsi="Book Antiqua" w:cs="Arial"/>
          <w:vertAlign w:val="superscript"/>
        </w:rPr>
        <w:t>th</w:t>
      </w:r>
      <w:r>
        <w:rPr>
          <w:rFonts w:ascii="Book Antiqua" w:hAnsi="Book Antiqua" w:cs="Arial"/>
        </w:rPr>
        <w:t xml:space="preserve"> September 2010, that marria</w:t>
      </w:r>
      <w:r w:rsidR="00807DB6">
        <w:rPr>
          <w:rFonts w:ascii="Book Antiqua" w:hAnsi="Book Antiqua" w:cs="Arial"/>
        </w:rPr>
        <w:t>ge was a “sham”; that is to say, a</w:t>
      </w:r>
      <w:r>
        <w:rPr>
          <w:rFonts w:ascii="Book Antiqua" w:hAnsi="Book Antiqua" w:cs="Arial"/>
        </w:rPr>
        <w:t xml:space="preserve"> marriage</w:t>
      </w:r>
      <w:r w:rsidR="00807DB6">
        <w:rPr>
          <w:rFonts w:ascii="Book Antiqua" w:hAnsi="Book Antiqua" w:cs="Arial"/>
        </w:rPr>
        <w:t xml:space="preserve"> had been entered into in order</w:t>
      </w:r>
      <w:r>
        <w:rPr>
          <w:rFonts w:ascii="Book Antiqua" w:hAnsi="Book Antiqua" w:cs="Arial"/>
        </w:rPr>
        <w:t xml:space="preserve"> to secure the </w:t>
      </w:r>
      <w:r w:rsidR="003B3EE1">
        <w:rPr>
          <w:rFonts w:ascii="Book Antiqua" w:hAnsi="Book Antiqua" w:cs="Arial"/>
        </w:rPr>
        <w:t>Appellant</w:t>
      </w:r>
      <w:r>
        <w:rPr>
          <w:rFonts w:ascii="Book Antiqua" w:hAnsi="Book Antiqua" w:cs="Arial"/>
        </w:rPr>
        <w:t xml:space="preserve">’s immigration status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w:t>
      </w:r>
    </w:p>
    <w:p w:rsidR="00D371C7" w:rsidRDefault="004C5DD0" w:rsidP="00D371C7">
      <w:pPr>
        <w:numPr>
          <w:ilvl w:val="0"/>
          <w:numId w:val="3"/>
        </w:numPr>
        <w:spacing w:before="240"/>
        <w:jc w:val="both"/>
        <w:rPr>
          <w:rFonts w:ascii="Book Antiqua" w:hAnsi="Book Antiqua" w:cs="Arial"/>
        </w:rPr>
      </w:pPr>
      <w:r>
        <w:rPr>
          <w:rFonts w:ascii="Book Antiqua" w:hAnsi="Book Antiqua" w:cs="Arial"/>
        </w:rPr>
        <w:lastRenderedPageBreak/>
        <w:t>For the rest of this decision I shall refe</w:t>
      </w:r>
      <w:r w:rsidR="00D25579">
        <w:rPr>
          <w:rFonts w:ascii="Book Antiqua" w:hAnsi="Book Antiqua" w:cs="Arial"/>
        </w:rPr>
        <w:t>r to the parties by</w:t>
      </w:r>
      <w:r>
        <w:rPr>
          <w:rFonts w:ascii="Book Antiqua" w:hAnsi="Book Antiqua" w:cs="Arial"/>
        </w:rPr>
        <w:t xml:space="preserve"> their status in the First</w:t>
      </w:r>
      <w:r w:rsidR="00D25579">
        <w:rPr>
          <w:rFonts w:ascii="Book Antiqua" w:hAnsi="Book Antiqua" w:cs="Arial"/>
        </w:rPr>
        <w:t>-tier Tribunal;</w:t>
      </w:r>
      <w:r>
        <w:rPr>
          <w:rFonts w:ascii="Book Antiqua" w:hAnsi="Book Antiqua" w:cs="Arial"/>
        </w:rPr>
        <w:t xml:space="preserve"> that is to say</w:t>
      </w:r>
      <w:r w:rsidR="00D25579">
        <w:rPr>
          <w:rFonts w:ascii="Book Antiqua" w:hAnsi="Book Antiqua" w:cs="Arial"/>
        </w:rPr>
        <w:t>, to</w:t>
      </w:r>
      <w:r>
        <w:rPr>
          <w:rFonts w:ascii="Book Antiqua" w:hAnsi="Book Antiqua" w:cs="Arial"/>
        </w:rPr>
        <w:t xml:space="preserve"> Mr </w:t>
      </w:r>
      <w:proofErr w:type="spellStart"/>
      <w:r>
        <w:rPr>
          <w:rFonts w:ascii="Book Antiqua" w:hAnsi="Book Antiqua" w:cs="Arial"/>
        </w:rPr>
        <w:t>Zouargui</w:t>
      </w:r>
      <w:proofErr w:type="spellEnd"/>
      <w:r>
        <w:rPr>
          <w:rFonts w:ascii="Book Antiqua" w:hAnsi="Book Antiqua" w:cs="Arial"/>
        </w:rPr>
        <w:t xml:space="preserve"> as “the </w:t>
      </w:r>
      <w:r w:rsidR="003B3EE1">
        <w:rPr>
          <w:rFonts w:ascii="Book Antiqua" w:hAnsi="Book Antiqua" w:cs="Arial"/>
        </w:rPr>
        <w:t>Appellant</w:t>
      </w:r>
      <w:r>
        <w:rPr>
          <w:rFonts w:ascii="Book Antiqua" w:hAnsi="Book Antiqua" w:cs="Arial"/>
        </w:rPr>
        <w:t xml:space="preserve">” and </w:t>
      </w:r>
      <w:r w:rsidR="00D25579">
        <w:rPr>
          <w:rFonts w:ascii="Book Antiqua" w:hAnsi="Book Antiqua" w:cs="Arial"/>
        </w:rPr>
        <w:t xml:space="preserve">to </w:t>
      </w:r>
      <w:r>
        <w:rPr>
          <w:rFonts w:ascii="Book Antiqua" w:hAnsi="Book Antiqua" w:cs="Arial"/>
        </w:rPr>
        <w:t xml:space="preserve">Secretary of State as “the </w:t>
      </w:r>
      <w:r w:rsidR="003B3EE1">
        <w:rPr>
          <w:rFonts w:ascii="Book Antiqua" w:hAnsi="Book Antiqua" w:cs="Arial"/>
        </w:rPr>
        <w:t>Respondent</w:t>
      </w:r>
      <w:r>
        <w:rPr>
          <w:rFonts w:ascii="Book Antiqua" w:hAnsi="Book Antiqua" w:cs="Arial"/>
        </w:rPr>
        <w:t xml:space="preserve">”.  </w:t>
      </w:r>
    </w:p>
    <w:p w:rsidR="00D25579" w:rsidRDefault="00D25579" w:rsidP="00D371C7">
      <w:pPr>
        <w:numPr>
          <w:ilvl w:val="0"/>
          <w:numId w:val="3"/>
        </w:numPr>
        <w:spacing w:before="240"/>
        <w:jc w:val="both"/>
        <w:rPr>
          <w:rFonts w:ascii="Book Antiqua" w:hAnsi="Book Antiqua" w:cs="Arial"/>
        </w:rPr>
      </w:pPr>
      <w:r>
        <w:rPr>
          <w:rFonts w:ascii="Book Antiqua" w:hAnsi="Book Antiqua" w:cs="Arial"/>
        </w:rPr>
        <w:t>Following some early confusion in reported decisions of this Tribunal concerning ‘marriage of convenience’ appeals, the law concerning the burden of proof is now clear and may be simply stated</w:t>
      </w:r>
      <w:r w:rsidR="00187948">
        <w:rPr>
          <w:rFonts w:ascii="Book Antiqua" w:hAnsi="Book Antiqua" w:cs="Arial"/>
        </w:rPr>
        <w:t>.  The legal burden of proof</w:t>
      </w:r>
      <w:r>
        <w:rPr>
          <w:rFonts w:ascii="Book Antiqua" w:hAnsi="Book Antiqua" w:cs="Arial"/>
        </w:rPr>
        <w:t xml:space="preserve"> rests from first to last upon</w:t>
      </w:r>
      <w:r w:rsidR="00187948">
        <w:rPr>
          <w:rFonts w:ascii="Book Antiqua" w:hAnsi="Book Antiqua" w:cs="Arial"/>
        </w:rPr>
        <w:t xml:space="preserve"> the Secretary of State</w:t>
      </w:r>
      <w:r w:rsidR="00D65C31">
        <w:rPr>
          <w:rFonts w:ascii="Book Antiqua" w:hAnsi="Book Antiqua" w:cs="Arial"/>
        </w:rPr>
        <w:t xml:space="preserve"> [</w:t>
      </w:r>
      <w:proofErr w:type="spellStart"/>
      <w:r w:rsidR="00D65C31">
        <w:rPr>
          <w:rFonts w:ascii="Book Antiqua" w:hAnsi="Book Antiqua" w:cs="Arial"/>
          <w:u w:val="single"/>
        </w:rPr>
        <w:t>Sadovska</w:t>
      </w:r>
      <w:proofErr w:type="spellEnd"/>
      <w:r w:rsidR="00D65C31">
        <w:rPr>
          <w:rFonts w:ascii="Book Antiqua" w:hAnsi="Book Antiqua" w:cs="Arial"/>
          <w:u w:val="single"/>
        </w:rPr>
        <w:t xml:space="preserve"> v SSHD</w:t>
      </w:r>
      <w:r w:rsidR="00D65C31">
        <w:rPr>
          <w:rFonts w:ascii="Book Antiqua" w:hAnsi="Book Antiqua" w:cs="Arial"/>
        </w:rPr>
        <w:t xml:space="preserve"> [2017] UKSC 54]</w:t>
      </w:r>
      <w:r>
        <w:rPr>
          <w:rFonts w:ascii="Book Antiqua" w:hAnsi="Book Antiqua" w:cs="Arial"/>
        </w:rPr>
        <w:t>.   Some authorities also refer to</w:t>
      </w:r>
      <w:r w:rsidR="00D65C31">
        <w:rPr>
          <w:rFonts w:ascii="Book Antiqua" w:hAnsi="Book Antiqua" w:cs="Arial"/>
        </w:rPr>
        <w:t xml:space="preserve"> a</w:t>
      </w:r>
      <w:r w:rsidR="00187948">
        <w:rPr>
          <w:rFonts w:ascii="Book Antiqua" w:hAnsi="Book Antiqua" w:cs="Arial"/>
        </w:rPr>
        <w:t xml:space="preserve"> </w:t>
      </w:r>
      <w:r w:rsidR="00D65C31">
        <w:rPr>
          <w:rFonts w:ascii="Book Antiqua" w:hAnsi="Book Antiqua" w:cs="Arial"/>
        </w:rPr>
        <w:t>‘</w:t>
      </w:r>
      <w:r w:rsidR="00187948">
        <w:rPr>
          <w:rFonts w:ascii="Book Antiqua" w:hAnsi="Book Antiqua" w:cs="Arial"/>
        </w:rPr>
        <w:t>shifting</w:t>
      </w:r>
      <w:r w:rsidR="00D65C31">
        <w:rPr>
          <w:rFonts w:ascii="Book Antiqua" w:hAnsi="Book Antiqua" w:cs="Arial"/>
        </w:rPr>
        <w:t>’ evidential burden.</w:t>
      </w:r>
      <w:r>
        <w:rPr>
          <w:rFonts w:ascii="Book Antiqua" w:hAnsi="Book Antiqua" w:cs="Arial"/>
        </w:rPr>
        <w:t xml:space="preserve"> At the ris</w:t>
      </w:r>
      <w:r w:rsidR="00D65C31">
        <w:rPr>
          <w:rFonts w:ascii="Book Antiqua" w:hAnsi="Book Antiqua" w:cs="Arial"/>
        </w:rPr>
        <w:t>k of clouding the issue, I understand this to be</w:t>
      </w:r>
      <w:r>
        <w:rPr>
          <w:rFonts w:ascii="Book Antiqua" w:hAnsi="Book Antiqua" w:cs="Arial"/>
        </w:rPr>
        <w:t xml:space="preserve"> a reference to t</w:t>
      </w:r>
      <w:r w:rsidR="00187948">
        <w:rPr>
          <w:rFonts w:ascii="Book Antiqua" w:hAnsi="Book Antiqua" w:cs="Arial"/>
        </w:rPr>
        <w:t>he</w:t>
      </w:r>
      <w:r>
        <w:rPr>
          <w:rFonts w:ascii="Book Antiqua" w:hAnsi="Book Antiqua" w:cs="Arial"/>
        </w:rPr>
        <w:t xml:space="preserve"> requirement for</w:t>
      </w:r>
      <w:r w:rsidR="00187948">
        <w:rPr>
          <w:rFonts w:ascii="Book Antiqua" w:hAnsi="Book Antiqua" w:cs="Arial"/>
        </w:rPr>
        <w:t xml:space="preserve"> </w:t>
      </w:r>
      <w:r w:rsidR="00D65C31">
        <w:rPr>
          <w:rFonts w:ascii="Book Antiqua" w:hAnsi="Book Antiqua" w:cs="Arial"/>
        </w:rPr>
        <w:t xml:space="preserve">the </w:t>
      </w:r>
      <w:r w:rsidR="00187948">
        <w:rPr>
          <w:rFonts w:ascii="Book Antiqua" w:hAnsi="Book Antiqua" w:cs="Arial"/>
        </w:rPr>
        <w:t>Sec</w:t>
      </w:r>
      <w:r>
        <w:rPr>
          <w:rFonts w:ascii="Book Antiqua" w:hAnsi="Book Antiqua" w:cs="Arial"/>
        </w:rPr>
        <w:t>retary of State to adduce sufficient evidence for the appellant to have ‘a case to answer’</w:t>
      </w:r>
      <w:r w:rsidR="00D65C31">
        <w:rPr>
          <w:rFonts w:ascii="Book Antiqua" w:hAnsi="Book Antiqua" w:cs="Arial"/>
        </w:rPr>
        <w:t xml:space="preserve"> before </w:t>
      </w:r>
      <w:r w:rsidR="00807DB6">
        <w:rPr>
          <w:rFonts w:ascii="Book Antiqua" w:hAnsi="Book Antiqua" w:cs="Arial"/>
        </w:rPr>
        <w:t>he may be expected to adduce</w:t>
      </w:r>
      <w:r w:rsidR="00D65C31">
        <w:rPr>
          <w:rFonts w:ascii="Book Antiqua" w:hAnsi="Book Antiqua" w:cs="Arial"/>
        </w:rPr>
        <w:t xml:space="preserve"> evidence of his own</w:t>
      </w:r>
      <w:r w:rsidR="00187948">
        <w:rPr>
          <w:rFonts w:ascii="Book Antiqua" w:hAnsi="Book Antiqua" w:cs="Arial"/>
        </w:rPr>
        <w:t>.</w:t>
      </w:r>
      <w:r w:rsidR="00807DB6">
        <w:rPr>
          <w:rFonts w:ascii="Book Antiqua" w:hAnsi="Book Antiqua" w:cs="Arial"/>
        </w:rPr>
        <w:t xml:space="preserve"> This</w:t>
      </w:r>
      <w:r>
        <w:rPr>
          <w:rFonts w:ascii="Book Antiqua" w:hAnsi="Book Antiqua" w:cs="Arial"/>
        </w:rPr>
        <w:t xml:space="preserve"> does not however affect the legal burden of proof, which remains firmly upon the Secretary of State throughout</w:t>
      </w:r>
      <w:r w:rsidR="00D65C31">
        <w:rPr>
          <w:rFonts w:ascii="Book Antiqua" w:hAnsi="Book Antiqua" w:cs="Arial"/>
        </w:rPr>
        <w:t xml:space="preserve"> the proceedings</w:t>
      </w:r>
      <w:r>
        <w:rPr>
          <w:rFonts w:ascii="Book Antiqua" w:hAnsi="Book Antiqua" w:cs="Arial"/>
        </w:rPr>
        <w:t>.</w:t>
      </w:r>
      <w:r w:rsidR="00187948">
        <w:rPr>
          <w:rFonts w:ascii="Book Antiqua" w:hAnsi="Book Antiqua" w:cs="Arial"/>
        </w:rPr>
        <w:t xml:space="preserve">  </w:t>
      </w:r>
    </w:p>
    <w:p w:rsidR="002E1FEA" w:rsidRDefault="00187948" w:rsidP="00D65C31">
      <w:pPr>
        <w:numPr>
          <w:ilvl w:val="0"/>
          <w:numId w:val="3"/>
        </w:numPr>
        <w:spacing w:before="240"/>
        <w:jc w:val="both"/>
        <w:rPr>
          <w:rFonts w:ascii="Book Antiqua" w:hAnsi="Book Antiqua" w:cs="Arial"/>
        </w:rPr>
      </w:pPr>
      <w:r>
        <w:rPr>
          <w:rFonts w:ascii="Book Antiqua" w:hAnsi="Book Antiqua" w:cs="Arial"/>
        </w:rPr>
        <w:t xml:space="preserve">Before turning to the Secretary of State’s Grounds </w:t>
      </w:r>
      <w:r w:rsidR="00D65C31">
        <w:rPr>
          <w:rFonts w:ascii="Book Antiqua" w:hAnsi="Book Antiqua" w:cs="Arial"/>
        </w:rPr>
        <w:t>of Appeal</w:t>
      </w:r>
      <w:r w:rsidR="00471AFA">
        <w:rPr>
          <w:rFonts w:ascii="Book Antiqua" w:hAnsi="Book Antiqua" w:cs="Arial"/>
        </w:rPr>
        <w:t>,</w:t>
      </w:r>
      <w:r w:rsidR="00D65C31">
        <w:rPr>
          <w:rFonts w:ascii="Book Antiqua" w:hAnsi="Book Antiqua" w:cs="Arial"/>
        </w:rPr>
        <w:t xml:space="preserve"> it may be helpful to review</w:t>
      </w:r>
      <w:r>
        <w:rPr>
          <w:rFonts w:ascii="Book Antiqua" w:hAnsi="Book Antiqua" w:cs="Arial"/>
        </w:rPr>
        <w:t xml:space="preserve"> the </w:t>
      </w:r>
      <w:r w:rsidR="00D65C31">
        <w:rPr>
          <w:rFonts w:ascii="Book Antiqua" w:hAnsi="Book Antiqua" w:cs="Arial"/>
        </w:rPr>
        <w:t>evidence upon which the Respondent relied</w:t>
      </w:r>
      <w:r>
        <w:rPr>
          <w:rFonts w:ascii="Book Antiqua" w:hAnsi="Book Antiqua" w:cs="Arial"/>
        </w:rPr>
        <w:t xml:space="preserve"> in discharging the legal burden of proof</w:t>
      </w:r>
      <w:r w:rsidR="00D65C31">
        <w:rPr>
          <w:rFonts w:ascii="Book Antiqua" w:hAnsi="Book Antiqua" w:cs="Arial"/>
        </w:rPr>
        <w:t xml:space="preserve"> in this appeal</w:t>
      </w:r>
      <w:r>
        <w:rPr>
          <w:rFonts w:ascii="Book Antiqua" w:hAnsi="Book Antiqua" w:cs="Arial"/>
        </w:rPr>
        <w:t xml:space="preserve">.  Mr </w:t>
      </w:r>
      <w:proofErr w:type="spellStart"/>
      <w:r>
        <w:rPr>
          <w:rFonts w:ascii="Book Antiqua" w:hAnsi="Book Antiqua" w:cs="Arial"/>
        </w:rPr>
        <w:t>McGirr</w:t>
      </w:r>
      <w:proofErr w:type="spellEnd"/>
      <w:r>
        <w:rPr>
          <w:rFonts w:ascii="Book Antiqua" w:hAnsi="Book Antiqua" w:cs="Arial"/>
        </w:rPr>
        <w:t xml:space="preserve"> very h</w:t>
      </w:r>
      <w:r w:rsidR="00807DB6">
        <w:rPr>
          <w:rFonts w:ascii="Book Antiqua" w:hAnsi="Book Antiqua" w:cs="Arial"/>
        </w:rPr>
        <w:t>elpfully placed it</w:t>
      </w:r>
      <w:r w:rsidR="00D65C31">
        <w:rPr>
          <w:rFonts w:ascii="Book Antiqua" w:hAnsi="Book Antiqua" w:cs="Arial"/>
        </w:rPr>
        <w:t xml:space="preserve"> under</w:t>
      </w:r>
      <w:r>
        <w:rPr>
          <w:rFonts w:ascii="Book Antiqua" w:hAnsi="Book Antiqua" w:cs="Arial"/>
        </w:rPr>
        <w:t xml:space="preserve"> two headings.  </w:t>
      </w:r>
      <w:r w:rsidR="00C33809">
        <w:rPr>
          <w:rFonts w:ascii="Book Antiqua" w:hAnsi="Book Antiqua" w:cs="Arial"/>
        </w:rPr>
        <w:t>Firstly</w:t>
      </w:r>
      <w:r w:rsidR="00021E50">
        <w:rPr>
          <w:rFonts w:ascii="Book Antiqua" w:hAnsi="Book Antiqua" w:cs="Arial"/>
        </w:rPr>
        <w:t xml:space="preserve">, an Experian credit agency report which </w:t>
      </w:r>
      <w:r w:rsidR="00807DB6">
        <w:rPr>
          <w:rFonts w:ascii="Book Antiqua" w:hAnsi="Book Antiqua" w:cs="Arial"/>
        </w:rPr>
        <w:t xml:space="preserve">allegedly </w:t>
      </w:r>
      <w:r w:rsidR="00021E50">
        <w:rPr>
          <w:rFonts w:ascii="Book Antiqua" w:hAnsi="Book Antiqua" w:cs="Arial"/>
        </w:rPr>
        <w:t xml:space="preserve">suggested that Amelie Picard had not been living with the </w:t>
      </w:r>
      <w:r w:rsidR="003B3EE1">
        <w:rPr>
          <w:rFonts w:ascii="Book Antiqua" w:hAnsi="Book Antiqua" w:cs="Arial"/>
        </w:rPr>
        <w:t>Appellant</w:t>
      </w:r>
      <w:r w:rsidR="00021E50">
        <w:rPr>
          <w:rFonts w:ascii="Book Antiqua" w:hAnsi="Book Antiqua" w:cs="Arial"/>
        </w:rPr>
        <w:t xml:space="preserve"> at t</w:t>
      </w:r>
      <w:r w:rsidR="00D65C31">
        <w:rPr>
          <w:rFonts w:ascii="Book Antiqua" w:hAnsi="Book Antiqua" w:cs="Arial"/>
        </w:rPr>
        <w:t>heir last marital home (</w:t>
      </w:r>
      <w:r w:rsidR="00015EDB">
        <w:rPr>
          <w:rFonts w:ascii="Book Antiqua" w:hAnsi="Book Antiqua" w:cs="Arial"/>
        </w:rPr>
        <w:t>1</w:t>
      </w:r>
      <w:r w:rsidR="00D65C31">
        <w:rPr>
          <w:rFonts w:ascii="Book Antiqua" w:hAnsi="Book Antiqua" w:cs="Arial"/>
        </w:rPr>
        <w:t>)</w:t>
      </w:r>
      <w:r w:rsidR="002E1FEA">
        <w:rPr>
          <w:rFonts w:ascii="Book Antiqua" w:hAnsi="Book Antiqua" w:cs="Arial"/>
        </w:rPr>
        <w:t xml:space="preserve"> </w:t>
      </w:r>
      <w:r w:rsidR="00021E50">
        <w:rPr>
          <w:rFonts w:ascii="Book Antiqua" w:hAnsi="Book Antiqua" w:cs="Arial"/>
        </w:rPr>
        <w:t>since September 2011</w:t>
      </w:r>
      <w:r w:rsidR="00807DB6">
        <w:rPr>
          <w:rFonts w:ascii="Book Antiqua" w:hAnsi="Book Antiqua" w:cs="Arial"/>
        </w:rPr>
        <w:t>,</w:t>
      </w:r>
      <w:r w:rsidR="00471AFA">
        <w:rPr>
          <w:rFonts w:ascii="Book Antiqua" w:hAnsi="Book Antiqua" w:cs="Arial"/>
        </w:rPr>
        <w:t xml:space="preserve"> and</w:t>
      </w:r>
      <w:r w:rsidR="00807DB6">
        <w:rPr>
          <w:rFonts w:ascii="Book Antiqua" w:hAnsi="Book Antiqua" w:cs="Arial"/>
        </w:rPr>
        <w:t xml:space="preserve"> that she</w:t>
      </w:r>
      <w:r w:rsidR="00471AFA">
        <w:rPr>
          <w:rFonts w:ascii="Book Antiqua" w:hAnsi="Book Antiqua" w:cs="Arial"/>
        </w:rPr>
        <w:t xml:space="preserve"> had thereafter</w:t>
      </w:r>
      <w:r w:rsidR="002E1FEA">
        <w:rPr>
          <w:rFonts w:ascii="Book Antiqua" w:hAnsi="Book Antiqua" w:cs="Arial"/>
        </w:rPr>
        <w:t xml:space="preserve"> been livin</w:t>
      </w:r>
      <w:r w:rsidR="00D65C31">
        <w:rPr>
          <w:rFonts w:ascii="Book Antiqua" w:hAnsi="Book Antiqua" w:cs="Arial"/>
        </w:rPr>
        <w:t>g at an address in</w:t>
      </w:r>
      <w:proofErr w:type="gramStart"/>
      <w:r w:rsidR="002E1FEA">
        <w:rPr>
          <w:rFonts w:ascii="Book Antiqua" w:hAnsi="Book Antiqua" w:cs="Arial"/>
        </w:rPr>
        <w:t xml:space="preserve">   </w:t>
      </w:r>
      <w:r w:rsidR="00F43B83">
        <w:rPr>
          <w:rFonts w:ascii="Book Antiqua" w:hAnsi="Book Antiqua" w:cs="Arial"/>
        </w:rPr>
        <w:t>(</w:t>
      </w:r>
      <w:proofErr w:type="gramEnd"/>
      <w:r w:rsidR="00015EDB">
        <w:rPr>
          <w:rFonts w:ascii="Book Antiqua" w:hAnsi="Book Antiqua" w:cs="Arial"/>
        </w:rPr>
        <w:t>2</w:t>
      </w:r>
      <w:r w:rsidR="00F43B83">
        <w:rPr>
          <w:rFonts w:ascii="Book Antiqua" w:hAnsi="Book Antiqua" w:cs="Arial"/>
        </w:rPr>
        <w:t xml:space="preserve">) </w:t>
      </w:r>
      <w:r w:rsidR="002E1FEA">
        <w:rPr>
          <w:rFonts w:ascii="Book Antiqua" w:hAnsi="Book Antiqua" w:cs="Arial"/>
        </w:rPr>
        <w:t xml:space="preserve">Secondly, the </w:t>
      </w:r>
      <w:r w:rsidR="003B3EE1">
        <w:rPr>
          <w:rFonts w:ascii="Book Antiqua" w:hAnsi="Book Antiqua" w:cs="Arial"/>
        </w:rPr>
        <w:t>Appellant</w:t>
      </w:r>
      <w:r w:rsidR="00807DB6">
        <w:rPr>
          <w:rFonts w:ascii="Book Antiqua" w:hAnsi="Book Antiqua" w:cs="Arial"/>
        </w:rPr>
        <w:t>’s admission</w:t>
      </w:r>
      <w:r w:rsidR="002E1FEA">
        <w:rPr>
          <w:rFonts w:ascii="Book Antiqua" w:hAnsi="Book Antiqua" w:cs="Arial"/>
        </w:rPr>
        <w:t xml:space="preserve"> that his first marriage to an Italian national </w:t>
      </w:r>
      <w:r w:rsidR="00D65C31">
        <w:rPr>
          <w:rFonts w:ascii="Book Antiqua" w:hAnsi="Book Antiqua" w:cs="Arial"/>
        </w:rPr>
        <w:t>(who had been</w:t>
      </w:r>
      <w:r w:rsidR="002E1FEA">
        <w:rPr>
          <w:rFonts w:ascii="Book Antiqua" w:hAnsi="Book Antiqua" w:cs="Arial"/>
        </w:rPr>
        <w:t xml:space="preserve"> living in the United Kingdom at the time</w:t>
      </w:r>
      <w:r w:rsidR="00D65C31">
        <w:rPr>
          <w:rFonts w:ascii="Book Antiqua" w:hAnsi="Book Antiqua" w:cs="Arial"/>
        </w:rPr>
        <w:t xml:space="preserve"> of the marriage)</w:t>
      </w:r>
      <w:r w:rsidR="002E1FEA">
        <w:rPr>
          <w:rFonts w:ascii="Book Antiqua" w:hAnsi="Book Antiqua" w:cs="Arial"/>
        </w:rPr>
        <w:t xml:space="preserve"> had indeed been a </w:t>
      </w:r>
      <w:r w:rsidR="00807DB6">
        <w:rPr>
          <w:rFonts w:ascii="Book Antiqua" w:hAnsi="Book Antiqua" w:cs="Arial"/>
        </w:rPr>
        <w:t>‘</w:t>
      </w:r>
      <w:r w:rsidR="002E1FEA">
        <w:rPr>
          <w:rFonts w:ascii="Book Antiqua" w:hAnsi="Book Antiqua" w:cs="Arial"/>
        </w:rPr>
        <w:t>sham</w:t>
      </w:r>
      <w:r w:rsidR="00807DB6">
        <w:rPr>
          <w:rFonts w:ascii="Book Antiqua" w:hAnsi="Book Antiqua" w:cs="Arial"/>
        </w:rPr>
        <w:t>’</w:t>
      </w:r>
      <w:r w:rsidR="002E1FEA">
        <w:rPr>
          <w:rFonts w:ascii="Book Antiqua" w:hAnsi="Book Antiqua" w:cs="Arial"/>
        </w:rPr>
        <w:t xml:space="preserve">.  </w:t>
      </w:r>
      <w:r w:rsidR="00D65C31">
        <w:rPr>
          <w:rFonts w:ascii="Book Antiqua" w:hAnsi="Book Antiqua" w:cs="Arial"/>
        </w:rPr>
        <w:t>It was this evidence that caused enforcement officers to pay</w:t>
      </w:r>
      <w:r w:rsidR="00ED33E8">
        <w:rPr>
          <w:rFonts w:ascii="Book Antiqua" w:hAnsi="Book Antiqua" w:cs="Arial"/>
        </w:rPr>
        <w:t xml:space="preserve"> an unannounced visit to the </w:t>
      </w:r>
      <w:r w:rsidR="003B3EE1">
        <w:rPr>
          <w:rFonts w:ascii="Book Antiqua" w:hAnsi="Book Antiqua" w:cs="Arial"/>
        </w:rPr>
        <w:t>Appellant</w:t>
      </w:r>
      <w:r w:rsidR="00ED33E8">
        <w:rPr>
          <w:rFonts w:ascii="Book Antiqua" w:hAnsi="Book Antiqua" w:cs="Arial"/>
        </w:rPr>
        <w:t>’</w:t>
      </w:r>
      <w:r w:rsidR="00D65C31">
        <w:rPr>
          <w:rFonts w:ascii="Book Antiqua" w:hAnsi="Book Antiqua" w:cs="Arial"/>
        </w:rPr>
        <w:t>s home</w:t>
      </w:r>
      <w:r w:rsidR="00E33A4D">
        <w:rPr>
          <w:rFonts w:ascii="Book Antiqua" w:hAnsi="Book Antiqua" w:cs="Arial"/>
        </w:rPr>
        <w:t xml:space="preserve"> at 7.00 a.m. on 15</w:t>
      </w:r>
      <w:r w:rsidR="00E33A4D" w:rsidRPr="00E33A4D">
        <w:rPr>
          <w:rFonts w:ascii="Book Antiqua" w:hAnsi="Book Antiqua" w:cs="Arial"/>
          <w:vertAlign w:val="superscript"/>
        </w:rPr>
        <w:t>th</w:t>
      </w:r>
      <w:r w:rsidR="00E33A4D">
        <w:rPr>
          <w:rFonts w:ascii="Book Antiqua" w:hAnsi="Book Antiqua" w:cs="Arial"/>
        </w:rPr>
        <w:t xml:space="preserve"> March 2016.  </w:t>
      </w:r>
      <w:r w:rsidR="00807DB6">
        <w:rPr>
          <w:rFonts w:ascii="Book Antiqua" w:hAnsi="Book Antiqua" w:cs="Arial"/>
        </w:rPr>
        <w:t>There followed</w:t>
      </w:r>
      <w:r w:rsidR="00FA45D5">
        <w:rPr>
          <w:rFonts w:ascii="Book Antiqua" w:hAnsi="Book Antiqua" w:cs="Arial"/>
        </w:rPr>
        <w:t xml:space="preserve"> an interview with the </w:t>
      </w:r>
      <w:r w:rsidR="003B3EE1">
        <w:rPr>
          <w:rFonts w:ascii="Book Antiqua" w:hAnsi="Book Antiqua" w:cs="Arial"/>
        </w:rPr>
        <w:t>Appellant</w:t>
      </w:r>
      <w:r w:rsidR="00FA45D5">
        <w:rPr>
          <w:rFonts w:ascii="Book Antiqua" w:hAnsi="Book Antiqua" w:cs="Arial"/>
        </w:rPr>
        <w:t xml:space="preserve"> at his home in which the evidence contained within </w:t>
      </w:r>
      <w:r w:rsidR="00A9052A">
        <w:rPr>
          <w:rFonts w:ascii="Book Antiqua" w:hAnsi="Book Antiqua" w:cs="Arial"/>
        </w:rPr>
        <w:t xml:space="preserve">an undisclosed Experian credit report was put to him.  </w:t>
      </w:r>
      <w:r w:rsidR="00625803">
        <w:rPr>
          <w:rFonts w:ascii="Book Antiqua" w:hAnsi="Book Antiqua" w:cs="Arial"/>
        </w:rPr>
        <w:t>In reply</w:t>
      </w:r>
      <w:r w:rsidR="00D65C31">
        <w:rPr>
          <w:rFonts w:ascii="Book Antiqua" w:hAnsi="Book Antiqua" w:cs="Arial"/>
        </w:rPr>
        <w:t xml:space="preserve">, </w:t>
      </w:r>
      <w:r w:rsidR="00625803">
        <w:rPr>
          <w:rFonts w:ascii="Book Antiqua" w:hAnsi="Book Antiqua" w:cs="Arial"/>
        </w:rPr>
        <w:t xml:space="preserve">the </w:t>
      </w:r>
      <w:r w:rsidR="003B3EE1">
        <w:rPr>
          <w:rFonts w:ascii="Book Antiqua" w:hAnsi="Book Antiqua" w:cs="Arial"/>
        </w:rPr>
        <w:t>Appellant</w:t>
      </w:r>
      <w:r w:rsidR="00625803">
        <w:rPr>
          <w:rFonts w:ascii="Book Antiqua" w:hAnsi="Book Antiqua" w:cs="Arial"/>
        </w:rPr>
        <w:t xml:space="preserve"> said that he could not understand why that report suggested that he had been separated from his wife since at least September 2011 a</w:t>
      </w:r>
      <w:r w:rsidR="00807DB6">
        <w:rPr>
          <w:rFonts w:ascii="Book Antiqua" w:hAnsi="Book Antiqua" w:cs="Arial"/>
        </w:rPr>
        <w:t>nd asserted that in fact cohabited</w:t>
      </w:r>
      <w:r w:rsidR="00625803">
        <w:rPr>
          <w:rFonts w:ascii="Book Antiqua" w:hAnsi="Book Antiqua" w:cs="Arial"/>
        </w:rPr>
        <w:t xml:space="preserve"> until February </w:t>
      </w:r>
      <w:r w:rsidR="00471AFA">
        <w:rPr>
          <w:rFonts w:ascii="Book Antiqua" w:hAnsi="Book Antiqua" w:cs="Arial"/>
        </w:rPr>
        <w:t xml:space="preserve">2013.  That is, I hope, a </w:t>
      </w:r>
      <w:r w:rsidR="00625803">
        <w:rPr>
          <w:rFonts w:ascii="Book Antiqua" w:hAnsi="Book Antiqua" w:cs="Arial"/>
        </w:rPr>
        <w:t xml:space="preserve">fair summary of the evidence that the Secretary of State relied on to discharge the burden of proof.  </w:t>
      </w:r>
    </w:p>
    <w:p w:rsidR="00EB4440" w:rsidRDefault="00EB4440" w:rsidP="00D371C7">
      <w:pPr>
        <w:numPr>
          <w:ilvl w:val="0"/>
          <w:numId w:val="3"/>
        </w:numPr>
        <w:spacing w:before="240"/>
        <w:jc w:val="both"/>
        <w:rPr>
          <w:rFonts w:ascii="Book Antiqua" w:hAnsi="Book Antiqua" w:cs="Arial"/>
        </w:rPr>
      </w:pPr>
      <w:r>
        <w:rPr>
          <w:rFonts w:ascii="Book Antiqua" w:hAnsi="Book Antiqua" w:cs="Arial"/>
        </w:rPr>
        <w:t xml:space="preserve">The judge dealt with his approach to the fact that the </w:t>
      </w:r>
      <w:r w:rsidR="003B3EE1">
        <w:rPr>
          <w:rFonts w:ascii="Book Antiqua" w:hAnsi="Book Antiqua" w:cs="Arial"/>
        </w:rPr>
        <w:t>Appellant</w:t>
      </w:r>
      <w:r>
        <w:rPr>
          <w:rFonts w:ascii="Book Antiqua" w:hAnsi="Book Antiqua" w:cs="Arial"/>
        </w:rPr>
        <w:t xml:space="preserve"> had, by his own admission, previously entered into a sham marriage at paragraph 39 of the decision:-</w:t>
      </w:r>
    </w:p>
    <w:p w:rsidR="00EB4440" w:rsidRPr="00471AFA" w:rsidRDefault="00EB4440" w:rsidP="00EB4440">
      <w:pPr>
        <w:spacing w:before="240"/>
        <w:ind w:left="1134"/>
        <w:jc w:val="both"/>
        <w:rPr>
          <w:rFonts w:ascii="Book Antiqua" w:hAnsi="Book Antiqua" w:cs="Arial"/>
          <w:sz w:val="22"/>
          <w:szCs w:val="22"/>
        </w:rPr>
      </w:pPr>
      <w:r w:rsidRPr="00471AFA">
        <w:rPr>
          <w:rFonts w:ascii="Book Antiqua" w:hAnsi="Book Antiqua" w:cs="Arial"/>
          <w:sz w:val="22"/>
          <w:szCs w:val="22"/>
        </w:rPr>
        <w:t>The first wedding was a sham but that fact is of no probative value regarding the nature of the second marriage.  It raises a suspicion and is not evidence.  The second marriage had ended in divorce so there was no l</w:t>
      </w:r>
      <w:r w:rsidR="00471AFA" w:rsidRPr="00471AFA">
        <w:rPr>
          <w:rFonts w:ascii="Book Antiqua" w:hAnsi="Book Antiqua" w:cs="Arial"/>
          <w:sz w:val="22"/>
          <w:szCs w:val="22"/>
        </w:rPr>
        <w:t>egal basis for a check in 2016.</w:t>
      </w:r>
    </w:p>
    <w:p w:rsidR="00EB4440" w:rsidRDefault="00EB4440" w:rsidP="00D371C7">
      <w:pPr>
        <w:numPr>
          <w:ilvl w:val="0"/>
          <w:numId w:val="3"/>
        </w:numPr>
        <w:spacing w:before="240"/>
        <w:jc w:val="both"/>
        <w:rPr>
          <w:rFonts w:ascii="Book Antiqua" w:hAnsi="Book Antiqua" w:cs="Arial"/>
        </w:rPr>
      </w:pPr>
      <w:r>
        <w:rPr>
          <w:rFonts w:ascii="Book Antiqua" w:hAnsi="Book Antiqua" w:cs="Arial"/>
        </w:rPr>
        <w:t>The judge dealt with the Experian evidence at paragraphs 49 to 50.  Before I quote those paragraphs</w:t>
      </w:r>
      <w:r w:rsidR="00D36E94">
        <w:rPr>
          <w:rFonts w:ascii="Book Antiqua" w:hAnsi="Book Antiqua" w:cs="Arial"/>
        </w:rPr>
        <w:t>,</w:t>
      </w:r>
      <w:r>
        <w:rPr>
          <w:rFonts w:ascii="Book Antiqua" w:hAnsi="Book Antiqua" w:cs="Arial"/>
        </w:rPr>
        <w:t xml:space="preserve"> it is</w:t>
      </w:r>
      <w:r w:rsidR="00D36E94">
        <w:rPr>
          <w:rFonts w:ascii="Book Antiqua" w:hAnsi="Book Antiqua" w:cs="Arial"/>
        </w:rPr>
        <w:t xml:space="preserve"> first</w:t>
      </w:r>
      <w:r>
        <w:rPr>
          <w:rFonts w:ascii="Book Antiqua" w:hAnsi="Book Antiqua" w:cs="Arial"/>
        </w:rPr>
        <w:t xml:space="preserve"> necessary to observe that the </w:t>
      </w:r>
      <w:r w:rsidR="003B3EE1">
        <w:rPr>
          <w:rFonts w:ascii="Book Antiqua" w:hAnsi="Book Antiqua" w:cs="Arial"/>
        </w:rPr>
        <w:t>Respondent</w:t>
      </w:r>
      <w:r>
        <w:rPr>
          <w:rFonts w:ascii="Book Antiqua" w:hAnsi="Book Antiqua" w:cs="Arial"/>
        </w:rPr>
        <w:t xml:space="preserve"> never in fact produced the Experian report which, it was said, showed that the </w:t>
      </w:r>
      <w:r w:rsidR="003B3EE1">
        <w:rPr>
          <w:rFonts w:ascii="Book Antiqua" w:hAnsi="Book Antiqua" w:cs="Arial"/>
        </w:rPr>
        <w:t>Appellant</w:t>
      </w:r>
      <w:r>
        <w:rPr>
          <w:rFonts w:ascii="Book Antiqua" w:hAnsi="Book Antiqua" w:cs="Arial"/>
        </w:rPr>
        <w:t xml:space="preserve">’s second wife </w:t>
      </w:r>
      <w:r w:rsidR="00DC281B">
        <w:rPr>
          <w:rFonts w:ascii="Book Antiqua" w:hAnsi="Book Antiqua" w:cs="Arial"/>
        </w:rPr>
        <w:t xml:space="preserve">had been living at </w:t>
      </w:r>
      <w:r w:rsidR="00015EDB">
        <w:rPr>
          <w:rFonts w:ascii="Book Antiqua" w:hAnsi="Book Antiqua" w:cs="Arial"/>
        </w:rPr>
        <w:t xml:space="preserve">(2) </w:t>
      </w:r>
      <w:r w:rsidR="00DC281B">
        <w:rPr>
          <w:rFonts w:ascii="Book Antiqua" w:hAnsi="Book Antiqua" w:cs="Arial"/>
        </w:rPr>
        <w:t>since September 2</w:t>
      </w:r>
      <w:r w:rsidR="00807DB6">
        <w:rPr>
          <w:rFonts w:ascii="Book Antiqua" w:hAnsi="Book Antiqua" w:cs="Arial"/>
        </w:rPr>
        <w:t>011.  The only evidence from Experian</w:t>
      </w:r>
      <w:r w:rsidR="00DC281B">
        <w:rPr>
          <w:rFonts w:ascii="Book Antiqua" w:hAnsi="Book Antiqua" w:cs="Arial"/>
        </w:rPr>
        <w:t xml:space="preserve"> that was produced</w:t>
      </w:r>
      <w:r w:rsidR="00807DB6">
        <w:rPr>
          <w:rFonts w:ascii="Book Antiqua" w:hAnsi="Book Antiqua" w:cs="Arial"/>
        </w:rPr>
        <w:t xml:space="preserve"> at the hearing was by</w:t>
      </w:r>
      <w:r w:rsidR="00DC281B">
        <w:rPr>
          <w:rFonts w:ascii="Book Antiqua" w:hAnsi="Book Antiqua" w:cs="Arial"/>
        </w:rPr>
        <w:t xml:space="preserve"> the </w:t>
      </w:r>
      <w:r w:rsidR="003B3EE1">
        <w:rPr>
          <w:rFonts w:ascii="Book Antiqua" w:hAnsi="Book Antiqua" w:cs="Arial"/>
        </w:rPr>
        <w:t>Appellant</w:t>
      </w:r>
      <w:r w:rsidR="00807DB6">
        <w:rPr>
          <w:rFonts w:ascii="Book Antiqua" w:hAnsi="Book Antiqua" w:cs="Arial"/>
        </w:rPr>
        <w:t>. I therefore assume that this was the report to which</w:t>
      </w:r>
      <w:r w:rsidR="00DC281B">
        <w:rPr>
          <w:rFonts w:ascii="Book Antiqua" w:hAnsi="Book Antiqua" w:cs="Arial"/>
        </w:rPr>
        <w:t xml:space="preserve"> the judge was referring in </w:t>
      </w:r>
      <w:r w:rsidR="00807DB6">
        <w:rPr>
          <w:rFonts w:ascii="Book Antiqua" w:hAnsi="Book Antiqua" w:cs="Arial"/>
        </w:rPr>
        <w:t>the following paragraphs</w:t>
      </w:r>
      <w:r w:rsidR="00DC281B">
        <w:rPr>
          <w:rFonts w:ascii="Book Antiqua" w:hAnsi="Book Antiqua" w:cs="Arial"/>
        </w:rPr>
        <w:t>:-</w:t>
      </w:r>
    </w:p>
    <w:p w:rsidR="00DC281B" w:rsidRPr="00D36E94" w:rsidRDefault="00DC281B" w:rsidP="00DC281B">
      <w:pPr>
        <w:spacing w:before="240"/>
        <w:ind w:left="1701" w:hanging="567"/>
        <w:jc w:val="both"/>
        <w:rPr>
          <w:rFonts w:ascii="Book Antiqua" w:hAnsi="Book Antiqua" w:cs="Arial"/>
          <w:sz w:val="22"/>
          <w:szCs w:val="22"/>
        </w:rPr>
      </w:pPr>
      <w:r w:rsidRPr="00D36E94">
        <w:rPr>
          <w:rFonts w:ascii="Book Antiqua" w:hAnsi="Book Antiqua" w:cs="Arial"/>
          <w:sz w:val="22"/>
          <w:szCs w:val="22"/>
        </w:rPr>
        <w:t>49.</w:t>
      </w:r>
      <w:r w:rsidRPr="00D36E94">
        <w:rPr>
          <w:rFonts w:ascii="Book Antiqua" w:hAnsi="Book Antiqua" w:cs="Arial"/>
          <w:sz w:val="22"/>
          <w:szCs w:val="22"/>
        </w:rPr>
        <w:tab/>
        <w:t xml:space="preserve">If I am still in error, then I should assess the contents of the Experian evidence before me by reference to the evidence as a whole.  The report before me is baffling and cannot prove what the </w:t>
      </w:r>
      <w:r w:rsidR="003B3EE1" w:rsidRPr="00D36E94">
        <w:rPr>
          <w:rFonts w:ascii="Book Antiqua" w:hAnsi="Book Antiqua" w:cs="Arial"/>
          <w:sz w:val="22"/>
          <w:szCs w:val="22"/>
        </w:rPr>
        <w:t>Respondent</w:t>
      </w:r>
      <w:r w:rsidRPr="00D36E94">
        <w:rPr>
          <w:rFonts w:ascii="Book Antiqua" w:hAnsi="Book Antiqua" w:cs="Arial"/>
          <w:sz w:val="22"/>
          <w:szCs w:val="22"/>
        </w:rPr>
        <w:t xml:space="preserve"> suggests without more.  Sometimes it give (sic) a long name for the wife and sometimes a short name, raising the possibility </w:t>
      </w:r>
      <w:r w:rsidRPr="00D36E94">
        <w:rPr>
          <w:rFonts w:ascii="Book Antiqua" w:hAnsi="Book Antiqua" w:cs="Arial"/>
          <w:sz w:val="22"/>
          <w:szCs w:val="22"/>
        </w:rPr>
        <w:lastRenderedPageBreak/>
        <w:t>that it has conflated details of two or more wholly separate individuals.  If so, that is a fatal weakness in that evidence.</w:t>
      </w:r>
    </w:p>
    <w:p w:rsidR="00C33809" w:rsidRPr="00D36E94" w:rsidRDefault="00DC281B" w:rsidP="00DC281B">
      <w:pPr>
        <w:spacing w:before="240"/>
        <w:ind w:left="1701" w:hanging="567"/>
        <w:jc w:val="both"/>
        <w:rPr>
          <w:rFonts w:ascii="Book Antiqua" w:hAnsi="Book Antiqua" w:cs="Arial"/>
          <w:sz w:val="22"/>
          <w:szCs w:val="22"/>
        </w:rPr>
      </w:pPr>
      <w:r w:rsidRPr="00D36E94">
        <w:rPr>
          <w:rFonts w:ascii="Book Antiqua" w:hAnsi="Book Antiqua" w:cs="Arial"/>
          <w:sz w:val="22"/>
          <w:szCs w:val="22"/>
        </w:rPr>
        <w:t>50.</w:t>
      </w:r>
      <w:r w:rsidRPr="00D36E94">
        <w:rPr>
          <w:rFonts w:ascii="Book Antiqua" w:hAnsi="Book Antiqua" w:cs="Arial"/>
          <w:sz w:val="22"/>
          <w:szCs w:val="22"/>
        </w:rPr>
        <w:tab/>
        <w:t xml:space="preserve">The report does not show who was living where when, by reference to start and finish dates or spot checks.  It may even show that one person was living at two addresses at the same date, in which case the </w:t>
      </w:r>
      <w:r w:rsidR="003B3EE1" w:rsidRPr="00D36E94">
        <w:rPr>
          <w:rFonts w:ascii="Book Antiqua" w:hAnsi="Book Antiqua" w:cs="Arial"/>
          <w:sz w:val="22"/>
          <w:szCs w:val="22"/>
        </w:rPr>
        <w:t>Respondent</w:t>
      </w:r>
      <w:r w:rsidRPr="00D36E94">
        <w:rPr>
          <w:rFonts w:ascii="Book Antiqua" w:hAnsi="Book Antiqua" w:cs="Arial"/>
          <w:sz w:val="22"/>
          <w:szCs w:val="22"/>
        </w:rPr>
        <w:t xml:space="preserve">’s case collapses, but that is a matter of interpretation for which the </w:t>
      </w:r>
      <w:r w:rsidR="003B3EE1" w:rsidRPr="00D36E94">
        <w:rPr>
          <w:rFonts w:ascii="Book Antiqua" w:hAnsi="Book Antiqua" w:cs="Arial"/>
          <w:sz w:val="22"/>
          <w:szCs w:val="22"/>
        </w:rPr>
        <w:t>Respondent</w:t>
      </w:r>
      <w:r w:rsidRPr="00D36E94">
        <w:rPr>
          <w:rFonts w:ascii="Book Antiqua" w:hAnsi="Book Antiqua" w:cs="Arial"/>
          <w:sz w:val="22"/>
          <w:szCs w:val="22"/>
        </w:rPr>
        <w:t xml:space="preserve"> has produced no expert evidence.  If the </w:t>
      </w:r>
      <w:r w:rsidR="003B3EE1" w:rsidRPr="00D36E94">
        <w:rPr>
          <w:rFonts w:ascii="Book Antiqua" w:hAnsi="Book Antiqua" w:cs="Arial"/>
          <w:sz w:val="22"/>
          <w:szCs w:val="22"/>
        </w:rPr>
        <w:t>Respondent</w:t>
      </w:r>
      <w:r w:rsidRPr="00D36E94">
        <w:rPr>
          <w:rFonts w:ascii="Book Antiqua" w:hAnsi="Book Antiqua" w:cs="Arial"/>
          <w:sz w:val="22"/>
          <w:szCs w:val="22"/>
        </w:rPr>
        <w:t xml:space="preserve"> wishes to rely on such a frankly baffling credit report, it is necessary to produce an expert on such reports, one who can advise a Judge with no expert knowledge of the topic.</w:t>
      </w:r>
    </w:p>
    <w:p w:rsidR="006E3043" w:rsidRPr="00D36E94" w:rsidRDefault="00C33809" w:rsidP="00DC281B">
      <w:pPr>
        <w:spacing w:before="240"/>
        <w:ind w:left="1701" w:hanging="567"/>
        <w:jc w:val="both"/>
        <w:rPr>
          <w:rFonts w:ascii="Book Antiqua" w:hAnsi="Book Antiqua" w:cs="Arial"/>
          <w:sz w:val="22"/>
          <w:szCs w:val="22"/>
        </w:rPr>
      </w:pPr>
      <w:r w:rsidRPr="00D36E94">
        <w:rPr>
          <w:rFonts w:ascii="Book Antiqua" w:hAnsi="Book Antiqua" w:cs="Arial"/>
          <w:sz w:val="22"/>
          <w:szCs w:val="22"/>
        </w:rPr>
        <w:t>51.</w:t>
      </w:r>
      <w:r w:rsidRPr="00D36E94">
        <w:rPr>
          <w:rFonts w:ascii="Book Antiqua" w:hAnsi="Book Antiqua" w:cs="Arial"/>
          <w:sz w:val="22"/>
          <w:szCs w:val="22"/>
        </w:rPr>
        <w:tab/>
        <w:t>I am on more solid ground when I take account of the solicitor’s evidence in his witness statement.  He confirms that the r</w:t>
      </w:r>
      <w:r w:rsidR="000C18D5">
        <w:rPr>
          <w:rFonts w:ascii="Book Antiqua" w:hAnsi="Book Antiqua" w:cs="Arial"/>
          <w:sz w:val="22"/>
          <w:szCs w:val="22"/>
        </w:rPr>
        <w:t>eport comes f</w:t>
      </w:r>
      <w:r w:rsidRPr="00D36E94">
        <w:rPr>
          <w:rFonts w:ascii="Book Antiqua" w:hAnsi="Book Antiqua" w:cs="Arial"/>
          <w:sz w:val="22"/>
          <w:szCs w:val="22"/>
        </w:rPr>
        <w:t>r</w:t>
      </w:r>
      <w:r w:rsidR="000C18D5">
        <w:rPr>
          <w:rFonts w:ascii="Book Antiqua" w:hAnsi="Book Antiqua" w:cs="Arial"/>
          <w:sz w:val="22"/>
          <w:szCs w:val="22"/>
        </w:rPr>
        <w:t>o</w:t>
      </w:r>
      <w:r w:rsidRPr="00D36E94">
        <w:rPr>
          <w:rFonts w:ascii="Book Antiqua" w:hAnsi="Book Antiqua" w:cs="Arial"/>
          <w:sz w:val="22"/>
          <w:szCs w:val="22"/>
        </w:rPr>
        <w:t xml:space="preserve">m the wife.  This is not obviously likely to occur, if there is no past relationship.  Then I turn to the letter from Harrow Law Centre, which attached Amelie Picard’s own Experian report and placed an interpretation upon it, which was seriously at odds with the officer’s view.  It is also at odds with the dates (if not the sequence) given by the </w:t>
      </w:r>
      <w:r w:rsidR="003B3EE1" w:rsidRPr="00D36E94">
        <w:rPr>
          <w:rFonts w:ascii="Book Antiqua" w:hAnsi="Book Antiqua" w:cs="Arial"/>
          <w:sz w:val="22"/>
          <w:szCs w:val="22"/>
        </w:rPr>
        <w:t>Appellant</w:t>
      </w:r>
      <w:r w:rsidRPr="00D36E94">
        <w:rPr>
          <w:rFonts w:ascii="Book Antiqua" w:hAnsi="Book Antiqua" w:cs="Arial"/>
          <w:sz w:val="22"/>
          <w:szCs w:val="22"/>
        </w:rPr>
        <w:t xml:space="preserve"> in the surprise visit.  I accept the unchallenged evidence that he had taken Tramadol for pain relief and that he was vague at the time.</w:t>
      </w:r>
    </w:p>
    <w:p w:rsidR="00DC281B" w:rsidRPr="00D36E94" w:rsidRDefault="006E3043" w:rsidP="00DC281B">
      <w:pPr>
        <w:spacing w:before="240"/>
        <w:ind w:left="1701" w:hanging="567"/>
        <w:jc w:val="both"/>
        <w:rPr>
          <w:rFonts w:ascii="Book Antiqua" w:hAnsi="Book Antiqua" w:cs="Arial"/>
          <w:sz w:val="22"/>
          <w:szCs w:val="22"/>
        </w:rPr>
      </w:pPr>
      <w:r w:rsidRPr="00D36E94">
        <w:rPr>
          <w:rFonts w:ascii="Book Antiqua" w:hAnsi="Book Antiqua" w:cs="Arial"/>
          <w:sz w:val="22"/>
          <w:szCs w:val="22"/>
        </w:rPr>
        <w:t>52.</w:t>
      </w:r>
      <w:r w:rsidRPr="00D36E94">
        <w:rPr>
          <w:rFonts w:ascii="Book Antiqua" w:hAnsi="Book Antiqua" w:cs="Arial"/>
          <w:sz w:val="22"/>
          <w:szCs w:val="22"/>
        </w:rPr>
        <w:tab/>
        <w:t>I draw a conclusion that Ms Picard had li</w:t>
      </w:r>
      <w:r w:rsidR="003633B9" w:rsidRPr="00D36E94">
        <w:rPr>
          <w:rFonts w:ascii="Book Antiqua" w:hAnsi="Book Antiqua" w:cs="Arial"/>
          <w:sz w:val="22"/>
          <w:szCs w:val="22"/>
        </w:rPr>
        <w:t xml:space="preserve">ved at </w:t>
      </w:r>
      <w:r w:rsidR="003848D4">
        <w:rPr>
          <w:rFonts w:ascii="Book Antiqua" w:hAnsi="Book Antiqua" w:cs="Arial"/>
          <w:sz w:val="22"/>
          <w:szCs w:val="22"/>
        </w:rPr>
        <w:t>(2)</w:t>
      </w:r>
      <w:r w:rsidR="003633B9" w:rsidRPr="00D36E94">
        <w:rPr>
          <w:rFonts w:ascii="Book Antiqua" w:hAnsi="Book Antiqua" w:cs="Arial"/>
          <w:sz w:val="22"/>
          <w:szCs w:val="22"/>
        </w:rPr>
        <w:t xml:space="preserve"> at least f</w:t>
      </w:r>
      <w:r w:rsidRPr="00D36E94">
        <w:rPr>
          <w:rFonts w:ascii="Book Antiqua" w:hAnsi="Book Antiqua" w:cs="Arial"/>
          <w:sz w:val="22"/>
          <w:szCs w:val="22"/>
        </w:rPr>
        <w:t>r</w:t>
      </w:r>
      <w:r w:rsidR="003633B9" w:rsidRPr="00D36E94">
        <w:rPr>
          <w:rFonts w:ascii="Book Antiqua" w:hAnsi="Book Antiqua" w:cs="Arial"/>
          <w:sz w:val="22"/>
          <w:szCs w:val="22"/>
        </w:rPr>
        <w:t>o</w:t>
      </w:r>
      <w:r w:rsidRPr="00D36E94">
        <w:rPr>
          <w:rFonts w:ascii="Book Antiqua" w:hAnsi="Book Antiqua" w:cs="Arial"/>
          <w:sz w:val="22"/>
          <w:szCs w:val="22"/>
        </w:rPr>
        <w:t xml:space="preserve">m April 2013 or at any rate for some period of 3 years and 1 month commencing prior to the 2016 search date.  The statement of the </w:t>
      </w:r>
      <w:r w:rsidR="003B3EE1" w:rsidRPr="00D36E94">
        <w:rPr>
          <w:rFonts w:ascii="Book Antiqua" w:hAnsi="Book Antiqua" w:cs="Arial"/>
          <w:sz w:val="22"/>
          <w:szCs w:val="22"/>
        </w:rPr>
        <w:t>Appellant</w:t>
      </w:r>
      <w:r w:rsidRPr="00D36E94">
        <w:rPr>
          <w:rFonts w:ascii="Book Antiqua" w:hAnsi="Book Antiqua" w:cs="Arial"/>
          <w:sz w:val="22"/>
          <w:szCs w:val="22"/>
        </w:rPr>
        <w:t xml:space="preserve"> suggests that she moved there to rent a studio flat in February 2013 as the relationship was winding down</w:t>
      </w:r>
      <w:r w:rsidR="00AA4AC7" w:rsidRPr="00D36E94">
        <w:rPr>
          <w:rFonts w:ascii="Book Antiqua" w:hAnsi="Book Antiqua" w:cs="Arial"/>
          <w:sz w:val="22"/>
          <w:szCs w:val="22"/>
        </w:rPr>
        <w:t xml:space="preserve"> </w:t>
      </w:r>
      <w:r w:rsidR="00D36E94">
        <w:rPr>
          <w:rFonts w:ascii="Book Antiqua" w:hAnsi="Book Antiqua" w:cs="Arial"/>
          <w:sz w:val="22"/>
          <w:szCs w:val="22"/>
        </w:rPr>
        <w:t>…</w:t>
      </w:r>
    </w:p>
    <w:p w:rsidR="00DC281B" w:rsidRDefault="006B3EB8" w:rsidP="00D371C7">
      <w:pPr>
        <w:numPr>
          <w:ilvl w:val="0"/>
          <w:numId w:val="3"/>
        </w:numPr>
        <w:spacing w:before="240"/>
        <w:jc w:val="both"/>
        <w:rPr>
          <w:rFonts w:ascii="Book Antiqua" w:hAnsi="Book Antiqua" w:cs="Arial"/>
        </w:rPr>
      </w:pPr>
      <w:r>
        <w:rPr>
          <w:rFonts w:ascii="Book Antiqua" w:hAnsi="Book Antiqua" w:cs="Arial"/>
        </w:rPr>
        <w:t xml:space="preserve">I turn now to the grounds.  It is said that the judge’s approach to the relevance of the previous marriage is irrational, or at the very least, inadequately explained.  The </w:t>
      </w:r>
      <w:r w:rsidR="003B3EE1">
        <w:rPr>
          <w:rFonts w:ascii="Book Antiqua" w:hAnsi="Book Antiqua" w:cs="Arial"/>
        </w:rPr>
        <w:t>Appellant</w:t>
      </w:r>
      <w:r>
        <w:rPr>
          <w:rFonts w:ascii="Book Antiqua" w:hAnsi="Book Antiqua" w:cs="Arial"/>
        </w:rPr>
        <w:t xml:space="preserve"> now accepts that his marriage to his first wife</w:t>
      </w:r>
      <w:r w:rsidR="00467632">
        <w:rPr>
          <w:rFonts w:ascii="Book Antiqua" w:hAnsi="Book Antiqua" w:cs="Arial"/>
        </w:rPr>
        <w:t xml:space="preserve">, a </w:t>
      </w:r>
      <w:r>
        <w:rPr>
          <w:rFonts w:ascii="Book Antiqua" w:hAnsi="Book Antiqua" w:cs="Arial"/>
        </w:rPr>
        <w:t xml:space="preserve">Miss </w:t>
      </w:r>
      <w:proofErr w:type="spellStart"/>
      <w:r>
        <w:rPr>
          <w:rFonts w:ascii="Book Antiqua" w:hAnsi="Book Antiqua" w:cs="Arial"/>
        </w:rPr>
        <w:t>Scifo</w:t>
      </w:r>
      <w:proofErr w:type="spellEnd"/>
      <w:r w:rsidR="00467632">
        <w:rPr>
          <w:rFonts w:ascii="Book Antiqua" w:hAnsi="Book Antiqua" w:cs="Arial"/>
        </w:rPr>
        <w:t>,</w:t>
      </w:r>
      <w:r>
        <w:rPr>
          <w:rFonts w:ascii="Book Antiqua" w:hAnsi="Book Antiqua" w:cs="Arial"/>
        </w:rPr>
        <w:t xml:space="preserve"> was a marriage of convenience.  The second ground is that his approach to the credit agency evidence was also flawed because that evidence showed that Miss Picard had been living at a different address to the claimed marital h</w:t>
      </w:r>
      <w:r w:rsidR="00AB65DE">
        <w:rPr>
          <w:rFonts w:ascii="Book Antiqua" w:hAnsi="Book Antiqua" w:cs="Arial"/>
        </w:rPr>
        <w:t>ome since 2011 and thus</w:t>
      </w:r>
      <w:r>
        <w:rPr>
          <w:rFonts w:ascii="Book Antiqua" w:hAnsi="Book Antiqua" w:cs="Arial"/>
        </w:rPr>
        <w:t xml:space="preserve"> gave sufficient </w:t>
      </w:r>
      <w:r w:rsidR="00AB65DE">
        <w:rPr>
          <w:rFonts w:ascii="Book Antiqua" w:hAnsi="Book Antiqua" w:cs="Arial"/>
        </w:rPr>
        <w:t xml:space="preserve">grounds for </w:t>
      </w:r>
      <w:r>
        <w:rPr>
          <w:rFonts w:ascii="Book Antiqua" w:hAnsi="Book Antiqua" w:cs="Arial"/>
        </w:rPr>
        <w:t>s</w:t>
      </w:r>
      <w:r w:rsidR="00AB65DE">
        <w:rPr>
          <w:rFonts w:ascii="Book Antiqua" w:hAnsi="Book Antiqua" w:cs="Arial"/>
        </w:rPr>
        <w:t>uspicion to justify undertaking</w:t>
      </w:r>
      <w:r>
        <w:rPr>
          <w:rFonts w:ascii="Book Antiqua" w:hAnsi="Book Antiqua" w:cs="Arial"/>
        </w:rPr>
        <w:t xml:space="preserve"> an enforcement visit to the </w:t>
      </w:r>
      <w:r w:rsidR="003B3EE1">
        <w:rPr>
          <w:rFonts w:ascii="Book Antiqua" w:hAnsi="Book Antiqua" w:cs="Arial"/>
        </w:rPr>
        <w:t>Appellant</w:t>
      </w:r>
      <w:r>
        <w:rPr>
          <w:rFonts w:ascii="Book Antiqua" w:hAnsi="Book Antiqua" w:cs="Arial"/>
        </w:rPr>
        <w:t xml:space="preserve">’s property so as to interview him in relation to the Secretary of State’s concerns.  </w:t>
      </w:r>
    </w:p>
    <w:p w:rsidR="006B3EB8" w:rsidRDefault="006B3EB8" w:rsidP="00D371C7">
      <w:pPr>
        <w:numPr>
          <w:ilvl w:val="0"/>
          <w:numId w:val="3"/>
        </w:numPr>
        <w:spacing w:before="240"/>
        <w:jc w:val="both"/>
        <w:rPr>
          <w:rFonts w:ascii="Book Antiqua" w:hAnsi="Book Antiqua" w:cs="Arial"/>
        </w:rPr>
      </w:pPr>
      <w:r>
        <w:rPr>
          <w:rFonts w:ascii="Book Antiqua" w:hAnsi="Book Antiqua" w:cs="Arial"/>
        </w:rPr>
        <w:t xml:space="preserve">I deal firstly with the Experian report.  I am told by Miss </w:t>
      </w:r>
      <w:proofErr w:type="spellStart"/>
      <w:r>
        <w:rPr>
          <w:rFonts w:ascii="Book Antiqua" w:hAnsi="Book Antiqua" w:cs="Arial"/>
        </w:rPr>
        <w:t>Jacquiss</w:t>
      </w:r>
      <w:proofErr w:type="spellEnd"/>
      <w:r>
        <w:rPr>
          <w:rFonts w:ascii="Book Antiqua" w:hAnsi="Book Antiqua" w:cs="Arial"/>
        </w:rPr>
        <w:t xml:space="preserve"> </w:t>
      </w:r>
      <w:r w:rsidR="00D36E94">
        <w:rPr>
          <w:rFonts w:ascii="Book Antiqua" w:hAnsi="Book Antiqua" w:cs="Arial"/>
        </w:rPr>
        <w:t>(</w:t>
      </w:r>
      <w:r>
        <w:rPr>
          <w:rFonts w:ascii="Book Antiqua" w:hAnsi="Book Antiqua" w:cs="Arial"/>
        </w:rPr>
        <w:t>who</w:t>
      </w:r>
      <w:r w:rsidR="00D36E94">
        <w:rPr>
          <w:rFonts w:ascii="Book Antiqua" w:hAnsi="Book Antiqua" w:cs="Arial"/>
        </w:rPr>
        <w:t xml:space="preserve"> also</w:t>
      </w:r>
      <w:r>
        <w:rPr>
          <w:rFonts w:ascii="Book Antiqua" w:hAnsi="Book Antiqua" w:cs="Arial"/>
        </w:rPr>
        <w:t xml:space="preserve"> appeared before the First-tier Tribunal</w:t>
      </w:r>
      <w:r w:rsidR="00D36E94">
        <w:rPr>
          <w:rFonts w:ascii="Book Antiqua" w:hAnsi="Book Antiqua" w:cs="Arial"/>
        </w:rPr>
        <w:t>)</w:t>
      </w:r>
      <w:r>
        <w:rPr>
          <w:rFonts w:ascii="Book Antiqua" w:hAnsi="Book Antiqua" w:cs="Arial"/>
        </w:rPr>
        <w:t xml:space="preserve"> that at no point</w:t>
      </w:r>
      <w:r w:rsidR="005547F8">
        <w:rPr>
          <w:rFonts w:ascii="Book Antiqua" w:hAnsi="Book Antiqua" w:cs="Arial"/>
        </w:rPr>
        <w:t xml:space="preserve"> did the Secretary of State</w:t>
      </w:r>
      <w:r>
        <w:rPr>
          <w:rFonts w:ascii="Book Antiqua" w:hAnsi="Book Antiqua" w:cs="Arial"/>
        </w:rPr>
        <w:t xml:space="preserve"> adduce a report from Experian</w:t>
      </w:r>
      <w:r w:rsidR="005547F8">
        <w:rPr>
          <w:rFonts w:ascii="Book Antiqua" w:hAnsi="Book Antiqua" w:cs="Arial"/>
        </w:rPr>
        <w:t xml:space="preserve"> </w:t>
      </w:r>
      <w:proofErr w:type="gramStart"/>
      <w:r w:rsidR="005547F8">
        <w:rPr>
          <w:rFonts w:ascii="Book Antiqua" w:hAnsi="Book Antiqua" w:cs="Arial"/>
        </w:rPr>
        <w:t>in order to</w:t>
      </w:r>
      <w:proofErr w:type="gramEnd"/>
      <w:r w:rsidR="005547F8">
        <w:rPr>
          <w:rFonts w:ascii="Book Antiqua" w:hAnsi="Book Antiqua" w:cs="Arial"/>
        </w:rPr>
        <w:t xml:space="preserve"> support her</w:t>
      </w:r>
      <w:r>
        <w:rPr>
          <w:rFonts w:ascii="Book Antiqua" w:hAnsi="Book Antiqua" w:cs="Arial"/>
        </w:rPr>
        <w:t xml:space="preserve"> claim that the </w:t>
      </w:r>
      <w:r w:rsidR="003B3EE1">
        <w:rPr>
          <w:rFonts w:ascii="Book Antiqua" w:hAnsi="Book Antiqua" w:cs="Arial"/>
        </w:rPr>
        <w:t>Appellant</w:t>
      </w:r>
      <w:r>
        <w:rPr>
          <w:rFonts w:ascii="Book Antiqua" w:hAnsi="Book Antiqua" w:cs="Arial"/>
        </w:rPr>
        <w:t xml:space="preserve">’s second wife had been living at </w:t>
      </w:r>
      <w:r w:rsidR="00113EDB">
        <w:rPr>
          <w:rFonts w:ascii="Book Antiqua" w:hAnsi="Book Antiqua" w:cs="Arial"/>
        </w:rPr>
        <w:t>(2)</w:t>
      </w:r>
      <w:r>
        <w:rPr>
          <w:rFonts w:ascii="Book Antiqua" w:hAnsi="Book Antiqua" w:cs="Arial"/>
        </w:rPr>
        <w:t xml:space="preserve"> since September 2011.  That was a very grave failing on the part of the Secretary o</w:t>
      </w:r>
      <w:r w:rsidR="00AD521A">
        <w:rPr>
          <w:rFonts w:ascii="Book Antiqua" w:hAnsi="Book Antiqua" w:cs="Arial"/>
        </w:rPr>
        <w:t>f State.  There is in my experience</w:t>
      </w:r>
      <w:r>
        <w:rPr>
          <w:rFonts w:ascii="Book Antiqua" w:hAnsi="Book Antiqua" w:cs="Arial"/>
        </w:rPr>
        <w:t xml:space="preserve"> a tendency amongst those who prepare cases for the Secretary of State to assume t</w:t>
      </w:r>
      <w:r w:rsidR="00AD521A">
        <w:rPr>
          <w:rFonts w:ascii="Book Antiqua" w:hAnsi="Book Antiqua" w:cs="Arial"/>
        </w:rPr>
        <w:t>hat the burden of proof will necessarily be up</w:t>
      </w:r>
      <w:r>
        <w:rPr>
          <w:rFonts w:ascii="Book Antiqua" w:hAnsi="Book Antiqua" w:cs="Arial"/>
        </w:rPr>
        <w:t xml:space="preserve">on the </w:t>
      </w:r>
      <w:r w:rsidR="003B3EE1">
        <w:rPr>
          <w:rFonts w:ascii="Book Antiqua" w:hAnsi="Book Antiqua" w:cs="Arial"/>
        </w:rPr>
        <w:t>Appellant</w:t>
      </w:r>
      <w:r>
        <w:rPr>
          <w:rFonts w:ascii="Book Antiqua" w:hAnsi="Book Antiqua" w:cs="Arial"/>
        </w:rPr>
        <w:t xml:space="preserve"> and that</w:t>
      </w:r>
      <w:r w:rsidR="00AD521A">
        <w:rPr>
          <w:rFonts w:ascii="Book Antiqua" w:hAnsi="Book Antiqua" w:cs="Arial"/>
        </w:rPr>
        <w:t xml:space="preserve"> a</w:t>
      </w:r>
      <w:r w:rsidR="005547F8">
        <w:rPr>
          <w:rFonts w:ascii="Book Antiqua" w:hAnsi="Book Antiqua" w:cs="Arial"/>
        </w:rPr>
        <w:t xml:space="preserve">n appeal may be successfully resisted by simply </w:t>
      </w:r>
      <w:r w:rsidR="00161592">
        <w:rPr>
          <w:rFonts w:ascii="Book Antiqua" w:hAnsi="Book Antiqua" w:cs="Arial"/>
        </w:rPr>
        <w:t>challenging</w:t>
      </w:r>
      <w:r w:rsidR="005547F8">
        <w:rPr>
          <w:rFonts w:ascii="Book Antiqua" w:hAnsi="Book Antiqua" w:cs="Arial"/>
        </w:rPr>
        <w:t xml:space="preserve"> the evidence</w:t>
      </w:r>
      <w:r w:rsidR="00AB65DE">
        <w:rPr>
          <w:rFonts w:ascii="Book Antiqua" w:hAnsi="Book Antiqua" w:cs="Arial"/>
        </w:rPr>
        <w:t xml:space="preserve"> </w:t>
      </w:r>
      <w:r w:rsidR="005547F8">
        <w:rPr>
          <w:rFonts w:ascii="Book Antiqua" w:hAnsi="Book Antiqua" w:cs="Arial"/>
        </w:rPr>
        <w:t>relied upon by the Appellant at the hearing</w:t>
      </w:r>
      <w:r>
        <w:rPr>
          <w:rFonts w:ascii="Book Antiqua" w:hAnsi="Book Antiqua" w:cs="Arial"/>
        </w:rPr>
        <w:t xml:space="preserve">.  </w:t>
      </w:r>
      <w:r w:rsidR="00AD521A">
        <w:rPr>
          <w:rFonts w:ascii="Book Antiqua" w:hAnsi="Book Antiqua" w:cs="Arial"/>
        </w:rPr>
        <w:t>However, where the Secretary of State bear</w:t>
      </w:r>
      <w:r w:rsidR="005547F8">
        <w:rPr>
          <w:rFonts w:ascii="Book Antiqua" w:hAnsi="Book Antiqua" w:cs="Arial"/>
        </w:rPr>
        <w:t>s the burden of proof, it will generally be necessary for her to prepare her case</w:t>
      </w:r>
      <w:r w:rsidR="00AB65DE">
        <w:rPr>
          <w:rFonts w:ascii="Book Antiqua" w:hAnsi="Book Antiqua" w:cs="Arial"/>
        </w:rPr>
        <w:t>s</w:t>
      </w:r>
      <w:r w:rsidR="00D36E94">
        <w:rPr>
          <w:rFonts w:ascii="Book Antiqua" w:hAnsi="Book Antiqua" w:cs="Arial"/>
        </w:rPr>
        <w:t xml:space="preserve"> in a si</w:t>
      </w:r>
      <w:r w:rsidR="00161592">
        <w:rPr>
          <w:rFonts w:ascii="Book Antiqua" w:hAnsi="Book Antiqua" w:cs="Arial"/>
        </w:rPr>
        <w:t>milar fashion to</w:t>
      </w:r>
      <w:r w:rsidR="00D36E94">
        <w:rPr>
          <w:rFonts w:ascii="Book Antiqua" w:hAnsi="Book Antiqua" w:cs="Arial"/>
        </w:rPr>
        <w:t xml:space="preserve"> a criminal prosecution. This</w:t>
      </w:r>
      <w:r w:rsidR="00AD521A">
        <w:rPr>
          <w:rFonts w:ascii="Book Antiqua" w:hAnsi="Book Antiqua" w:cs="Arial"/>
        </w:rPr>
        <w:t xml:space="preserve"> involves</w:t>
      </w:r>
      <w:r w:rsidR="00D36E94">
        <w:rPr>
          <w:rFonts w:ascii="Book Antiqua" w:hAnsi="Book Antiqua" w:cs="Arial"/>
        </w:rPr>
        <w:t xml:space="preserve"> ensuring</w:t>
      </w:r>
      <w:r w:rsidR="00AD521A">
        <w:rPr>
          <w:rFonts w:ascii="Book Antiqua" w:hAnsi="Book Antiqua" w:cs="Arial"/>
        </w:rPr>
        <w:t xml:space="preserve"> that there is sufficient evidence to prove each ingredient of the charge </w:t>
      </w:r>
      <w:r w:rsidR="00D36E94">
        <w:rPr>
          <w:rFonts w:ascii="Book Antiqua" w:hAnsi="Book Antiqua" w:cs="Arial"/>
        </w:rPr>
        <w:t>that is to be</w:t>
      </w:r>
      <w:r w:rsidR="00AB65DE">
        <w:rPr>
          <w:rFonts w:ascii="Book Antiqua" w:hAnsi="Book Antiqua" w:cs="Arial"/>
        </w:rPr>
        <w:t xml:space="preserve"> laid against the</w:t>
      </w:r>
      <w:r w:rsidR="00161592">
        <w:rPr>
          <w:rFonts w:ascii="Book Antiqua" w:hAnsi="Book Antiqua" w:cs="Arial"/>
        </w:rPr>
        <w:t xml:space="preserve"> applicant who is appealing the</w:t>
      </w:r>
      <w:r w:rsidR="00AB65DE">
        <w:rPr>
          <w:rFonts w:ascii="Book Antiqua" w:hAnsi="Book Antiqua" w:cs="Arial"/>
        </w:rPr>
        <w:t xml:space="preserve"> adverse decision</w:t>
      </w:r>
      <w:r w:rsidR="00161592">
        <w:rPr>
          <w:rFonts w:ascii="Book Antiqua" w:hAnsi="Book Antiqua" w:cs="Arial"/>
        </w:rPr>
        <w:t>. It is therefore</w:t>
      </w:r>
      <w:r w:rsidR="00D36E94">
        <w:rPr>
          <w:rFonts w:ascii="Book Antiqua" w:hAnsi="Book Antiqua" w:cs="Arial"/>
        </w:rPr>
        <w:t xml:space="preserve"> reasonable to expect </w:t>
      </w:r>
      <w:r w:rsidR="00AD521A">
        <w:rPr>
          <w:rFonts w:ascii="Book Antiqua" w:hAnsi="Book Antiqua" w:cs="Arial"/>
        </w:rPr>
        <w:t>that</w:t>
      </w:r>
      <w:r w:rsidR="00D36E94">
        <w:rPr>
          <w:rFonts w:ascii="Book Antiqua" w:hAnsi="Book Antiqua" w:cs="Arial"/>
        </w:rPr>
        <w:t xml:space="preserve"> an</w:t>
      </w:r>
      <w:r w:rsidR="00161592">
        <w:rPr>
          <w:rFonts w:ascii="Book Antiqua" w:hAnsi="Book Antiqua" w:cs="Arial"/>
        </w:rPr>
        <w:t xml:space="preserve"> Immigration Officer will have made a</w:t>
      </w:r>
      <w:r w:rsidR="00AD521A">
        <w:rPr>
          <w:rFonts w:ascii="Book Antiqua" w:hAnsi="Book Antiqua" w:cs="Arial"/>
        </w:rPr>
        <w:t xml:space="preserve"> contemporaneous written note of</w:t>
      </w:r>
      <w:r w:rsidR="00D36E94">
        <w:rPr>
          <w:rFonts w:ascii="Book Antiqua" w:hAnsi="Book Antiqua" w:cs="Arial"/>
        </w:rPr>
        <w:t xml:space="preserve"> an otherwise unrecorded interview</w:t>
      </w:r>
      <w:r w:rsidR="00AD521A">
        <w:rPr>
          <w:rFonts w:ascii="Book Antiqua" w:hAnsi="Book Antiqua" w:cs="Arial"/>
        </w:rPr>
        <w:t xml:space="preserve"> and, where </w:t>
      </w:r>
      <w:r w:rsidR="00161592">
        <w:rPr>
          <w:rFonts w:ascii="Book Antiqua" w:hAnsi="Book Antiqua" w:cs="Arial"/>
        </w:rPr>
        <w:t>it is clear that</w:t>
      </w:r>
      <w:r w:rsidR="00AB65DE">
        <w:rPr>
          <w:rFonts w:ascii="Book Antiqua" w:hAnsi="Book Antiqua" w:cs="Arial"/>
        </w:rPr>
        <w:t xml:space="preserve"> the account of the interview will be</w:t>
      </w:r>
      <w:r w:rsidR="00D36E94">
        <w:rPr>
          <w:rFonts w:ascii="Book Antiqua" w:hAnsi="Book Antiqua" w:cs="Arial"/>
        </w:rPr>
        <w:t xml:space="preserve"> disputed</w:t>
      </w:r>
      <w:r w:rsidR="00D371E6">
        <w:rPr>
          <w:rFonts w:ascii="Book Antiqua" w:hAnsi="Book Antiqua" w:cs="Arial"/>
        </w:rPr>
        <w:t>, for him or her to be</w:t>
      </w:r>
      <w:r w:rsidR="00AD521A">
        <w:rPr>
          <w:rFonts w:ascii="Book Antiqua" w:hAnsi="Book Antiqua" w:cs="Arial"/>
        </w:rPr>
        <w:t xml:space="preserve"> </w:t>
      </w:r>
      <w:r w:rsidR="00161592">
        <w:rPr>
          <w:rFonts w:ascii="Book Antiqua" w:hAnsi="Book Antiqua" w:cs="Arial"/>
        </w:rPr>
        <w:t xml:space="preserve">made </w:t>
      </w:r>
      <w:r w:rsidR="00AD521A">
        <w:rPr>
          <w:rFonts w:ascii="Book Antiqua" w:hAnsi="Book Antiqua" w:cs="Arial"/>
        </w:rPr>
        <w:t>available for cross-examination at the hearing</w:t>
      </w:r>
      <w:r w:rsidR="00D371E6">
        <w:rPr>
          <w:rFonts w:ascii="Book Antiqua" w:hAnsi="Book Antiqua" w:cs="Arial"/>
        </w:rPr>
        <w:t xml:space="preserve"> of the appeal</w:t>
      </w:r>
      <w:r w:rsidR="00AB65DE">
        <w:rPr>
          <w:rFonts w:ascii="Book Antiqua" w:hAnsi="Book Antiqua" w:cs="Arial"/>
        </w:rPr>
        <w:t>. Fortuitously, in this case</w:t>
      </w:r>
      <w:r w:rsidR="00AD521A">
        <w:rPr>
          <w:rFonts w:ascii="Book Antiqua" w:hAnsi="Book Antiqua" w:cs="Arial"/>
        </w:rPr>
        <w:t xml:space="preserve"> the Appellant did </w:t>
      </w:r>
      <w:r w:rsidR="00AD521A">
        <w:rPr>
          <w:rFonts w:ascii="Book Antiqua" w:hAnsi="Book Antiqua" w:cs="Arial"/>
        </w:rPr>
        <w:lastRenderedPageBreak/>
        <w:t>not challenge the Immigration Officers’ ac</w:t>
      </w:r>
      <w:r w:rsidR="00161592">
        <w:rPr>
          <w:rFonts w:ascii="Book Antiqua" w:hAnsi="Book Antiqua" w:cs="Arial"/>
        </w:rPr>
        <w:t>count of the interview</w:t>
      </w:r>
      <w:r w:rsidR="00AB65DE">
        <w:rPr>
          <w:rFonts w:ascii="Book Antiqua" w:hAnsi="Book Antiqua" w:cs="Arial"/>
        </w:rPr>
        <w:t>. This</w:t>
      </w:r>
      <w:r w:rsidR="00AD521A">
        <w:rPr>
          <w:rFonts w:ascii="Book Antiqua" w:hAnsi="Book Antiqua" w:cs="Arial"/>
        </w:rPr>
        <w:t xml:space="preserve"> was no doubt because </w:t>
      </w:r>
      <w:r w:rsidR="001F6E2D">
        <w:rPr>
          <w:rFonts w:ascii="Book Antiqua" w:hAnsi="Book Antiqua" w:cs="Arial"/>
        </w:rPr>
        <w:t>he was not alleged to have made any admissions dur</w:t>
      </w:r>
      <w:r w:rsidR="00AB65DE">
        <w:rPr>
          <w:rFonts w:ascii="Book Antiqua" w:hAnsi="Book Antiqua" w:cs="Arial"/>
        </w:rPr>
        <w:t>ing the course of it</w:t>
      </w:r>
      <w:r w:rsidR="001F6E2D">
        <w:rPr>
          <w:rFonts w:ascii="Book Antiqua" w:hAnsi="Book Antiqua" w:cs="Arial"/>
        </w:rPr>
        <w:t xml:space="preserve">. It accordingly took matters no further in assisting the Secretary </w:t>
      </w:r>
      <w:r w:rsidR="00D371E6">
        <w:rPr>
          <w:rFonts w:ascii="Book Antiqua" w:hAnsi="Book Antiqua" w:cs="Arial"/>
        </w:rPr>
        <w:t>of State to discharge the burden of proof</w:t>
      </w:r>
      <w:r w:rsidR="001F6E2D">
        <w:rPr>
          <w:rFonts w:ascii="Book Antiqua" w:hAnsi="Book Antiqua" w:cs="Arial"/>
        </w:rPr>
        <w:t>.</w:t>
      </w:r>
      <w:r>
        <w:rPr>
          <w:rFonts w:ascii="Book Antiqua" w:hAnsi="Book Antiqua" w:cs="Arial"/>
        </w:rPr>
        <w:t xml:space="preserve">  </w:t>
      </w:r>
    </w:p>
    <w:p w:rsidR="006B3EB8" w:rsidRDefault="001F6E2D" w:rsidP="00D371C7">
      <w:pPr>
        <w:numPr>
          <w:ilvl w:val="0"/>
          <w:numId w:val="3"/>
        </w:numPr>
        <w:spacing w:before="240"/>
        <w:jc w:val="both"/>
        <w:rPr>
          <w:rFonts w:ascii="Book Antiqua" w:hAnsi="Book Antiqua" w:cs="Arial"/>
        </w:rPr>
      </w:pPr>
      <w:r>
        <w:rPr>
          <w:rFonts w:ascii="Book Antiqua" w:hAnsi="Book Antiqua" w:cs="Arial"/>
        </w:rPr>
        <w:t>There was, however, a very significant challenge to Respondent’s case with regard to what was claimed to be the contents of an ‘</w:t>
      </w:r>
      <w:r w:rsidR="00161592">
        <w:rPr>
          <w:rFonts w:ascii="Book Antiqua" w:hAnsi="Book Antiqua" w:cs="Arial"/>
        </w:rPr>
        <w:t>Experian</w:t>
      </w:r>
      <w:r>
        <w:rPr>
          <w:rFonts w:ascii="Book Antiqua" w:hAnsi="Book Antiqua" w:cs="Arial"/>
        </w:rPr>
        <w:t>’ report that had apparently been in the possession of the Immigration Officers who made the unannounced visit to the Appellant’s home</w:t>
      </w:r>
      <w:r w:rsidR="00161592">
        <w:rPr>
          <w:rFonts w:ascii="Book Antiqua" w:hAnsi="Book Antiqua" w:cs="Arial"/>
        </w:rPr>
        <w:t xml:space="preserve"> in March 2016</w:t>
      </w:r>
      <w:r>
        <w:rPr>
          <w:rFonts w:ascii="Book Antiqua" w:hAnsi="Book Antiqua" w:cs="Arial"/>
        </w:rPr>
        <w:t xml:space="preserve">. </w:t>
      </w:r>
      <w:r w:rsidR="006B3EB8">
        <w:rPr>
          <w:rFonts w:ascii="Book Antiqua" w:hAnsi="Book Antiqua" w:cs="Arial"/>
        </w:rPr>
        <w:t>As I have noted already</w:t>
      </w:r>
      <w:r w:rsidR="00D371E6">
        <w:rPr>
          <w:rFonts w:ascii="Book Antiqua" w:hAnsi="Book Antiqua" w:cs="Arial"/>
        </w:rPr>
        <w:t>,</w:t>
      </w:r>
      <w:r w:rsidR="006B3EB8">
        <w:rPr>
          <w:rFonts w:ascii="Book Antiqua" w:hAnsi="Book Antiqua" w:cs="Arial"/>
        </w:rPr>
        <w:t xml:space="preserve"> it was the Home Office case that the </w:t>
      </w:r>
      <w:r w:rsidR="003B3EE1">
        <w:rPr>
          <w:rFonts w:ascii="Book Antiqua" w:hAnsi="Book Antiqua" w:cs="Arial"/>
        </w:rPr>
        <w:t>Appellant</w:t>
      </w:r>
      <w:r w:rsidR="006B3EB8">
        <w:rPr>
          <w:rFonts w:ascii="Book Antiqua" w:hAnsi="Book Antiqua" w:cs="Arial"/>
        </w:rPr>
        <w:t xml:space="preserve">’s second wife had been living </w:t>
      </w:r>
      <w:r w:rsidR="003B3EE1">
        <w:rPr>
          <w:rFonts w:ascii="Book Antiqua" w:hAnsi="Book Antiqua" w:cs="Arial"/>
        </w:rPr>
        <w:t>separate</w:t>
      </w:r>
      <w:r w:rsidR="006B3EB8">
        <w:rPr>
          <w:rFonts w:ascii="Book Antiqua" w:hAnsi="Book Antiqua" w:cs="Arial"/>
        </w:rPr>
        <w:t xml:space="preserve"> and apart from him since September 2011.  The </w:t>
      </w:r>
      <w:r w:rsidR="003B3EE1">
        <w:rPr>
          <w:rFonts w:ascii="Book Antiqua" w:hAnsi="Book Antiqua" w:cs="Arial"/>
        </w:rPr>
        <w:t>Appellant</w:t>
      </w:r>
      <w:r>
        <w:rPr>
          <w:rFonts w:ascii="Book Antiqua" w:hAnsi="Book Antiqua" w:cs="Arial"/>
        </w:rPr>
        <w:t>’s case on the other hand, as he made plain in his interview with the Immigration Officers, was that they had conti</w:t>
      </w:r>
      <w:r w:rsidR="00161592">
        <w:rPr>
          <w:rFonts w:ascii="Book Antiqua" w:hAnsi="Book Antiqua" w:cs="Arial"/>
        </w:rPr>
        <w:t>nued living together until April</w:t>
      </w:r>
      <w:r>
        <w:rPr>
          <w:rFonts w:ascii="Book Antiqua" w:hAnsi="Book Antiqua" w:cs="Arial"/>
        </w:rPr>
        <w:t xml:space="preserve"> 2014 [see paragraph 4, above]. Despite being placed on notice of this issue, I am told by Ms </w:t>
      </w:r>
      <w:proofErr w:type="spellStart"/>
      <w:r>
        <w:rPr>
          <w:rFonts w:ascii="Book Antiqua" w:hAnsi="Book Antiqua" w:cs="Arial"/>
        </w:rPr>
        <w:t>J</w:t>
      </w:r>
      <w:r w:rsidR="00D371E6">
        <w:rPr>
          <w:rFonts w:ascii="Book Antiqua" w:hAnsi="Book Antiqua" w:cs="Arial"/>
        </w:rPr>
        <w:t>acquis</w:t>
      </w:r>
      <w:r w:rsidR="00161592">
        <w:rPr>
          <w:rFonts w:ascii="Book Antiqua" w:hAnsi="Book Antiqua" w:cs="Arial"/>
        </w:rPr>
        <w:t>s</w:t>
      </w:r>
      <w:proofErr w:type="spellEnd"/>
      <w:r>
        <w:rPr>
          <w:rFonts w:ascii="Book Antiqua" w:hAnsi="Book Antiqua" w:cs="Arial"/>
        </w:rPr>
        <w:t xml:space="preserve"> that the Respondent failed to disclose the </w:t>
      </w:r>
      <w:r w:rsidR="00161592">
        <w:rPr>
          <w:rFonts w:ascii="Book Antiqua" w:hAnsi="Book Antiqua" w:cs="Arial"/>
        </w:rPr>
        <w:t>Experian</w:t>
      </w:r>
      <w:r>
        <w:rPr>
          <w:rFonts w:ascii="Book Antiqua" w:hAnsi="Book Antiqua" w:cs="Arial"/>
        </w:rPr>
        <w:t xml:space="preserve"> report</w:t>
      </w:r>
      <w:r w:rsidR="00D371E6">
        <w:rPr>
          <w:rFonts w:ascii="Book Antiqua" w:hAnsi="Book Antiqua" w:cs="Arial"/>
        </w:rPr>
        <w:t>. This was</w:t>
      </w:r>
      <w:r>
        <w:rPr>
          <w:rFonts w:ascii="Book Antiqua" w:hAnsi="Book Antiqua" w:cs="Arial"/>
        </w:rPr>
        <w:t xml:space="preserve"> in spite of repeated requests to do so.</w:t>
      </w:r>
      <w:r w:rsidR="00703147">
        <w:rPr>
          <w:rFonts w:ascii="Book Antiqua" w:hAnsi="Book Antiqua" w:cs="Arial"/>
        </w:rPr>
        <w:t xml:space="preserve">  The judge w</w:t>
      </w:r>
      <w:r w:rsidR="00D371E6">
        <w:rPr>
          <w:rFonts w:ascii="Book Antiqua" w:hAnsi="Book Antiqua" w:cs="Arial"/>
        </w:rPr>
        <w:t>as therefore left with no alte</w:t>
      </w:r>
      <w:r w:rsidR="00161592">
        <w:rPr>
          <w:rFonts w:ascii="Book Antiqua" w:hAnsi="Book Antiqua" w:cs="Arial"/>
        </w:rPr>
        <w:t>rnative but to accept</w:t>
      </w:r>
      <w:r>
        <w:rPr>
          <w:rFonts w:ascii="Book Antiqua" w:hAnsi="Book Antiqua" w:cs="Arial"/>
        </w:rPr>
        <w:t xml:space="preserve"> t</w:t>
      </w:r>
      <w:r w:rsidR="00D371E6">
        <w:rPr>
          <w:rFonts w:ascii="Book Antiqua" w:hAnsi="Book Antiqua" w:cs="Arial"/>
        </w:rPr>
        <w:t>he Appellant’s account that he had continued to live with h</w:t>
      </w:r>
      <w:r w:rsidR="00161592">
        <w:rPr>
          <w:rFonts w:ascii="Book Antiqua" w:hAnsi="Book Antiqua" w:cs="Arial"/>
        </w:rPr>
        <w:t>is second wife until</w:t>
      </w:r>
      <w:r w:rsidR="00703147">
        <w:rPr>
          <w:rFonts w:ascii="Book Antiqua" w:hAnsi="Book Antiqua" w:cs="Arial"/>
        </w:rPr>
        <w:t xml:space="preserve"> April</w:t>
      </w:r>
      <w:r w:rsidR="00161592">
        <w:rPr>
          <w:rFonts w:ascii="Book Antiqua" w:hAnsi="Book Antiqua" w:cs="Arial"/>
        </w:rPr>
        <w:t xml:space="preserve"> of 2014</w:t>
      </w:r>
      <w:r>
        <w:rPr>
          <w:rFonts w:ascii="Book Antiqua" w:hAnsi="Book Antiqua" w:cs="Arial"/>
        </w:rPr>
        <w:t xml:space="preserve">. The Respondent’s complaint that the Tribunal ought to have accepted her ‘evidence’ in preference </w:t>
      </w:r>
      <w:r w:rsidR="00D371E6">
        <w:rPr>
          <w:rFonts w:ascii="Book Antiqua" w:hAnsi="Book Antiqua" w:cs="Arial"/>
        </w:rPr>
        <w:t>to that of the Appellant</w:t>
      </w:r>
      <w:r>
        <w:rPr>
          <w:rFonts w:ascii="Book Antiqua" w:hAnsi="Book Antiqua" w:cs="Arial"/>
        </w:rPr>
        <w:t xml:space="preserve"> is thus wholly without merit</w:t>
      </w:r>
    </w:p>
    <w:p w:rsidR="00CD384F" w:rsidRDefault="00B173CF" w:rsidP="00D371C7">
      <w:pPr>
        <w:numPr>
          <w:ilvl w:val="0"/>
          <w:numId w:val="3"/>
        </w:numPr>
        <w:spacing w:before="240"/>
        <w:jc w:val="both"/>
        <w:rPr>
          <w:rFonts w:ascii="Book Antiqua" w:hAnsi="Book Antiqua" w:cs="Arial"/>
        </w:rPr>
      </w:pPr>
      <w:r>
        <w:rPr>
          <w:rFonts w:ascii="Book Antiqua" w:hAnsi="Book Antiqua" w:cs="Arial"/>
        </w:rPr>
        <w:t>The</w:t>
      </w:r>
      <w:r w:rsidR="001F6E2D">
        <w:rPr>
          <w:rFonts w:ascii="Book Antiqua" w:hAnsi="Book Antiqua" w:cs="Arial"/>
        </w:rPr>
        <w:t xml:space="preserve">re is however merit in the complaint that the judge adopted a flawed approach to the Appellant’s previous sham </w:t>
      </w:r>
      <w:r w:rsidR="00D371E6">
        <w:rPr>
          <w:rFonts w:ascii="Book Antiqua" w:hAnsi="Book Antiqua" w:cs="Arial"/>
        </w:rPr>
        <w:t>marriage</w:t>
      </w:r>
      <w:r>
        <w:rPr>
          <w:rFonts w:ascii="Book Antiqua" w:hAnsi="Book Antiqua" w:cs="Arial"/>
        </w:rPr>
        <w:t>.  It is most decidedly not the case, as the judge suggested, that</w:t>
      </w:r>
      <w:r w:rsidR="001F6E2D">
        <w:rPr>
          <w:rFonts w:ascii="Book Antiqua" w:hAnsi="Book Antiqua" w:cs="Arial"/>
        </w:rPr>
        <w:t xml:space="preserve"> this</w:t>
      </w:r>
      <w:r>
        <w:rPr>
          <w:rFonts w:ascii="Book Antiqua" w:hAnsi="Book Antiqua" w:cs="Arial"/>
        </w:rPr>
        <w:t xml:space="preserve"> was of “no probative value regarding the nature of the second marriage”.  The true posi</w:t>
      </w:r>
      <w:r w:rsidR="001F6E2D">
        <w:rPr>
          <w:rFonts w:ascii="Book Antiqua" w:hAnsi="Book Antiqua" w:cs="Arial"/>
        </w:rPr>
        <w:t>tion was that the Appellant’s admission that he had previously entered into a ‘sham’ marriage was what</w:t>
      </w:r>
      <w:r>
        <w:rPr>
          <w:rFonts w:ascii="Book Antiqua" w:hAnsi="Book Antiqua" w:cs="Arial"/>
        </w:rPr>
        <w:t xml:space="preserve"> </w:t>
      </w:r>
      <w:r w:rsidR="00D371E6">
        <w:rPr>
          <w:rFonts w:ascii="Book Antiqua" w:hAnsi="Book Antiqua" w:cs="Arial"/>
        </w:rPr>
        <w:t xml:space="preserve">a </w:t>
      </w:r>
      <w:r>
        <w:rPr>
          <w:rFonts w:ascii="Book Antiqua" w:hAnsi="Book Antiqua" w:cs="Arial"/>
        </w:rPr>
        <w:t>criminal lawyer might characterise as</w:t>
      </w:r>
      <w:r w:rsidR="001F6E2D">
        <w:rPr>
          <w:rFonts w:ascii="Book Antiqua" w:hAnsi="Book Antiqua" w:cs="Arial"/>
        </w:rPr>
        <w:t xml:space="preserve"> evidence of </w:t>
      </w:r>
      <w:r>
        <w:rPr>
          <w:rFonts w:ascii="Book Antiqua" w:hAnsi="Book Antiqua" w:cs="Arial"/>
        </w:rPr>
        <w:t>“propensity”</w:t>
      </w:r>
      <w:r w:rsidR="00D371E6">
        <w:rPr>
          <w:rFonts w:ascii="Book Antiqua" w:hAnsi="Book Antiqua" w:cs="Arial"/>
        </w:rPr>
        <w:t>. It would thus</w:t>
      </w:r>
      <w:r w:rsidR="001F6E2D">
        <w:rPr>
          <w:rFonts w:ascii="Book Antiqua" w:hAnsi="Book Antiqua" w:cs="Arial"/>
        </w:rPr>
        <w:t xml:space="preserve"> defy</w:t>
      </w:r>
      <w:r w:rsidR="00D371E6">
        <w:rPr>
          <w:rFonts w:ascii="Book Antiqua" w:hAnsi="Book Antiqua" w:cs="Arial"/>
        </w:rPr>
        <w:t xml:space="preserve"> common sense to suggest it could never be capable of providing evidence of similar alleged misconduct.  It is however right to say that evidence of propensity is</w:t>
      </w:r>
      <w:r w:rsidR="00CD384F">
        <w:rPr>
          <w:rFonts w:ascii="Book Antiqua" w:hAnsi="Book Antiqua" w:cs="Arial"/>
        </w:rPr>
        <w:t xml:space="preserve"> not </w:t>
      </w:r>
      <w:r w:rsidR="00CD384F">
        <w:rPr>
          <w:rFonts w:ascii="Book Antiqua" w:hAnsi="Book Antiqua" w:cs="Arial"/>
          <w:u w:val="single"/>
        </w:rPr>
        <w:t>by itself</w:t>
      </w:r>
      <w:r w:rsidR="00CD384F">
        <w:rPr>
          <w:rFonts w:ascii="Book Antiqua" w:hAnsi="Book Antiqua" w:cs="Arial"/>
        </w:rPr>
        <w:t xml:space="preserve"> </w:t>
      </w:r>
      <w:r w:rsidR="00D371E6">
        <w:rPr>
          <w:rFonts w:ascii="Book Antiqua" w:hAnsi="Book Antiqua" w:cs="Arial"/>
        </w:rPr>
        <w:t>capable of proving</w:t>
      </w:r>
      <w:r w:rsidR="00161592">
        <w:rPr>
          <w:rFonts w:ascii="Book Antiqua" w:hAnsi="Book Antiqua" w:cs="Arial"/>
        </w:rPr>
        <w:t xml:space="preserve"> other</w:t>
      </w:r>
      <w:r w:rsidR="00D371E6">
        <w:rPr>
          <w:rFonts w:ascii="Book Antiqua" w:hAnsi="Book Antiqua" w:cs="Arial"/>
        </w:rPr>
        <w:t xml:space="preserve"> similar misconduct.  It is</w:t>
      </w:r>
      <w:r w:rsidR="00CD384F">
        <w:rPr>
          <w:rFonts w:ascii="Book Antiqua" w:hAnsi="Book Antiqua" w:cs="Arial"/>
        </w:rPr>
        <w:t xml:space="preserve"> at most</w:t>
      </w:r>
      <w:r>
        <w:rPr>
          <w:rFonts w:ascii="Book Antiqua" w:hAnsi="Book Antiqua" w:cs="Arial"/>
        </w:rPr>
        <w:t xml:space="preserve"> capable of provid</w:t>
      </w:r>
      <w:r w:rsidR="00CD384F">
        <w:rPr>
          <w:rFonts w:ascii="Book Antiqua" w:hAnsi="Book Antiqua" w:cs="Arial"/>
        </w:rPr>
        <w:t>ing some</w:t>
      </w:r>
      <w:r>
        <w:rPr>
          <w:rFonts w:ascii="Book Antiqua" w:hAnsi="Book Antiqua" w:cs="Arial"/>
        </w:rPr>
        <w:t xml:space="preserve"> support for other evide</w:t>
      </w:r>
      <w:r w:rsidR="00D371E6">
        <w:rPr>
          <w:rFonts w:ascii="Book Antiqua" w:hAnsi="Book Antiqua" w:cs="Arial"/>
        </w:rPr>
        <w:t>nce</w:t>
      </w:r>
      <w:r w:rsidR="00161592">
        <w:rPr>
          <w:rFonts w:ascii="Book Antiqua" w:hAnsi="Book Antiqua" w:cs="Arial"/>
        </w:rPr>
        <w:t xml:space="preserve"> of the</w:t>
      </w:r>
      <w:r w:rsidR="00D371E6">
        <w:rPr>
          <w:rFonts w:ascii="Book Antiqua" w:hAnsi="Book Antiqua" w:cs="Arial"/>
        </w:rPr>
        <w:t xml:space="preserve"> alleged subsequent misconduct</w:t>
      </w:r>
      <w:r w:rsidR="00CD384F">
        <w:rPr>
          <w:rFonts w:ascii="Book Antiqua" w:hAnsi="Book Antiqua" w:cs="Arial"/>
        </w:rPr>
        <w:t xml:space="preserve">. </w:t>
      </w:r>
    </w:p>
    <w:p w:rsidR="00B173CF" w:rsidRDefault="00CD384F" w:rsidP="00D371C7">
      <w:pPr>
        <w:numPr>
          <w:ilvl w:val="0"/>
          <w:numId w:val="3"/>
        </w:numPr>
        <w:spacing w:before="240"/>
        <w:jc w:val="both"/>
        <w:rPr>
          <w:rFonts w:ascii="Book Antiqua" w:hAnsi="Book Antiqua" w:cs="Arial"/>
        </w:rPr>
      </w:pPr>
      <w:r>
        <w:rPr>
          <w:rFonts w:ascii="Book Antiqua" w:hAnsi="Book Antiqua" w:cs="Arial"/>
        </w:rPr>
        <w:t>I have</w:t>
      </w:r>
      <w:r w:rsidR="00B173CF">
        <w:rPr>
          <w:rFonts w:ascii="Book Antiqua" w:hAnsi="Book Antiqua" w:cs="Arial"/>
        </w:rPr>
        <w:t xml:space="preserve"> </w:t>
      </w:r>
      <w:r>
        <w:rPr>
          <w:rFonts w:ascii="Book Antiqua" w:hAnsi="Book Antiqua" w:cs="Arial"/>
        </w:rPr>
        <w:t>nevertheless concluded that the judge’s error in his approach to the Appellant’s first marriage was immaterial to the outcome of the appeal.</w:t>
      </w:r>
      <w:r w:rsidR="00B173CF">
        <w:rPr>
          <w:rFonts w:ascii="Book Antiqua" w:hAnsi="Book Antiqua" w:cs="Arial"/>
        </w:rPr>
        <w:t xml:space="preserve"> T</w:t>
      </w:r>
      <w:r>
        <w:rPr>
          <w:rFonts w:ascii="Book Antiqua" w:hAnsi="Book Antiqua" w:cs="Arial"/>
        </w:rPr>
        <w:t>his is</w:t>
      </w:r>
      <w:r w:rsidR="00B173CF">
        <w:rPr>
          <w:rFonts w:ascii="Book Antiqua" w:hAnsi="Book Antiqua" w:cs="Arial"/>
        </w:rPr>
        <w:t xml:space="preserve"> because</w:t>
      </w:r>
      <w:r>
        <w:rPr>
          <w:rFonts w:ascii="Book Antiqua" w:hAnsi="Book Antiqua" w:cs="Arial"/>
        </w:rPr>
        <w:t>, given my findings in relation to the ‘</w:t>
      </w:r>
      <w:r w:rsidR="00161592">
        <w:rPr>
          <w:rFonts w:ascii="Book Antiqua" w:hAnsi="Book Antiqua" w:cs="Arial"/>
        </w:rPr>
        <w:t>Experian</w:t>
      </w:r>
      <w:r>
        <w:rPr>
          <w:rFonts w:ascii="Book Antiqua" w:hAnsi="Book Antiqua" w:cs="Arial"/>
        </w:rPr>
        <w:t>’ report (above), there was no other evidence of a second ‘sham’ marria</w:t>
      </w:r>
      <w:r w:rsidR="00161592">
        <w:rPr>
          <w:rFonts w:ascii="Book Antiqua" w:hAnsi="Book Antiqua" w:cs="Arial"/>
        </w:rPr>
        <w:t>ge for the evidence of</w:t>
      </w:r>
      <w:r w:rsidR="00D371E6">
        <w:rPr>
          <w:rFonts w:ascii="Book Antiqua" w:hAnsi="Book Antiqua" w:cs="Arial"/>
        </w:rPr>
        <w:t xml:space="preserve"> the first marriage</w:t>
      </w:r>
      <w:r w:rsidR="00161592">
        <w:rPr>
          <w:rFonts w:ascii="Book Antiqua" w:hAnsi="Book Antiqua" w:cs="Arial"/>
        </w:rPr>
        <w:t xml:space="preserve"> to support</w:t>
      </w:r>
      <w:r w:rsidR="00B173CF">
        <w:rPr>
          <w:rFonts w:ascii="Book Antiqua" w:hAnsi="Book Antiqua" w:cs="Arial"/>
        </w:rPr>
        <w:t>.</w:t>
      </w:r>
      <w:r>
        <w:rPr>
          <w:rFonts w:ascii="Book Antiqua" w:hAnsi="Book Antiqua" w:cs="Arial"/>
        </w:rPr>
        <w:t xml:space="preserve"> The j</w:t>
      </w:r>
      <w:r w:rsidR="00D371E6">
        <w:rPr>
          <w:rFonts w:ascii="Book Antiqua" w:hAnsi="Book Antiqua" w:cs="Arial"/>
        </w:rPr>
        <w:t>udge</w:t>
      </w:r>
      <w:r w:rsidR="00161592">
        <w:rPr>
          <w:rFonts w:ascii="Book Antiqua" w:hAnsi="Book Antiqua" w:cs="Arial"/>
        </w:rPr>
        <w:t xml:space="preserve"> was thus not only entitled, but bound to find that the Respondent had failed to prove her case</w:t>
      </w:r>
      <w:r>
        <w:rPr>
          <w:rFonts w:ascii="Book Antiqua" w:hAnsi="Book Antiqua" w:cs="Arial"/>
        </w:rPr>
        <w:t>.</w:t>
      </w:r>
      <w:r w:rsidR="00B173CF">
        <w:rPr>
          <w:rFonts w:ascii="Book Antiqua" w:hAnsi="Book Antiqua" w:cs="Arial"/>
        </w:rPr>
        <w:t xml:space="preserve">  </w:t>
      </w:r>
    </w:p>
    <w:p w:rsidR="00B173CF" w:rsidRDefault="00B173CF" w:rsidP="00D371C7">
      <w:pPr>
        <w:numPr>
          <w:ilvl w:val="0"/>
          <w:numId w:val="3"/>
        </w:numPr>
        <w:spacing w:before="240"/>
        <w:jc w:val="both"/>
        <w:rPr>
          <w:rFonts w:ascii="Book Antiqua" w:hAnsi="Book Antiqua" w:cs="Arial"/>
        </w:rPr>
      </w:pPr>
      <w:r>
        <w:rPr>
          <w:rFonts w:ascii="Book Antiqua" w:hAnsi="Book Antiqua" w:cs="Arial"/>
        </w:rPr>
        <w:t>Before leaving this case</w:t>
      </w:r>
      <w:r w:rsidR="00CD384F">
        <w:rPr>
          <w:rFonts w:ascii="Book Antiqua" w:hAnsi="Book Antiqua" w:cs="Arial"/>
        </w:rPr>
        <w:t>,</w:t>
      </w:r>
      <w:r>
        <w:rPr>
          <w:rFonts w:ascii="Book Antiqua" w:hAnsi="Book Antiqua" w:cs="Arial"/>
        </w:rPr>
        <w:t xml:space="preserve"> I </w:t>
      </w:r>
      <w:r w:rsidR="00CD384F">
        <w:rPr>
          <w:rFonts w:ascii="Book Antiqua" w:hAnsi="Book Antiqua" w:cs="Arial"/>
        </w:rPr>
        <w:t>consider it appropriate to make one furthe</w:t>
      </w:r>
      <w:r w:rsidR="00631E45">
        <w:rPr>
          <w:rFonts w:ascii="Book Antiqua" w:hAnsi="Book Antiqua" w:cs="Arial"/>
        </w:rPr>
        <w:t>r observation concerning the judge’s approach to the evidence. I have noted that he</w:t>
      </w:r>
      <w:r w:rsidR="00CD384F">
        <w:rPr>
          <w:rFonts w:ascii="Book Antiqua" w:hAnsi="Book Antiqua" w:cs="Arial"/>
        </w:rPr>
        <w:t xml:space="preserve"> was </w:t>
      </w:r>
      <w:r>
        <w:rPr>
          <w:rFonts w:ascii="Book Antiqua" w:hAnsi="Book Antiqua" w:cs="Arial"/>
        </w:rPr>
        <w:t>considerably</w:t>
      </w:r>
      <w:r w:rsidR="00CD384F">
        <w:rPr>
          <w:rFonts w:ascii="Book Antiqua" w:hAnsi="Book Antiqua" w:cs="Arial"/>
        </w:rPr>
        <w:t xml:space="preserve"> excised</w:t>
      </w:r>
      <w:r>
        <w:rPr>
          <w:rFonts w:ascii="Book Antiqua" w:hAnsi="Book Antiqua" w:cs="Arial"/>
        </w:rPr>
        <w:t xml:space="preserve"> by what he viewed as breaches of</w:t>
      </w:r>
      <w:r w:rsidR="00161592">
        <w:rPr>
          <w:rFonts w:ascii="Book Antiqua" w:hAnsi="Book Antiqua" w:cs="Arial"/>
        </w:rPr>
        <w:t xml:space="preserve"> the</w:t>
      </w:r>
      <w:r w:rsidR="00CD384F">
        <w:rPr>
          <w:rFonts w:ascii="Book Antiqua" w:hAnsi="Book Antiqua" w:cs="Arial"/>
        </w:rPr>
        <w:t xml:space="preserve"> appropriate</w:t>
      </w:r>
      <w:r>
        <w:rPr>
          <w:rFonts w:ascii="Book Antiqua" w:hAnsi="Book Antiqua" w:cs="Arial"/>
        </w:rPr>
        <w:t xml:space="preserve"> procedure</w:t>
      </w:r>
      <w:r w:rsidR="00CD384F">
        <w:rPr>
          <w:rFonts w:ascii="Book Antiqua" w:hAnsi="Book Antiqua" w:cs="Arial"/>
        </w:rPr>
        <w:t>s</w:t>
      </w:r>
      <w:r>
        <w:rPr>
          <w:rFonts w:ascii="Book Antiqua" w:hAnsi="Book Antiqua" w:cs="Arial"/>
        </w:rPr>
        <w:t xml:space="preserve"> and protocol</w:t>
      </w:r>
      <w:r w:rsidR="00161592">
        <w:rPr>
          <w:rFonts w:ascii="Book Antiqua" w:hAnsi="Book Antiqua" w:cs="Arial"/>
        </w:rPr>
        <w:t>s to be followed by</w:t>
      </w:r>
      <w:r>
        <w:rPr>
          <w:rFonts w:ascii="Book Antiqua" w:hAnsi="Book Antiqua" w:cs="Arial"/>
        </w:rPr>
        <w:t xml:space="preserve"> enforcement officers</w:t>
      </w:r>
      <w:r w:rsidR="00CD384F">
        <w:rPr>
          <w:rFonts w:ascii="Book Antiqua" w:hAnsi="Book Antiqua" w:cs="Arial"/>
        </w:rPr>
        <w:t xml:space="preserve"> </w:t>
      </w:r>
      <w:r w:rsidR="00AB65DE">
        <w:rPr>
          <w:rFonts w:ascii="Book Antiqua" w:hAnsi="Book Antiqua" w:cs="Arial"/>
        </w:rPr>
        <w:t>prior to</w:t>
      </w:r>
      <w:r w:rsidR="00631E45">
        <w:rPr>
          <w:rFonts w:ascii="Book Antiqua" w:hAnsi="Book Antiqua" w:cs="Arial"/>
        </w:rPr>
        <w:t xml:space="preserve"> </w:t>
      </w:r>
      <w:r w:rsidR="00CD384F">
        <w:rPr>
          <w:rFonts w:ascii="Book Antiqua" w:hAnsi="Book Antiqua" w:cs="Arial"/>
        </w:rPr>
        <w:t xml:space="preserve">making </w:t>
      </w:r>
      <w:r w:rsidR="00AB65DE">
        <w:rPr>
          <w:rFonts w:ascii="Book Antiqua" w:hAnsi="Book Antiqua" w:cs="Arial"/>
        </w:rPr>
        <w:t xml:space="preserve">an </w:t>
      </w:r>
      <w:r w:rsidR="00CD384F">
        <w:rPr>
          <w:rFonts w:ascii="Book Antiqua" w:hAnsi="Book Antiqua" w:cs="Arial"/>
        </w:rPr>
        <w:t>unannounced</w:t>
      </w:r>
      <w:r w:rsidR="00AB65DE">
        <w:rPr>
          <w:rFonts w:ascii="Book Antiqua" w:hAnsi="Book Antiqua" w:cs="Arial"/>
        </w:rPr>
        <w:t xml:space="preserve"> visit to</w:t>
      </w:r>
      <w:r w:rsidR="00631E45">
        <w:rPr>
          <w:rFonts w:ascii="Book Antiqua" w:hAnsi="Book Antiqua" w:cs="Arial"/>
        </w:rPr>
        <w:t xml:space="preserve"> the home of</w:t>
      </w:r>
      <w:r w:rsidR="00AB65DE">
        <w:rPr>
          <w:rFonts w:ascii="Book Antiqua" w:hAnsi="Book Antiqua" w:cs="Arial"/>
        </w:rPr>
        <w:t xml:space="preserve"> a suspect</w:t>
      </w:r>
      <w:r w:rsidR="00631E45">
        <w:rPr>
          <w:rFonts w:ascii="Book Antiqua" w:hAnsi="Book Antiqua" w:cs="Arial"/>
        </w:rPr>
        <w:t>.  Moreover</w:t>
      </w:r>
      <w:r w:rsidR="00CD384F">
        <w:rPr>
          <w:rFonts w:ascii="Book Antiqua" w:hAnsi="Book Antiqua" w:cs="Arial"/>
        </w:rPr>
        <w:t>,</w:t>
      </w:r>
      <w:r>
        <w:rPr>
          <w:rFonts w:ascii="Book Antiqua" w:hAnsi="Book Antiqua" w:cs="Arial"/>
        </w:rPr>
        <w:t xml:space="preserve"> he appears to suggest that the appropriate </w:t>
      </w:r>
      <w:r w:rsidR="00631E45">
        <w:rPr>
          <w:rFonts w:ascii="Book Antiqua" w:hAnsi="Book Antiqua" w:cs="Arial"/>
        </w:rPr>
        <w:t>remedy for such breaches i</w:t>
      </w:r>
      <w:r w:rsidR="00CD384F">
        <w:rPr>
          <w:rFonts w:ascii="Book Antiqua" w:hAnsi="Book Antiqua" w:cs="Arial"/>
        </w:rPr>
        <w:t>s</w:t>
      </w:r>
      <w:r w:rsidR="003B3EE1">
        <w:rPr>
          <w:rFonts w:ascii="Book Antiqua" w:hAnsi="Book Antiqua" w:cs="Arial"/>
        </w:rPr>
        <w:t xml:space="preserve"> to exclude the </w:t>
      </w:r>
      <w:r w:rsidR="00CD384F">
        <w:rPr>
          <w:rFonts w:ascii="Book Antiqua" w:hAnsi="Book Antiqua" w:cs="Arial"/>
        </w:rPr>
        <w:t xml:space="preserve">tainted </w:t>
      </w:r>
      <w:r w:rsidR="003B3EE1">
        <w:rPr>
          <w:rFonts w:ascii="Book Antiqua" w:hAnsi="Book Antiqua" w:cs="Arial"/>
        </w:rPr>
        <w:t xml:space="preserve">evidence altogether. </w:t>
      </w:r>
      <w:r w:rsidR="00631E45">
        <w:rPr>
          <w:rFonts w:ascii="Book Antiqua" w:hAnsi="Book Antiqua" w:cs="Arial"/>
        </w:rPr>
        <w:t>I would simply observe that, whilst the exclusion of evidence may be appropriate in a case that</w:t>
      </w:r>
      <w:r w:rsidR="003B3EE1">
        <w:rPr>
          <w:rFonts w:ascii="Book Antiqua" w:hAnsi="Book Antiqua" w:cs="Arial"/>
        </w:rPr>
        <w:t xml:space="preserve"> is being heard by a jury</w:t>
      </w:r>
      <w:r w:rsidR="00CD384F">
        <w:rPr>
          <w:rFonts w:ascii="Book Antiqua" w:hAnsi="Book Antiqua" w:cs="Arial"/>
        </w:rPr>
        <w:t>,</w:t>
      </w:r>
      <w:r w:rsidR="00462671">
        <w:rPr>
          <w:rFonts w:ascii="Book Antiqua" w:hAnsi="Book Antiqua" w:cs="Arial"/>
        </w:rPr>
        <w:t xml:space="preserve"> it is not an appropriate approach for a</w:t>
      </w:r>
      <w:r w:rsidR="003B3EE1">
        <w:rPr>
          <w:rFonts w:ascii="Book Antiqua" w:hAnsi="Book Antiqua" w:cs="Arial"/>
        </w:rPr>
        <w:t xml:space="preserve"> Tribunal.  The correct ap</w:t>
      </w:r>
      <w:r w:rsidR="00AB65DE">
        <w:rPr>
          <w:rFonts w:ascii="Book Antiqua" w:hAnsi="Book Antiqua" w:cs="Arial"/>
        </w:rPr>
        <w:t>proach where such breaches adversely affect the reliability of the evidence in question is</w:t>
      </w:r>
      <w:r w:rsidR="00462671">
        <w:rPr>
          <w:rFonts w:ascii="Book Antiqua" w:hAnsi="Book Antiqua" w:cs="Arial"/>
        </w:rPr>
        <w:t xml:space="preserve"> t</w:t>
      </w:r>
      <w:r w:rsidR="00AB65DE">
        <w:rPr>
          <w:rFonts w:ascii="Book Antiqua" w:hAnsi="Book Antiqua" w:cs="Arial"/>
        </w:rPr>
        <w:t>o attach reduced weight to it</w:t>
      </w:r>
      <w:r w:rsidR="00631E45">
        <w:rPr>
          <w:rFonts w:ascii="Book Antiqua" w:hAnsi="Book Antiqua" w:cs="Arial"/>
        </w:rPr>
        <w:t>. This was</w:t>
      </w:r>
      <w:r w:rsidR="00462671">
        <w:rPr>
          <w:rFonts w:ascii="Book Antiqua" w:hAnsi="Book Antiqua" w:cs="Arial"/>
        </w:rPr>
        <w:t xml:space="preserve"> not</w:t>
      </w:r>
      <w:r w:rsidR="00631E45">
        <w:rPr>
          <w:rFonts w:ascii="Book Antiqua" w:hAnsi="Book Antiqua" w:cs="Arial"/>
        </w:rPr>
        <w:t xml:space="preserve"> however</w:t>
      </w:r>
      <w:r w:rsidR="00462671">
        <w:rPr>
          <w:rFonts w:ascii="Book Antiqua" w:hAnsi="Book Antiqua" w:cs="Arial"/>
        </w:rPr>
        <w:t xml:space="preserve"> a matter that affe</w:t>
      </w:r>
      <w:r w:rsidR="00AB65DE">
        <w:rPr>
          <w:rFonts w:ascii="Book Antiqua" w:hAnsi="Book Antiqua" w:cs="Arial"/>
        </w:rPr>
        <w:t xml:space="preserve">cted the ultimate outcome </w:t>
      </w:r>
      <w:r w:rsidR="00AB65DE">
        <w:rPr>
          <w:rFonts w:ascii="Book Antiqua" w:hAnsi="Book Antiqua" w:cs="Arial"/>
        </w:rPr>
        <w:lastRenderedPageBreak/>
        <w:t>of this</w:t>
      </w:r>
      <w:r w:rsidR="00462671">
        <w:rPr>
          <w:rFonts w:ascii="Book Antiqua" w:hAnsi="Book Antiqua" w:cs="Arial"/>
        </w:rPr>
        <w:t xml:space="preserve"> appeal</w:t>
      </w:r>
      <w:r w:rsidR="00AB65DE">
        <w:rPr>
          <w:rFonts w:ascii="Book Antiqua" w:hAnsi="Book Antiqua" w:cs="Arial"/>
        </w:rPr>
        <w:t>, and i</w:t>
      </w:r>
      <w:r w:rsidR="00631E45">
        <w:rPr>
          <w:rFonts w:ascii="Book Antiqua" w:hAnsi="Book Antiqua" w:cs="Arial"/>
        </w:rPr>
        <w:t>t accordingly does not alter</w:t>
      </w:r>
      <w:r w:rsidR="00462671">
        <w:rPr>
          <w:rFonts w:ascii="Book Antiqua" w:hAnsi="Book Antiqua" w:cs="Arial"/>
        </w:rPr>
        <w:t xml:space="preserve"> my conclusion that this appeal should be dismissed</w:t>
      </w:r>
      <w:r w:rsidR="003B3EE1">
        <w:rPr>
          <w:rFonts w:ascii="Book Antiqua" w:hAnsi="Book Antiqua" w:cs="Arial"/>
        </w:rPr>
        <w:t>.</w:t>
      </w:r>
    </w:p>
    <w:p w:rsidR="008C63A1" w:rsidRDefault="008C63A1" w:rsidP="00462671">
      <w:pPr>
        <w:spacing w:before="240"/>
        <w:jc w:val="both"/>
        <w:rPr>
          <w:rFonts w:ascii="Book Antiqua" w:hAnsi="Book Antiqua" w:cs="Arial"/>
          <w:b/>
          <w:u w:val="single"/>
        </w:rPr>
      </w:pPr>
    </w:p>
    <w:p w:rsidR="00CF7E9F" w:rsidRDefault="00462671" w:rsidP="00462671">
      <w:pPr>
        <w:spacing w:before="240"/>
        <w:jc w:val="both"/>
        <w:rPr>
          <w:rFonts w:ascii="Book Antiqua" w:hAnsi="Book Antiqua" w:cs="Arial"/>
          <w:b/>
          <w:u w:val="single"/>
        </w:rPr>
      </w:pPr>
      <w:bookmarkStart w:id="0" w:name="_GoBack"/>
      <w:bookmarkEnd w:id="0"/>
      <w:r>
        <w:rPr>
          <w:rFonts w:ascii="Book Antiqua" w:hAnsi="Book Antiqua" w:cs="Arial"/>
          <w:b/>
          <w:u w:val="single"/>
        </w:rPr>
        <w:t>Notice of Decision</w:t>
      </w:r>
    </w:p>
    <w:p w:rsidR="00462671" w:rsidRPr="00462671" w:rsidRDefault="00462671" w:rsidP="00462671">
      <w:pPr>
        <w:spacing w:before="240"/>
        <w:jc w:val="both"/>
        <w:rPr>
          <w:rFonts w:ascii="Book Antiqua" w:hAnsi="Book Antiqua" w:cs="Arial"/>
        </w:rPr>
      </w:pPr>
      <w:r>
        <w:rPr>
          <w:rFonts w:ascii="Book Antiqua" w:hAnsi="Book Antiqua" w:cs="Arial"/>
        </w:rPr>
        <w:t>The appeal is dismissed.</w:t>
      </w:r>
    </w:p>
    <w:p w:rsidR="00CF7E9F" w:rsidRPr="00CF7E9F" w:rsidRDefault="00CF7E9F" w:rsidP="00CF7E9F">
      <w:pPr>
        <w:jc w:val="both"/>
        <w:rPr>
          <w:rFonts w:ascii="Book Antiqua" w:hAnsi="Book Antiqua" w:cs="Arial"/>
        </w:rPr>
      </w:pPr>
    </w:p>
    <w:p w:rsidR="000369F5" w:rsidRDefault="000369F5" w:rsidP="000369F5">
      <w:pPr>
        <w:tabs>
          <w:tab w:val="left" w:pos="2520"/>
        </w:tabs>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62671">
        <w:rPr>
          <w:rFonts w:ascii="Book Antiqua" w:hAnsi="Book Antiqua" w:cs="Arial"/>
        </w:rPr>
        <w:t>: 14</w:t>
      </w:r>
      <w:r w:rsidR="00462671" w:rsidRPr="00462671">
        <w:rPr>
          <w:rFonts w:ascii="Book Antiqua" w:hAnsi="Book Antiqua" w:cs="Arial"/>
          <w:vertAlign w:val="superscript"/>
        </w:rPr>
        <w:t>th</w:t>
      </w:r>
      <w:r w:rsidR="00462671">
        <w:rPr>
          <w:rFonts w:ascii="Book Antiqua" w:hAnsi="Book Antiqua" w:cs="Arial"/>
        </w:rPr>
        <w:t xml:space="preserve"> March 2018</w:t>
      </w:r>
    </w:p>
    <w:p w:rsidR="001F2716" w:rsidRDefault="001F2716" w:rsidP="000369F5">
      <w:pPr>
        <w:tabs>
          <w:tab w:val="left" w:pos="2520"/>
        </w:tabs>
        <w:jc w:val="both"/>
        <w:rPr>
          <w:rFonts w:ascii="Book Antiqua" w:hAnsi="Book Antiqua" w:cs="Arial"/>
        </w:rPr>
      </w:pPr>
    </w:p>
    <w:p w:rsidR="003B3EE1" w:rsidRPr="00F5664C" w:rsidRDefault="003B3EE1" w:rsidP="000369F5">
      <w:pPr>
        <w:tabs>
          <w:tab w:val="left" w:pos="2520"/>
        </w:tabs>
        <w:jc w:val="both"/>
        <w:rPr>
          <w:rFonts w:ascii="Book Antiqua" w:hAnsi="Book Antiqua" w:cs="Arial"/>
        </w:rPr>
      </w:pPr>
    </w:p>
    <w:p w:rsidR="005B7789" w:rsidRPr="00F5664C" w:rsidRDefault="00C33F41"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D71973">
        <w:rPr>
          <w:rFonts w:ascii="Book Antiqua" w:hAnsi="Book Antiqua" w:cs="Arial"/>
        </w:rPr>
        <w:t>Kelly</w:t>
      </w:r>
      <w:r w:rsidR="00C321B5" w:rsidRPr="00F5664C">
        <w:rPr>
          <w:rFonts w:ascii="Book Antiqua" w:hAnsi="Book Antiqua" w:cs="Arial"/>
        </w:rPr>
        <w:t xml:space="preserve"> </w:t>
      </w:r>
    </w:p>
    <w:p w:rsidR="00C321B5" w:rsidRPr="00F5664C" w:rsidRDefault="00C321B5" w:rsidP="000369F5">
      <w:pPr>
        <w:tabs>
          <w:tab w:val="left" w:pos="2520"/>
        </w:tabs>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9E0CE5">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A0E" w:rsidRDefault="008C7A0E">
      <w:r>
        <w:separator/>
      </w:r>
    </w:p>
  </w:endnote>
  <w:endnote w:type="continuationSeparator" w:id="0">
    <w:p w:rsidR="008C7A0E" w:rsidRDefault="008C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94" w:rsidRPr="00615421" w:rsidRDefault="00D36E94" w:rsidP="00593795">
    <w:pPr>
      <w:pStyle w:val="Footer"/>
      <w:jc w:val="center"/>
      <w:rPr>
        <w:rFonts w:ascii="Book Antiqua" w:hAnsi="Book Antiqua" w:cs="Arial"/>
      </w:rPr>
    </w:pPr>
    <w:r w:rsidRPr="00615421">
      <w:rPr>
        <w:rStyle w:val="PageNumber"/>
        <w:rFonts w:ascii="Book Antiqua" w:hAnsi="Book Antiqua" w:cs="Arial"/>
      </w:rPr>
      <w:fldChar w:fldCharType="begin"/>
    </w:r>
    <w:r w:rsidRPr="00615421">
      <w:rPr>
        <w:rStyle w:val="PageNumber"/>
        <w:rFonts w:ascii="Book Antiqua" w:hAnsi="Book Antiqua" w:cs="Arial"/>
      </w:rPr>
      <w:instrText xml:space="preserve"> PAGE </w:instrText>
    </w:r>
    <w:r w:rsidRPr="00615421">
      <w:rPr>
        <w:rStyle w:val="PageNumber"/>
        <w:rFonts w:ascii="Book Antiqua" w:hAnsi="Book Antiqua" w:cs="Arial"/>
      </w:rPr>
      <w:fldChar w:fldCharType="separate"/>
    </w:r>
    <w:r w:rsidR="00434FB5">
      <w:rPr>
        <w:rStyle w:val="PageNumber"/>
        <w:rFonts w:ascii="Book Antiqua" w:hAnsi="Book Antiqua" w:cs="Arial"/>
        <w:noProof/>
      </w:rPr>
      <w:t>5</w:t>
    </w:r>
    <w:r w:rsidRPr="0061542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94" w:rsidRPr="00F5664C" w:rsidRDefault="00D36E94"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A0E" w:rsidRDefault="008C7A0E">
      <w:r>
        <w:separator/>
      </w:r>
    </w:p>
  </w:footnote>
  <w:footnote w:type="continuationSeparator" w:id="0">
    <w:p w:rsidR="008C7A0E" w:rsidRDefault="008C7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94" w:rsidRDefault="00D36E94"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4C5DD0">
      <w:rPr>
        <w:rFonts w:ascii="Book Antiqua" w:hAnsi="Book Antiqua" w:cs="Arial"/>
        <w:sz w:val="16"/>
        <w:szCs w:val="16"/>
      </w:rPr>
      <w:t>EA/06608/2016</w:t>
    </w:r>
  </w:p>
  <w:p w:rsidR="00615421" w:rsidRPr="004C5DD0" w:rsidRDefault="0061542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94" w:rsidRPr="00F5664C" w:rsidRDefault="00D36E9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2AE267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1F"/>
    <w:rsid w:val="00000621"/>
    <w:rsid w:val="000036C2"/>
    <w:rsid w:val="00015EDB"/>
    <w:rsid w:val="00021E50"/>
    <w:rsid w:val="00033D3D"/>
    <w:rsid w:val="000369F5"/>
    <w:rsid w:val="00042918"/>
    <w:rsid w:val="00071A7E"/>
    <w:rsid w:val="000746C0"/>
    <w:rsid w:val="00074D1D"/>
    <w:rsid w:val="00092580"/>
    <w:rsid w:val="000C18D5"/>
    <w:rsid w:val="000D5D94"/>
    <w:rsid w:val="000E4BAA"/>
    <w:rsid w:val="001022B9"/>
    <w:rsid w:val="00113EDB"/>
    <w:rsid w:val="001165A7"/>
    <w:rsid w:val="00144C2A"/>
    <w:rsid w:val="00151BB7"/>
    <w:rsid w:val="00161592"/>
    <w:rsid w:val="00167D3A"/>
    <w:rsid w:val="00187948"/>
    <w:rsid w:val="00195E0D"/>
    <w:rsid w:val="001A1E2C"/>
    <w:rsid w:val="001F2716"/>
    <w:rsid w:val="001F6E2D"/>
    <w:rsid w:val="0020133A"/>
    <w:rsid w:val="00207617"/>
    <w:rsid w:val="00241B28"/>
    <w:rsid w:val="00280938"/>
    <w:rsid w:val="00283659"/>
    <w:rsid w:val="002B6D27"/>
    <w:rsid w:val="002C4E73"/>
    <w:rsid w:val="002D68BF"/>
    <w:rsid w:val="002E080D"/>
    <w:rsid w:val="002E1FEA"/>
    <w:rsid w:val="00303C11"/>
    <w:rsid w:val="00316790"/>
    <w:rsid w:val="00336CBF"/>
    <w:rsid w:val="003546C8"/>
    <w:rsid w:val="003607E0"/>
    <w:rsid w:val="003633B9"/>
    <w:rsid w:val="0037670D"/>
    <w:rsid w:val="003848D4"/>
    <w:rsid w:val="00397DB0"/>
    <w:rsid w:val="003A7CF2"/>
    <w:rsid w:val="003B3EE1"/>
    <w:rsid w:val="003C5CE5"/>
    <w:rsid w:val="003C770C"/>
    <w:rsid w:val="003E267B"/>
    <w:rsid w:val="003E7CD1"/>
    <w:rsid w:val="00402B9E"/>
    <w:rsid w:val="00405524"/>
    <w:rsid w:val="00423932"/>
    <w:rsid w:val="004249CB"/>
    <w:rsid w:val="00434FB5"/>
    <w:rsid w:val="0044127D"/>
    <w:rsid w:val="004448DB"/>
    <w:rsid w:val="00446C9A"/>
    <w:rsid w:val="00462671"/>
    <w:rsid w:val="00462BE6"/>
    <w:rsid w:val="00467632"/>
    <w:rsid w:val="00471AFA"/>
    <w:rsid w:val="00477193"/>
    <w:rsid w:val="004974CF"/>
    <w:rsid w:val="004A1848"/>
    <w:rsid w:val="004C5DD0"/>
    <w:rsid w:val="004E2E3D"/>
    <w:rsid w:val="00502B91"/>
    <w:rsid w:val="00507FEC"/>
    <w:rsid w:val="00510F0E"/>
    <w:rsid w:val="005315BA"/>
    <w:rsid w:val="005479E1"/>
    <w:rsid w:val="005547F8"/>
    <w:rsid w:val="005570FD"/>
    <w:rsid w:val="005575EA"/>
    <w:rsid w:val="0057790C"/>
    <w:rsid w:val="00593795"/>
    <w:rsid w:val="005A75FF"/>
    <w:rsid w:val="005B7789"/>
    <w:rsid w:val="005C2B24"/>
    <w:rsid w:val="005C3A49"/>
    <w:rsid w:val="00615421"/>
    <w:rsid w:val="00625803"/>
    <w:rsid w:val="00631E45"/>
    <w:rsid w:val="0065791C"/>
    <w:rsid w:val="0068180C"/>
    <w:rsid w:val="00690B8A"/>
    <w:rsid w:val="006B3EB8"/>
    <w:rsid w:val="006D1DFA"/>
    <w:rsid w:val="006D506B"/>
    <w:rsid w:val="006E3043"/>
    <w:rsid w:val="006E3C90"/>
    <w:rsid w:val="006F581F"/>
    <w:rsid w:val="00703147"/>
    <w:rsid w:val="00704B61"/>
    <w:rsid w:val="007053A3"/>
    <w:rsid w:val="00742A8D"/>
    <w:rsid w:val="00747430"/>
    <w:rsid w:val="00750E0C"/>
    <w:rsid w:val="007552A9"/>
    <w:rsid w:val="00761858"/>
    <w:rsid w:val="00767D59"/>
    <w:rsid w:val="00776E97"/>
    <w:rsid w:val="00780FD7"/>
    <w:rsid w:val="007912AD"/>
    <w:rsid w:val="007A1F28"/>
    <w:rsid w:val="007B0824"/>
    <w:rsid w:val="007D5ECF"/>
    <w:rsid w:val="00801175"/>
    <w:rsid w:val="00807DB6"/>
    <w:rsid w:val="008303B8"/>
    <w:rsid w:val="00833DCE"/>
    <w:rsid w:val="00842418"/>
    <w:rsid w:val="00856E26"/>
    <w:rsid w:val="00871D34"/>
    <w:rsid w:val="00887BA0"/>
    <w:rsid w:val="008B270C"/>
    <w:rsid w:val="008C3D3D"/>
    <w:rsid w:val="008C63A1"/>
    <w:rsid w:val="008C7A0E"/>
    <w:rsid w:val="008D4131"/>
    <w:rsid w:val="008F1932"/>
    <w:rsid w:val="008F294D"/>
    <w:rsid w:val="00921062"/>
    <w:rsid w:val="0093083E"/>
    <w:rsid w:val="0093786F"/>
    <w:rsid w:val="00966ECF"/>
    <w:rsid w:val="009727A3"/>
    <w:rsid w:val="00987774"/>
    <w:rsid w:val="009A11E8"/>
    <w:rsid w:val="009A6191"/>
    <w:rsid w:val="009E0CE5"/>
    <w:rsid w:val="009E4E62"/>
    <w:rsid w:val="009F5220"/>
    <w:rsid w:val="009F7C4D"/>
    <w:rsid w:val="00A15234"/>
    <w:rsid w:val="00A201AB"/>
    <w:rsid w:val="00A31C8B"/>
    <w:rsid w:val="00A845DC"/>
    <w:rsid w:val="00A9052A"/>
    <w:rsid w:val="00A97AEE"/>
    <w:rsid w:val="00AA4AC7"/>
    <w:rsid w:val="00AA7A8A"/>
    <w:rsid w:val="00AB51B4"/>
    <w:rsid w:val="00AB65DE"/>
    <w:rsid w:val="00AC5CF6"/>
    <w:rsid w:val="00AD521A"/>
    <w:rsid w:val="00AE72DB"/>
    <w:rsid w:val="00B144FA"/>
    <w:rsid w:val="00B16F58"/>
    <w:rsid w:val="00B173CF"/>
    <w:rsid w:val="00B30648"/>
    <w:rsid w:val="00B32A76"/>
    <w:rsid w:val="00B3524D"/>
    <w:rsid w:val="00B40F69"/>
    <w:rsid w:val="00B46616"/>
    <w:rsid w:val="00B610E3"/>
    <w:rsid w:val="00B61205"/>
    <w:rsid w:val="00B617C4"/>
    <w:rsid w:val="00B626FA"/>
    <w:rsid w:val="00B7040A"/>
    <w:rsid w:val="00B962A1"/>
    <w:rsid w:val="00B96FA0"/>
    <w:rsid w:val="00BA7C9E"/>
    <w:rsid w:val="00BD4196"/>
    <w:rsid w:val="00BF22CA"/>
    <w:rsid w:val="00C1440A"/>
    <w:rsid w:val="00C26032"/>
    <w:rsid w:val="00C265B0"/>
    <w:rsid w:val="00C321B5"/>
    <w:rsid w:val="00C33809"/>
    <w:rsid w:val="00C33F41"/>
    <w:rsid w:val="00C345E1"/>
    <w:rsid w:val="00C977BA"/>
    <w:rsid w:val="00CA519C"/>
    <w:rsid w:val="00CB6E35"/>
    <w:rsid w:val="00CC4699"/>
    <w:rsid w:val="00CD384F"/>
    <w:rsid w:val="00CE1A46"/>
    <w:rsid w:val="00CF20DB"/>
    <w:rsid w:val="00CF253F"/>
    <w:rsid w:val="00CF56B4"/>
    <w:rsid w:val="00CF7E9F"/>
    <w:rsid w:val="00D159E8"/>
    <w:rsid w:val="00D20F09"/>
    <w:rsid w:val="00D22636"/>
    <w:rsid w:val="00D22AE0"/>
    <w:rsid w:val="00D25579"/>
    <w:rsid w:val="00D36E94"/>
    <w:rsid w:val="00D371C7"/>
    <w:rsid w:val="00D371E6"/>
    <w:rsid w:val="00D40FD9"/>
    <w:rsid w:val="00D53769"/>
    <w:rsid w:val="00D65C31"/>
    <w:rsid w:val="00D71973"/>
    <w:rsid w:val="00D85C13"/>
    <w:rsid w:val="00D91BE3"/>
    <w:rsid w:val="00D94AFC"/>
    <w:rsid w:val="00DB70AE"/>
    <w:rsid w:val="00DB7231"/>
    <w:rsid w:val="00DC1379"/>
    <w:rsid w:val="00DC281B"/>
    <w:rsid w:val="00DD5071"/>
    <w:rsid w:val="00DD5C39"/>
    <w:rsid w:val="00DE26AF"/>
    <w:rsid w:val="00DE7DB7"/>
    <w:rsid w:val="00E00A0A"/>
    <w:rsid w:val="00E07F57"/>
    <w:rsid w:val="00E33A4D"/>
    <w:rsid w:val="00E50BCE"/>
    <w:rsid w:val="00E606A2"/>
    <w:rsid w:val="00E61292"/>
    <w:rsid w:val="00E72B54"/>
    <w:rsid w:val="00E75017"/>
    <w:rsid w:val="00E76309"/>
    <w:rsid w:val="00E77C4D"/>
    <w:rsid w:val="00E81D01"/>
    <w:rsid w:val="00EB4440"/>
    <w:rsid w:val="00EB79F6"/>
    <w:rsid w:val="00ED33E8"/>
    <w:rsid w:val="00EE45D8"/>
    <w:rsid w:val="00EF7666"/>
    <w:rsid w:val="00F004CD"/>
    <w:rsid w:val="00F22EDA"/>
    <w:rsid w:val="00F3224D"/>
    <w:rsid w:val="00F33E0E"/>
    <w:rsid w:val="00F43B83"/>
    <w:rsid w:val="00F5664C"/>
    <w:rsid w:val="00F8088F"/>
    <w:rsid w:val="00FA45D5"/>
    <w:rsid w:val="00FB7E80"/>
    <w:rsid w:val="00FD6996"/>
    <w:rsid w:val="00F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3BBC6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2072</Words>
  <Characters>10056</Characters>
  <Application>Microsoft Office Word</Application>
  <DocSecurity>0</DocSecurity>
  <Lines>83</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2018-06-07T12:53:00Z</dcterms:created>
  <dcterms:modified xsi:type="dcterms:W3CDTF">2018-06-07T12:54:00Z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