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15376" w14:textId="77777777" w:rsidR="00B705D9" w:rsidRPr="00F5664C" w:rsidRDefault="00B25438" w:rsidP="00C321B5">
      <w:pPr>
        <w:jc w:val="center"/>
        <w:rPr>
          <w:rFonts w:ascii="Book Antiqua" w:hAnsi="Book Antiqua" w:cs="Arial"/>
          <w:sz w:val="16"/>
          <w:szCs w:val="16"/>
        </w:rPr>
      </w:pPr>
      <w:r>
        <w:rPr>
          <w:noProof/>
        </w:rPr>
        <w:drawing>
          <wp:inline distT="0" distB="0" distL="0" distR="0" wp14:anchorId="24E3022F" wp14:editId="76E73611">
            <wp:extent cx="1180800" cy="1036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0800" cy="1036800"/>
                    </a:xfrm>
                    <a:prstGeom prst="rect">
                      <a:avLst/>
                    </a:prstGeom>
                    <a:noFill/>
                    <a:ln>
                      <a:noFill/>
                    </a:ln>
                  </pic:spPr>
                </pic:pic>
              </a:graphicData>
            </a:graphic>
          </wp:inline>
        </w:drawing>
      </w:r>
    </w:p>
    <w:p w14:paraId="52939A35" w14:textId="77777777" w:rsidR="00B705D9" w:rsidRPr="00F5664C" w:rsidRDefault="00B705D9"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14:paraId="038FD05A" w14:textId="0ED1778F" w:rsidR="00B705D9" w:rsidRPr="001116F0" w:rsidRDefault="00B705D9" w:rsidP="00B626FA">
      <w:pPr>
        <w:tabs>
          <w:tab w:val="right" w:pos="9639"/>
        </w:tabs>
        <w:rPr>
          <w:rFonts w:ascii="Book Antiqua" w:hAnsi="Book Antiqua" w:cs="Arial"/>
          <w:b/>
        </w:rPr>
      </w:pPr>
      <w:r w:rsidRPr="00F5664C">
        <w:rPr>
          <w:rFonts w:ascii="Book Antiqua" w:hAnsi="Book Antiqua" w:cs="Arial"/>
          <w:b/>
        </w:rPr>
        <w:t>(</w:t>
      </w:r>
      <w:r w:rsidR="001116F0">
        <w:rPr>
          <w:rFonts w:ascii="Book Antiqua" w:hAnsi="Book Antiqua" w:cs="Arial"/>
          <w:b/>
        </w:rPr>
        <w:t xml:space="preserve">Immigration and Asylum </w:t>
      </w:r>
      <w:proofErr w:type="gramStart"/>
      <w:r w:rsidR="001116F0">
        <w:rPr>
          <w:rFonts w:ascii="Book Antiqua" w:hAnsi="Book Antiqua" w:cs="Arial"/>
          <w:b/>
        </w:rPr>
        <w:t xml:space="preserve">Chamber)   </w:t>
      </w:r>
      <w:proofErr w:type="gramEnd"/>
      <w:r w:rsidR="001116F0">
        <w:rPr>
          <w:rFonts w:ascii="Book Antiqua" w:hAnsi="Book Antiqua" w:cs="Arial"/>
          <w:b/>
        </w:rPr>
        <w:t xml:space="preserve">                   </w:t>
      </w:r>
      <w:r w:rsidRPr="001116F0">
        <w:rPr>
          <w:rFonts w:ascii="Book Antiqua" w:hAnsi="Book Antiqua" w:cs="Arial"/>
          <w:b/>
        </w:rPr>
        <w:t xml:space="preserve">Appeal Number: </w:t>
      </w:r>
      <w:r w:rsidR="0083450C" w:rsidRPr="001116F0">
        <w:rPr>
          <w:rFonts w:ascii="Book Antiqua" w:hAnsi="Book Antiqua" w:cs="Arial"/>
          <w:b/>
          <w:caps/>
        </w:rPr>
        <w:t>EA/07257/2016</w:t>
      </w:r>
    </w:p>
    <w:p w14:paraId="3F38D227" w14:textId="77777777" w:rsidR="00B705D9" w:rsidRPr="001116F0" w:rsidRDefault="00B705D9" w:rsidP="00C345E1">
      <w:pPr>
        <w:jc w:val="center"/>
        <w:rPr>
          <w:rFonts w:ascii="Book Antiqua" w:hAnsi="Book Antiqua" w:cs="Arial"/>
          <w:b/>
        </w:rPr>
      </w:pPr>
    </w:p>
    <w:p w14:paraId="7E1B312D" w14:textId="77777777" w:rsidR="00B705D9" w:rsidRPr="00F5664C" w:rsidRDefault="00B705D9" w:rsidP="00C345E1">
      <w:pPr>
        <w:jc w:val="center"/>
        <w:rPr>
          <w:rFonts w:ascii="Book Antiqua" w:hAnsi="Book Antiqua" w:cs="Arial"/>
          <w:b/>
          <w:u w:val="single"/>
        </w:rPr>
      </w:pPr>
      <w:r w:rsidRPr="00F5664C">
        <w:rPr>
          <w:rFonts w:ascii="Book Antiqua" w:hAnsi="Book Antiqua" w:cs="Arial"/>
          <w:b/>
          <w:u w:val="single"/>
        </w:rPr>
        <w:t>THE IMMIGRATION ACTS</w:t>
      </w:r>
    </w:p>
    <w:p w14:paraId="743A8D1F" w14:textId="77777777" w:rsidR="00B705D9" w:rsidRPr="00F5664C" w:rsidRDefault="00B705D9"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B705D9" w:rsidRPr="00F5664C" w14:paraId="73AE8AE6" w14:textId="77777777" w:rsidTr="001116F0">
        <w:tc>
          <w:tcPr>
            <w:tcW w:w="5245" w:type="dxa"/>
          </w:tcPr>
          <w:p w14:paraId="3F423F87" w14:textId="77777777" w:rsidR="00B705D9" w:rsidRPr="00321493" w:rsidRDefault="00B705D9" w:rsidP="00321493">
            <w:pPr>
              <w:jc w:val="both"/>
              <w:rPr>
                <w:rFonts w:ascii="Book Antiqua" w:hAnsi="Book Antiqua" w:cs="Arial"/>
                <w:b/>
              </w:rPr>
            </w:pPr>
            <w:r w:rsidRPr="00321493">
              <w:rPr>
                <w:rFonts w:ascii="Book Antiqua" w:hAnsi="Book Antiqua" w:cs="Arial"/>
                <w:b/>
              </w:rPr>
              <w:t>Heard at Field House</w:t>
            </w:r>
          </w:p>
        </w:tc>
        <w:tc>
          <w:tcPr>
            <w:tcW w:w="4763" w:type="dxa"/>
          </w:tcPr>
          <w:p w14:paraId="6B8BF7CE" w14:textId="77777777" w:rsidR="00B705D9" w:rsidRPr="00321493" w:rsidRDefault="00B705D9" w:rsidP="00321493">
            <w:pPr>
              <w:jc w:val="both"/>
              <w:rPr>
                <w:rFonts w:ascii="Book Antiqua" w:hAnsi="Book Antiqua" w:cs="Arial"/>
                <w:b/>
              </w:rPr>
            </w:pPr>
            <w:r w:rsidRPr="00321493">
              <w:rPr>
                <w:rFonts w:ascii="Book Antiqua" w:hAnsi="Book Antiqua" w:cs="Arial"/>
                <w:b/>
              </w:rPr>
              <w:t xml:space="preserve">Decision </w:t>
            </w:r>
            <w:r w:rsidR="00E445D4">
              <w:rPr>
                <w:rFonts w:ascii="Book Antiqua" w:hAnsi="Book Antiqua" w:cs="Arial"/>
                <w:b/>
                <w:color w:val="000000"/>
              </w:rPr>
              <w:t xml:space="preserve">&amp; Reasons </w:t>
            </w:r>
            <w:r w:rsidR="00E445D4" w:rsidRPr="00BF1F6A">
              <w:rPr>
                <w:rFonts w:ascii="Book Antiqua" w:hAnsi="Book Antiqua" w:cs="Arial"/>
                <w:b/>
                <w:color w:val="000000"/>
              </w:rPr>
              <w:t>Promulgated</w:t>
            </w:r>
          </w:p>
        </w:tc>
      </w:tr>
      <w:tr w:rsidR="00B705D9" w:rsidRPr="00F5664C" w14:paraId="433E0E99" w14:textId="77777777" w:rsidTr="001116F0">
        <w:tc>
          <w:tcPr>
            <w:tcW w:w="5245" w:type="dxa"/>
          </w:tcPr>
          <w:p w14:paraId="0A139D82" w14:textId="77777777" w:rsidR="00B705D9" w:rsidRPr="00321493" w:rsidRDefault="00B705D9" w:rsidP="00321493">
            <w:pPr>
              <w:jc w:val="both"/>
              <w:rPr>
                <w:rFonts w:ascii="Book Antiqua" w:hAnsi="Book Antiqua" w:cs="Arial"/>
                <w:b/>
              </w:rPr>
            </w:pPr>
            <w:r w:rsidRPr="00321493">
              <w:rPr>
                <w:rFonts w:ascii="Book Antiqua" w:hAnsi="Book Antiqua" w:cs="Arial"/>
                <w:b/>
              </w:rPr>
              <w:t xml:space="preserve">On </w:t>
            </w:r>
            <w:r w:rsidR="0085228A">
              <w:rPr>
                <w:rFonts w:ascii="Book Antiqua" w:hAnsi="Book Antiqua" w:cs="Arial"/>
                <w:b/>
              </w:rPr>
              <w:t>6</w:t>
            </w:r>
            <w:r w:rsidR="0083450C">
              <w:rPr>
                <w:rFonts w:ascii="Book Antiqua" w:hAnsi="Book Antiqua" w:cs="Arial"/>
                <w:b/>
              </w:rPr>
              <w:t xml:space="preserve"> September 2018</w:t>
            </w:r>
          </w:p>
        </w:tc>
        <w:tc>
          <w:tcPr>
            <w:tcW w:w="4763" w:type="dxa"/>
          </w:tcPr>
          <w:p w14:paraId="2D8E32C2" w14:textId="77777777" w:rsidR="00B705D9" w:rsidRPr="00321493" w:rsidRDefault="000C2407" w:rsidP="00321493">
            <w:pPr>
              <w:jc w:val="both"/>
              <w:rPr>
                <w:rFonts w:ascii="Book Antiqua" w:hAnsi="Book Antiqua" w:cs="Arial"/>
                <w:b/>
              </w:rPr>
            </w:pPr>
            <w:r>
              <w:rPr>
                <w:rFonts w:ascii="Book Antiqua" w:hAnsi="Book Antiqua" w:cs="Arial"/>
                <w:b/>
              </w:rPr>
              <w:t>On 27 September 2018</w:t>
            </w:r>
          </w:p>
        </w:tc>
      </w:tr>
      <w:tr w:rsidR="00B705D9" w:rsidRPr="00F5664C" w14:paraId="04E1AE4D" w14:textId="77777777" w:rsidTr="001116F0">
        <w:tc>
          <w:tcPr>
            <w:tcW w:w="5245" w:type="dxa"/>
          </w:tcPr>
          <w:p w14:paraId="3EC2E06B" w14:textId="77777777" w:rsidR="00B705D9" w:rsidRPr="00321493" w:rsidRDefault="00B705D9" w:rsidP="00321493">
            <w:pPr>
              <w:jc w:val="both"/>
              <w:rPr>
                <w:rFonts w:ascii="Book Antiqua" w:hAnsi="Book Antiqua" w:cs="Arial"/>
                <w:b/>
              </w:rPr>
            </w:pPr>
          </w:p>
        </w:tc>
        <w:tc>
          <w:tcPr>
            <w:tcW w:w="4763" w:type="dxa"/>
          </w:tcPr>
          <w:p w14:paraId="552844BB" w14:textId="77777777" w:rsidR="00B705D9" w:rsidRPr="00321493" w:rsidRDefault="00B705D9" w:rsidP="00321493">
            <w:pPr>
              <w:jc w:val="both"/>
              <w:rPr>
                <w:rFonts w:ascii="Book Antiqua" w:hAnsi="Book Antiqua" w:cs="Arial"/>
                <w:b/>
              </w:rPr>
            </w:pPr>
          </w:p>
        </w:tc>
      </w:tr>
    </w:tbl>
    <w:p w14:paraId="60E876D2" w14:textId="77777777" w:rsidR="00B705D9" w:rsidRPr="00F5664C" w:rsidRDefault="00B705D9" w:rsidP="00A15234">
      <w:pPr>
        <w:jc w:val="center"/>
        <w:rPr>
          <w:rFonts w:ascii="Book Antiqua" w:hAnsi="Book Antiqua" w:cs="Arial"/>
        </w:rPr>
      </w:pPr>
    </w:p>
    <w:p w14:paraId="51232EA1" w14:textId="77777777" w:rsidR="00B705D9" w:rsidRPr="00F5664C" w:rsidRDefault="00B705D9" w:rsidP="00A15234">
      <w:pPr>
        <w:jc w:val="center"/>
        <w:rPr>
          <w:rFonts w:ascii="Book Antiqua" w:hAnsi="Book Antiqua" w:cs="Arial"/>
          <w:b/>
        </w:rPr>
      </w:pPr>
      <w:r w:rsidRPr="00F5664C">
        <w:rPr>
          <w:rFonts w:ascii="Book Antiqua" w:hAnsi="Book Antiqua" w:cs="Arial"/>
          <w:b/>
        </w:rPr>
        <w:t>Before</w:t>
      </w:r>
    </w:p>
    <w:p w14:paraId="4DC0B63F" w14:textId="77777777" w:rsidR="00B705D9" w:rsidRPr="00F5664C" w:rsidRDefault="00B705D9" w:rsidP="00A15234">
      <w:pPr>
        <w:jc w:val="center"/>
        <w:rPr>
          <w:rFonts w:ascii="Book Antiqua" w:hAnsi="Book Antiqua" w:cs="Arial"/>
          <w:b/>
        </w:rPr>
      </w:pPr>
    </w:p>
    <w:p w14:paraId="751C6DF8" w14:textId="77777777" w:rsidR="00B705D9" w:rsidRDefault="00B705D9" w:rsidP="00A15234">
      <w:pPr>
        <w:jc w:val="center"/>
        <w:rPr>
          <w:rFonts w:ascii="Book Antiqua" w:hAnsi="Book Antiqua" w:cs="Arial"/>
          <w:b/>
        </w:rPr>
      </w:pPr>
      <w:r>
        <w:rPr>
          <w:rFonts w:ascii="Book Antiqua" w:hAnsi="Book Antiqua" w:cs="Arial"/>
          <w:b/>
        </w:rPr>
        <w:t>UPPER TRIBUNAL</w:t>
      </w:r>
      <w:r w:rsidRPr="00F5664C">
        <w:rPr>
          <w:rFonts w:ascii="Book Antiqua" w:hAnsi="Book Antiqua" w:cs="Arial"/>
          <w:b/>
        </w:rPr>
        <w:t xml:space="preserve"> JUDGE G</w:t>
      </w:r>
      <w:r>
        <w:rPr>
          <w:rFonts w:ascii="Book Antiqua" w:hAnsi="Book Antiqua" w:cs="Arial"/>
          <w:b/>
        </w:rPr>
        <w:t>LEESON</w:t>
      </w:r>
    </w:p>
    <w:p w14:paraId="5EB3B030" w14:textId="77777777" w:rsidR="00B705D9" w:rsidRPr="00F5664C" w:rsidRDefault="00B705D9" w:rsidP="00DE279E">
      <w:pPr>
        <w:jc w:val="center"/>
        <w:rPr>
          <w:rFonts w:ascii="Book Antiqua" w:hAnsi="Book Antiqua" w:cs="Arial"/>
          <w:b/>
        </w:rPr>
      </w:pPr>
    </w:p>
    <w:p w14:paraId="2E7B0D43" w14:textId="77777777" w:rsidR="00B705D9" w:rsidRPr="00F5664C" w:rsidRDefault="00B705D9" w:rsidP="00A15234">
      <w:pPr>
        <w:jc w:val="center"/>
        <w:rPr>
          <w:rFonts w:ascii="Book Antiqua" w:hAnsi="Book Antiqua" w:cs="Arial"/>
          <w:b/>
        </w:rPr>
      </w:pPr>
      <w:r w:rsidRPr="00F5664C">
        <w:rPr>
          <w:rFonts w:ascii="Book Antiqua" w:hAnsi="Book Antiqua" w:cs="Arial"/>
          <w:b/>
        </w:rPr>
        <w:t>Between</w:t>
      </w:r>
    </w:p>
    <w:p w14:paraId="41B8856D" w14:textId="77777777" w:rsidR="00B705D9" w:rsidRPr="00F5664C" w:rsidRDefault="00B705D9" w:rsidP="00A15234">
      <w:pPr>
        <w:jc w:val="center"/>
        <w:rPr>
          <w:rFonts w:ascii="Book Antiqua" w:hAnsi="Book Antiqua" w:cs="Arial"/>
          <w:b/>
        </w:rPr>
      </w:pPr>
    </w:p>
    <w:p w14:paraId="5EE38861" w14:textId="77777777" w:rsidR="00B705D9" w:rsidRDefault="0083450C" w:rsidP="00742A8D">
      <w:pPr>
        <w:jc w:val="center"/>
        <w:rPr>
          <w:rFonts w:ascii="Book Antiqua" w:hAnsi="Book Antiqua" w:cs="Arial"/>
          <w:b/>
          <w:caps/>
        </w:rPr>
      </w:pPr>
      <w:r>
        <w:rPr>
          <w:rFonts w:ascii="Book Antiqua" w:hAnsi="Book Antiqua" w:cs="Arial"/>
          <w:b/>
          <w:caps/>
        </w:rPr>
        <w:t>alain claude leon tavares</w:t>
      </w:r>
    </w:p>
    <w:p w14:paraId="59F3CCA6" w14:textId="77777777" w:rsidR="00B705D9" w:rsidRPr="001116F0" w:rsidRDefault="00B705D9" w:rsidP="00742A8D">
      <w:pPr>
        <w:jc w:val="center"/>
        <w:rPr>
          <w:rFonts w:ascii="Book Antiqua" w:hAnsi="Book Antiqua" w:cs="Arial"/>
          <w:caps/>
        </w:rPr>
      </w:pPr>
      <w:r w:rsidRPr="001116F0">
        <w:rPr>
          <w:rFonts w:ascii="Book Antiqua" w:hAnsi="Book Antiqua" w:cs="Arial"/>
          <w:caps/>
        </w:rPr>
        <w:t>(no anonymity order)</w:t>
      </w:r>
    </w:p>
    <w:p w14:paraId="78FEED38" w14:textId="77777777" w:rsidR="00B705D9" w:rsidRPr="001116F0" w:rsidRDefault="00B705D9" w:rsidP="00704B61">
      <w:pPr>
        <w:jc w:val="right"/>
        <w:rPr>
          <w:rFonts w:ascii="Book Antiqua" w:hAnsi="Book Antiqua" w:cs="Arial"/>
          <w:u w:val="single"/>
        </w:rPr>
      </w:pPr>
      <w:r w:rsidRPr="001116F0">
        <w:rPr>
          <w:rFonts w:ascii="Book Antiqua" w:hAnsi="Book Antiqua" w:cs="Arial"/>
          <w:u w:val="single"/>
        </w:rPr>
        <w:t>Appellant</w:t>
      </w:r>
    </w:p>
    <w:p w14:paraId="66DF7347" w14:textId="77777777" w:rsidR="00B705D9" w:rsidRPr="001116F0" w:rsidRDefault="00B705D9" w:rsidP="00704B61">
      <w:pPr>
        <w:jc w:val="center"/>
        <w:rPr>
          <w:rFonts w:ascii="Book Antiqua" w:hAnsi="Book Antiqua" w:cs="Arial"/>
        </w:rPr>
      </w:pPr>
    </w:p>
    <w:p w14:paraId="25566767" w14:textId="77777777" w:rsidR="00B705D9" w:rsidRPr="00F5664C" w:rsidRDefault="00B705D9" w:rsidP="00704B61">
      <w:pPr>
        <w:jc w:val="center"/>
        <w:rPr>
          <w:rFonts w:ascii="Book Antiqua" w:hAnsi="Book Antiqua" w:cs="Arial"/>
          <w:b/>
        </w:rPr>
      </w:pPr>
      <w:r w:rsidRPr="00F5664C">
        <w:rPr>
          <w:rFonts w:ascii="Book Antiqua" w:hAnsi="Book Antiqua" w:cs="Arial"/>
          <w:b/>
        </w:rPr>
        <w:t>and</w:t>
      </w:r>
    </w:p>
    <w:p w14:paraId="7EC99083" w14:textId="77777777" w:rsidR="00B705D9" w:rsidRPr="00F5664C" w:rsidRDefault="00B705D9" w:rsidP="00704B61">
      <w:pPr>
        <w:jc w:val="center"/>
        <w:rPr>
          <w:rFonts w:ascii="Book Antiqua" w:hAnsi="Book Antiqua" w:cs="Arial"/>
          <w:b/>
        </w:rPr>
      </w:pPr>
    </w:p>
    <w:bookmarkStart w:id="0" w:name="Text7"/>
    <w:p w14:paraId="15B9F757" w14:textId="77777777" w:rsidR="00B705D9" w:rsidRPr="00DE279E" w:rsidRDefault="00B705D9" w:rsidP="00DE279E">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0"/>
    </w:p>
    <w:p w14:paraId="1A5280ED" w14:textId="77777777" w:rsidR="00B705D9" w:rsidRPr="00F5664C" w:rsidRDefault="00B705D9" w:rsidP="00DD5071">
      <w:pPr>
        <w:jc w:val="right"/>
        <w:rPr>
          <w:rFonts w:ascii="Book Antiqua" w:hAnsi="Book Antiqua" w:cs="Arial"/>
          <w:u w:val="single"/>
        </w:rPr>
      </w:pPr>
      <w:r w:rsidRPr="00F5664C">
        <w:rPr>
          <w:rFonts w:ascii="Book Antiqua" w:hAnsi="Book Antiqua" w:cs="Arial"/>
          <w:u w:val="single"/>
        </w:rPr>
        <w:t>Respondent</w:t>
      </w:r>
    </w:p>
    <w:p w14:paraId="6A28C00A" w14:textId="77777777" w:rsidR="00B705D9" w:rsidRPr="00F5664C" w:rsidRDefault="00B705D9" w:rsidP="00DD5071">
      <w:pPr>
        <w:rPr>
          <w:rFonts w:ascii="Book Antiqua" w:hAnsi="Book Antiqua" w:cs="Arial"/>
          <w:u w:val="single"/>
        </w:rPr>
      </w:pPr>
    </w:p>
    <w:p w14:paraId="385C2576" w14:textId="77777777" w:rsidR="00B705D9" w:rsidRPr="00F5664C" w:rsidRDefault="00B705D9"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4215F3F0" w14:textId="77777777" w:rsidR="00B705D9" w:rsidRPr="00F5664C" w:rsidRDefault="00B705D9" w:rsidP="00DD5071">
      <w:pPr>
        <w:rPr>
          <w:rFonts w:ascii="Book Antiqua" w:hAnsi="Book Antiqua" w:cs="Arial"/>
        </w:rPr>
      </w:pPr>
    </w:p>
    <w:p w14:paraId="5F3C1062" w14:textId="77777777" w:rsidR="00B705D9" w:rsidRPr="00F5664C" w:rsidRDefault="00B705D9"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83450C">
        <w:rPr>
          <w:rFonts w:ascii="Book Antiqua" w:hAnsi="Book Antiqua" w:cs="Arial"/>
        </w:rPr>
        <w:t>Mr K Shoye</w:t>
      </w:r>
      <w:r w:rsidR="00D35A57">
        <w:rPr>
          <w:rFonts w:ascii="Book Antiqua" w:hAnsi="Book Antiqua" w:cs="Arial"/>
        </w:rPr>
        <w:t>,</w:t>
      </w:r>
      <w:r>
        <w:rPr>
          <w:rFonts w:ascii="Book Antiqua" w:hAnsi="Book Antiqua" w:cs="Arial"/>
        </w:rPr>
        <w:t xml:space="preserve"> instructed by </w:t>
      </w:r>
      <w:r w:rsidR="0083450C">
        <w:rPr>
          <w:rFonts w:ascii="Book Antiqua" w:hAnsi="Book Antiqua" w:cs="Arial"/>
        </w:rPr>
        <w:t>CW Law Solicitors</w:t>
      </w:r>
    </w:p>
    <w:p w14:paraId="1E4D6369" w14:textId="77777777" w:rsidR="00B705D9" w:rsidRPr="00F5664C" w:rsidRDefault="00B705D9"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83450C">
        <w:rPr>
          <w:rFonts w:ascii="Book Antiqua" w:hAnsi="Book Antiqua" w:cs="Arial"/>
        </w:rPr>
        <w:t>Ms L Kenny</w:t>
      </w:r>
      <w:r>
        <w:rPr>
          <w:rFonts w:ascii="Book Antiqua" w:hAnsi="Book Antiqua" w:cs="Arial"/>
        </w:rPr>
        <w:t>, a Senior Home Office Presenting Officer</w:t>
      </w:r>
    </w:p>
    <w:p w14:paraId="19EB6486" w14:textId="77777777" w:rsidR="00B705D9" w:rsidRPr="00F5664C" w:rsidRDefault="00B705D9" w:rsidP="00402B9E">
      <w:pPr>
        <w:tabs>
          <w:tab w:val="left" w:pos="2520"/>
        </w:tabs>
        <w:jc w:val="center"/>
        <w:rPr>
          <w:rFonts w:ascii="Book Antiqua" w:hAnsi="Book Antiqua" w:cs="Arial"/>
        </w:rPr>
      </w:pPr>
    </w:p>
    <w:p w14:paraId="767C370D" w14:textId="77777777" w:rsidR="00B705D9" w:rsidRDefault="00B705D9"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Pr="00F5664C">
        <w:rPr>
          <w:rFonts w:ascii="Book Antiqua" w:hAnsi="Book Antiqua" w:cs="Arial"/>
          <w:b/>
          <w:u w:val="single"/>
        </w:rPr>
        <w:t>AND REASONS</w:t>
      </w:r>
    </w:p>
    <w:p w14:paraId="6CA6AF1A" w14:textId="77777777" w:rsidR="00B705D9" w:rsidRDefault="00350E67" w:rsidP="00284307">
      <w:pPr>
        <w:numPr>
          <w:ilvl w:val="0"/>
          <w:numId w:val="3"/>
        </w:numPr>
        <w:spacing w:before="240"/>
        <w:jc w:val="both"/>
        <w:rPr>
          <w:rFonts w:ascii="Book Antiqua" w:hAnsi="Book Antiqua" w:cs="Arial"/>
        </w:rPr>
      </w:pPr>
      <w:r>
        <w:rPr>
          <w:rFonts w:ascii="Book Antiqua" w:hAnsi="Book Antiqua" w:cs="Arial"/>
        </w:rPr>
        <w:t xml:space="preserve">The appellant has permission to appeal against the decision of First-tier </w:t>
      </w:r>
      <w:r w:rsidR="0056188C">
        <w:rPr>
          <w:rFonts w:ascii="Book Antiqua" w:hAnsi="Book Antiqua" w:cs="Arial"/>
        </w:rPr>
        <w:t>Tribunal,</w:t>
      </w:r>
      <w:r>
        <w:rPr>
          <w:rFonts w:ascii="Book Antiqua" w:hAnsi="Book Antiqua" w:cs="Arial"/>
        </w:rPr>
        <w:t xml:space="preserve"> dismissing his appeal against the respondent’s refusal to grant him a residence card pursuant to Regulation 10(5) of the </w:t>
      </w:r>
      <w:r w:rsidR="003D23FA">
        <w:rPr>
          <w:rFonts w:ascii="Book Antiqua" w:hAnsi="Book Antiqua" w:cs="Arial"/>
        </w:rPr>
        <w:t xml:space="preserve">Immigration (European Economic Area) Regulations 2016, </w:t>
      </w:r>
      <w:r>
        <w:rPr>
          <w:rFonts w:ascii="Book Antiqua" w:hAnsi="Book Antiqua" w:cs="Arial"/>
        </w:rPr>
        <w:t xml:space="preserve">as the former spouse of a French </w:t>
      </w:r>
      <w:r w:rsidR="00D35A57">
        <w:rPr>
          <w:rFonts w:ascii="Book Antiqua" w:hAnsi="Book Antiqua" w:cs="Arial"/>
        </w:rPr>
        <w:t xml:space="preserve">national </w:t>
      </w:r>
      <w:r>
        <w:rPr>
          <w:rFonts w:ascii="Book Antiqua" w:hAnsi="Book Antiqua" w:cs="Arial"/>
        </w:rPr>
        <w:t xml:space="preserve">and therefore an EEA national exercising </w:t>
      </w:r>
      <w:r w:rsidR="005E420B">
        <w:rPr>
          <w:rFonts w:ascii="Book Antiqua" w:hAnsi="Book Antiqua" w:cs="Arial"/>
        </w:rPr>
        <w:t>Treaty rights</w:t>
      </w:r>
      <w:r>
        <w:rPr>
          <w:rFonts w:ascii="Book Antiqua" w:hAnsi="Book Antiqua" w:cs="Arial"/>
        </w:rPr>
        <w:t xml:space="preserve"> in the United Kingdom.  </w:t>
      </w:r>
    </w:p>
    <w:p w14:paraId="5198610B" w14:textId="71DE9592" w:rsidR="005E420B" w:rsidRDefault="005E420B" w:rsidP="00284307">
      <w:pPr>
        <w:numPr>
          <w:ilvl w:val="0"/>
          <w:numId w:val="3"/>
        </w:numPr>
        <w:spacing w:before="240"/>
        <w:jc w:val="both"/>
        <w:rPr>
          <w:rFonts w:ascii="Book Antiqua" w:hAnsi="Book Antiqua" w:cs="Arial"/>
        </w:rPr>
      </w:pPr>
      <w:r>
        <w:rPr>
          <w:rFonts w:ascii="Book Antiqua" w:hAnsi="Book Antiqua" w:cs="Arial"/>
        </w:rPr>
        <w:t>The basis of the appellant’s permitted challenge to the First-tier Judge’s decision is twofold, first, that the Judge applied too narrow a view</w:t>
      </w:r>
      <w:r w:rsidR="003D23FA" w:rsidRPr="003D23FA">
        <w:rPr>
          <w:rFonts w:ascii="Book Antiqua" w:hAnsi="Book Antiqua" w:cs="Arial"/>
        </w:rPr>
        <w:t xml:space="preserve"> </w:t>
      </w:r>
      <w:r w:rsidR="003D23FA">
        <w:rPr>
          <w:rFonts w:ascii="Book Antiqua" w:hAnsi="Book Antiqua" w:cs="Arial"/>
        </w:rPr>
        <w:t>in relation to the definition of ‘work’ in the Regulations</w:t>
      </w:r>
      <w:r>
        <w:rPr>
          <w:rFonts w:ascii="Book Antiqua" w:hAnsi="Book Antiqua" w:cs="Arial"/>
        </w:rPr>
        <w:t>, and second, in relation to his finding that the appellant and sponsor could not show joint residence in the United Kingdom for at least 1 year during the marriage</w:t>
      </w:r>
      <w:r w:rsidR="003D23FA">
        <w:rPr>
          <w:rFonts w:ascii="Book Antiqua" w:hAnsi="Book Antiqua" w:cs="Arial"/>
        </w:rPr>
        <w:t xml:space="preserve">.  In relation to joint residence, </w:t>
      </w:r>
      <w:r>
        <w:rPr>
          <w:rFonts w:ascii="Book Antiqua" w:hAnsi="Book Antiqua" w:cs="Arial"/>
        </w:rPr>
        <w:t xml:space="preserve">the appellant contended that documents which he sent to the hearing centre (some water bills and a revised skeleton </w:t>
      </w:r>
      <w:r>
        <w:rPr>
          <w:rFonts w:ascii="Book Antiqua" w:hAnsi="Book Antiqua" w:cs="Arial"/>
        </w:rPr>
        <w:lastRenderedPageBreak/>
        <w:t xml:space="preserve">argument), but which were not </w:t>
      </w:r>
      <w:proofErr w:type="gramStart"/>
      <w:r>
        <w:rPr>
          <w:rFonts w:ascii="Book Antiqua" w:hAnsi="Book Antiqua" w:cs="Arial"/>
        </w:rPr>
        <w:t>taken into account</w:t>
      </w:r>
      <w:proofErr w:type="gramEnd"/>
      <w:r>
        <w:rPr>
          <w:rFonts w:ascii="Book Antiqua" w:hAnsi="Book Antiqua" w:cs="Arial"/>
        </w:rPr>
        <w:t xml:space="preserve"> by the First-tier Tribunal, were capable of leading to a different outcome.</w:t>
      </w:r>
    </w:p>
    <w:p w14:paraId="5DCFD2B6" w14:textId="77777777" w:rsidR="003D23FA" w:rsidRPr="003D23FA" w:rsidRDefault="003D23FA" w:rsidP="003D23FA">
      <w:pPr>
        <w:spacing w:before="240"/>
        <w:jc w:val="both"/>
        <w:rPr>
          <w:rFonts w:ascii="Book Antiqua" w:hAnsi="Book Antiqua" w:cs="Arial"/>
          <w:b/>
        </w:rPr>
      </w:pPr>
      <w:r>
        <w:rPr>
          <w:rFonts w:ascii="Book Antiqua" w:hAnsi="Book Antiqua" w:cs="Arial"/>
          <w:b/>
        </w:rPr>
        <w:t xml:space="preserve">First-tier Tribunal hearing </w:t>
      </w:r>
    </w:p>
    <w:p w14:paraId="08D389A8" w14:textId="77777777" w:rsidR="001A19E2" w:rsidRDefault="005E420B" w:rsidP="001A19E2">
      <w:pPr>
        <w:numPr>
          <w:ilvl w:val="0"/>
          <w:numId w:val="3"/>
        </w:numPr>
        <w:tabs>
          <w:tab w:val="clear" w:pos="567"/>
        </w:tabs>
        <w:spacing w:before="240"/>
        <w:jc w:val="both"/>
        <w:rPr>
          <w:rFonts w:ascii="Book Antiqua" w:hAnsi="Book Antiqua" w:cs="Arial"/>
        </w:rPr>
      </w:pPr>
      <w:r>
        <w:rPr>
          <w:rFonts w:ascii="Book Antiqua" w:hAnsi="Book Antiqua" w:cs="Arial"/>
        </w:rPr>
        <w:t xml:space="preserve">This </w:t>
      </w:r>
      <w:r w:rsidR="001A19E2">
        <w:rPr>
          <w:rFonts w:ascii="Book Antiqua" w:hAnsi="Book Antiqua" w:cs="Arial"/>
        </w:rPr>
        <w:t xml:space="preserve">appeal was </w:t>
      </w:r>
      <w:r>
        <w:rPr>
          <w:rFonts w:ascii="Book Antiqua" w:hAnsi="Book Antiqua" w:cs="Arial"/>
        </w:rPr>
        <w:t>considered by the First-tier Tribunal</w:t>
      </w:r>
      <w:r w:rsidR="001A19E2">
        <w:rPr>
          <w:rFonts w:ascii="Book Antiqua" w:hAnsi="Book Antiqua" w:cs="Arial"/>
        </w:rPr>
        <w:t xml:space="preserve"> on the papers following </w:t>
      </w:r>
      <w:r w:rsidR="00813FB9">
        <w:rPr>
          <w:rFonts w:ascii="Book Antiqua" w:hAnsi="Book Antiqua" w:cs="Arial"/>
        </w:rPr>
        <w:t xml:space="preserve">several adjournments.  Mr </w:t>
      </w:r>
      <w:proofErr w:type="spellStart"/>
      <w:r w:rsidR="00813FB9">
        <w:rPr>
          <w:rFonts w:ascii="Book Antiqua" w:hAnsi="Book Antiqua" w:cs="Arial"/>
        </w:rPr>
        <w:t>Shoye</w:t>
      </w:r>
      <w:proofErr w:type="spellEnd"/>
      <w:r w:rsidR="00813FB9">
        <w:rPr>
          <w:rFonts w:ascii="Book Antiqua" w:hAnsi="Book Antiqua" w:cs="Arial"/>
        </w:rPr>
        <w:t xml:space="preserve">, the appellant’s solicitor, wrote to the First-tier Tribunal by email on 25 </w:t>
      </w:r>
      <w:r w:rsidR="001A19E2">
        <w:rPr>
          <w:rFonts w:ascii="Book Antiqua" w:hAnsi="Book Antiqua" w:cs="Arial"/>
        </w:rPr>
        <w:t xml:space="preserve">January 2018 in the following </w:t>
      </w:r>
      <w:proofErr w:type="gramStart"/>
      <w:r w:rsidR="001A19E2">
        <w:rPr>
          <w:rFonts w:ascii="Book Antiqua" w:hAnsi="Book Antiqua" w:cs="Arial"/>
        </w:rPr>
        <w:t>terms:-</w:t>
      </w:r>
      <w:proofErr w:type="gramEnd"/>
    </w:p>
    <w:p w14:paraId="365496F9" w14:textId="77777777" w:rsidR="001A19E2" w:rsidRDefault="001A19E2" w:rsidP="001A19E2">
      <w:pPr>
        <w:spacing w:before="240"/>
        <w:ind w:left="1134"/>
        <w:jc w:val="both"/>
        <w:rPr>
          <w:rFonts w:ascii="Book Antiqua" w:hAnsi="Book Antiqua" w:cs="Arial"/>
          <w:sz w:val="22"/>
          <w:szCs w:val="22"/>
        </w:rPr>
      </w:pPr>
      <w:r>
        <w:rPr>
          <w:rFonts w:ascii="Book Antiqua" w:hAnsi="Book Antiqua" w:cs="Arial"/>
          <w:sz w:val="22"/>
          <w:szCs w:val="22"/>
        </w:rPr>
        <w:t>“</w:t>
      </w:r>
      <w:r w:rsidRPr="00F30B23">
        <w:rPr>
          <w:rFonts w:ascii="Book Antiqua" w:hAnsi="Book Antiqua" w:cs="Arial"/>
          <w:b/>
          <w:sz w:val="22"/>
          <w:szCs w:val="22"/>
        </w:rPr>
        <w:t>REQUEST TO CONVERT ORAL HEARING TO PAPER HEARING</w:t>
      </w:r>
      <w:r>
        <w:rPr>
          <w:rFonts w:ascii="Book Antiqua" w:hAnsi="Book Antiqua" w:cs="Arial"/>
          <w:sz w:val="22"/>
          <w:szCs w:val="22"/>
        </w:rPr>
        <w:t xml:space="preserve"> </w:t>
      </w:r>
    </w:p>
    <w:p w14:paraId="663096FC" w14:textId="77777777" w:rsidR="001A19E2" w:rsidRDefault="001A19E2" w:rsidP="001A19E2">
      <w:pPr>
        <w:spacing w:before="240"/>
        <w:ind w:left="1134"/>
        <w:jc w:val="both"/>
        <w:rPr>
          <w:rFonts w:ascii="Book Antiqua" w:hAnsi="Book Antiqua" w:cs="Arial"/>
          <w:sz w:val="22"/>
          <w:szCs w:val="22"/>
        </w:rPr>
      </w:pPr>
      <w:r>
        <w:rPr>
          <w:rFonts w:ascii="Book Antiqua" w:hAnsi="Book Antiqua" w:cs="Arial"/>
          <w:sz w:val="22"/>
          <w:szCs w:val="22"/>
        </w:rPr>
        <w:t>We continue to act for the Appellant in the above Appeal.</w:t>
      </w:r>
    </w:p>
    <w:p w14:paraId="711D3B27" w14:textId="77777777" w:rsidR="001A19E2" w:rsidRDefault="00233CF3" w:rsidP="001A19E2">
      <w:pPr>
        <w:spacing w:before="240"/>
        <w:ind w:left="1134"/>
        <w:jc w:val="both"/>
        <w:rPr>
          <w:rFonts w:ascii="Book Antiqua" w:hAnsi="Book Antiqua" w:cs="Arial"/>
          <w:sz w:val="22"/>
          <w:szCs w:val="22"/>
        </w:rPr>
      </w:pPr>
      <w:r>
        <w:rPr>
          <w:rFonts w:ascii="Book Antiqua" w:hAnsi="Book Antiqua" w:cs="Arial"/>
          <w:sz w:val="22"/>
          <w:szCs w:val="22"/>
        </w:rPr>
        <w:t xml:space="preserve">The </w:t>
      </w:r>
      <w:r w:rsidR="001A19E2">
        <w:rPr>
          <w:rFonts w:ascii="Book Antiqua" w:hAnsi="Book Antiqua" w:cs="Arial"/>
          <w:sz w:val="22"/>
          <w:szCs w:val="22"/>
        </w:rPr>
        <w:t>Appellant has instructed us to make a request to the Tribunal on his behalf for a conversion of his oral immigration appeal to a paper hearing instead. The appeal was supposed to have been heard on Friday, 27 October 2017, but was later adjourned and to be heard at a future date which has not yet been communicated.</w:t>
      </w:r>
    </w:p>
    <w:p w14:paraId="09733FCE" w14:textId="77777777" w:rsidR="001A19E2" w:rsidRDefault="00233CF3" w:rsidP="001A19E2">
      <w:pPr>
        <w:spacing w:before="240"/>
        <w:ind w:left="1134"/>
        <w:jc w:val="both"/>
        <w:rPr>
          <w:rFonts w:ascii="Book Antiqua" w:hAnsi="Book Antiqua" w:cs="Arial"/>
          <w:sz w:val="22"/>
          <w:szCs w:val="22"/>
        </w:rPr>
      </w:pPr>
      <w:r>
        <w:rPr>
          <w:rFonts w:ascii="Book Antiqua" w:hAnsi="Book Antiqua" w:cs="Arial"/>
          <w:sz w:val="22"/>
          <w:szCs w:val="22"/>
        </w:rPr>
        <w:t xml:space="preserve">The </w:t>
      </w:r>
      <w:r w:rsidR="001A19E2">
        <w:rPr>
          <w:rFonts w:ascii="Book Antiqua" w:hAnsi="Book Antiqua" w:cs="Arial"/>
          <w:sz w:val="22"/>
          <w:szCs w:val="22"/>
        </w:rPr>
        <w:t>A</w:t>
      </w:r>
      <w:r w:rsidR="001A19E2" w:rsidRPr="0024546F">
        <w:rPr>
          <w:rFonts w:ascii="Book Antiqua" w:hAnsi="Book Antiqua" w:cs="Arial"/>
          <w:sz w:val="22"/>
          <w:szCs w:val="22"/>
        </w:rPr>
        <w:t xml:space="preserve">ppellant and </w:t>
      </w:r>
      <w:r w:rsidR="001A19E2">
        <w:rPr>
          <w:rFonts w:ascii="Book Antiqua" w:hAnsi="Book Antiqua" w:cs="Arial"/>
          <w:sz w:val="22"/>
          <w:szCs w:val="22"/>
        </w:rPr>
        <w:t>R</w:t>
      </w:r>
      <w:r w:rsidR="001A19E2" w:rsidRPr="0024546F">
        <w:rPr>
          <w:rFonts w:ascii="Book Antiqua" w:hAnsi="Book Antiqua" w:cs="Arial"/>
          <w:sz w:val="22"/>
          <w:szCs w:val="22"/>
        </w:rPr>
        <w:t xml:space="preserve">espondent’s </w:t>
      </w:r>
      <w:r w:rsidR="001A19E2">
        <w:rPr>
          <w:rFonts w:ascii="Book Antiqua" w:hAnsi="Book Antiqua" w:cs="Arial"/>
          <w:sz w:val="22"/>
          <w:szCs w:val="22"/>
        </w:rPr>
        <w:t>B</w:t>
      </w:r>
      <w:r w:rsidR="001A19E2" w:rsidRPr="0024546F">
        <w:rPr>
          <w:rFonts w:ascii="Book Antiqua" w:hAnsi="Book Antiqua" w:cs="Arial"/>
          <w:sz w:val="22"/>
          <w:szCs w:val="22"/>
        </w:rPr>
        <w:t>undles which included witness statements have already been filed and served</w:t>
      </w:r>
      <w:r w:rsidR="001A19E2">
        <w:rPr>
          <w:rFonts w:ascii="Book Antiqua" w:hAnsi="Book Antiqua" w:cs="Arial"/>
          <w:sz w:val="22"/>
          <w:szCs w:val="22"/>
        </w:rPr>
        <w:t>,</w:t>
      </w:r>
      <w:r w:rsidR="001A19E2" w:rsidRPr="0024546F">
        <w:rPr>
          <w:rFonts w:ascii="Book Antiqua" w:hAnsi="Book Antiqua" w:cs="Arial"/>
          <w:sz w:val="22"/>
          <w:szCs w:val="22"/>
        </w:rPr>
        <w:t xml:space="preserve"> as well as the </w:t>
      </w:r>
      <w:r w:rsidR="001A19E2">
        <w:rPr>
          <w:rFonts w:ascii="Book Antiqua" w:hAnsi="Book Antiqua" w:cs="Arial"/>
          <w:sz w:val="22"/>
          <w:szCs w:val="22"/>
        </w:rPr>
        <w:t>A</w:t>
      </w:r>
      <w:r w:rsidR="001A19E2" w:rsidRPr="0024546F">
        <w:rPr>
          <w:rFonts w:ascii="Book Antiqua" w:hAnsi="Book Antiqua" w:cs="Arial"/>
          <w:sz w:val="22"/>
          <w:szCs w:val="22"/>
        </w:rPr>
        <w:t xml:space="preserve">ppellant’s </w:t>
      </w:r>
      <w:r w:rsidR="001A19E2">
        <w:rPr>
          <w:rFonts w:ascii="Book Antiqua" w:hAnsi="Book Antiqua" w:cs="Arial"/>
          <w:sz w:val="22"/>
          <w:szCs w:val="22"/>
        </w:rPr>
        <w:t>R</w:t>
      </w:r>
      <w:r w:rsidR="001A19E2" w:rsidRPr="0024546F">
        <w:rPr>
          <w:rFonts w:ascii="Book Antiqua" w:hAnsi="Book Antiqua" w:cs="Arial"/>
          <w:sz w:val="22"/>
          <w:szCs w:val="22"/>
        </w:rPr>
        <w:t xml:space="preserve">epresentative’s skeleton argument.  </w:t>
      </w:r>
    </w:p>
    <w:p w14:paraId="25638666" w14:textId="77777777" w:rsidR="001A19E2" w:rsidRDefault="001A19E2" w:rsidP="001A19E2">
      <w:pPr>
        <w:spacing w:before="240"/>
        <w:ind w:left="1134"/>
        <w:jc w:val="both"/>
        <w:rPr>
          <w:rFonts w:ascii="Book Antiqua" w:hAnsi="Book Antiqua" w:cs="Arial"/>
          <w:sz w:val="22"/>
          <w:szCs w:val="22"/>
        </w:rPr>
      </w:pPr>
      <w:r w:rsidRPr="0024546F">
        <w:rPr>
          <w:rFonts w:ascii="Book Antiqua" w:hAnsi="Book Antiqua" w:cs="Arial"/>
          <w:sz w:val="22"/>
          <w:szCs w:val="22"/>
        </w:rPr>
        <w:t>W</w:t>
      </w:r>
      <w:r>
        <w:rPr>
          <w:rFonts w:ascii="Book Antiqua" w:hAnsi="Book Antiqua" w:cs="Arial"/>
          <w:sz w:val="22"/>
          <w:szCs w:val="22"/>
        </w:rPr>
        <w:t>e hope this request would be positively considered, while we await the judge’s response in due course.”</w:t>
      </w:r>
    </w:p>
    <w:p w14:paraId="7627B23F" w14:textId="77777777" w:rsidR="001A19E2" w:rsidRDefault="001A19E2" w:rsidP="00722936">
      <w:pPr>
        <w:spacing w:before="240"/>
        <w:ind w:left="567"/>
        <w:jc w:val="both"/>
        <w:rPr>
          <w:rFonts w:ascii="Book Antiqua" w:hAnsi="Book Antiqua" w:cs="Arial"/>
        </w:rPr>
      </w:pPr>
      <w:r>
        <w:rPr>
          <w:rFonts w:ascii="Book Antiqua" w:hAnsi="Book Antiqua" w:cs="Arial"/>
        </w:rPr>
        <w:t xml:space="preserve">That request was actioned and this file was considered solely on the documents filed.  The appellant cannot now be heard to say that any </w:t>
      </w:r>
      <w:r w:rsidR="00722936">
        <w:rPr>
          <w:rFonts w:ascii="Book Antiqua" w:hAnsi="Book Antiqua" w:cs="Arial"/>
        </w:rPr>
        <w:t>oral</w:t>
      </w:r>
      <w:r>
        <w:rPr>
          <w:rFonts w:ascii="Book Antiqua" w:hAnsi="Book Antiqua" w:cs="Arial"/>
        </w:rPr>
        <w:t xml:space="preserve"> evidence</w:t>
      </w:r>
      <w:r w:rsidR="00722936">
        <w:rPr>
          <w:rFonts w:ascii="Book Antiqua" w:hAnsi="Book Antiqua" w:cs="Arial"/>
        </w:rPr>
        <w:t xml:space="preserve"> or argument</w:t>
      </w:r>
      <w:r>
        <w:rPr>
          <w:rFonts w:ascii="Book Antiqua" w:hAnsi="Book Antiqua" w:cs="Arial"/>
        </w:rPr>
        <w:t xml:space="preserve"> which he might have advanced would have led to a different outcome.  Since the </w:t>
      </w:r>
      <w:r w:rsidR="005E420B">
        <w:rPr>
          <w:rFonts w:ascii="Book Antiqua" w:hAnsi="Book Antiqua" w:cs="Arial"/>
        </w:rPr>
        <w:t>appeal</w:t>
      </w:r>
      <w:r>
        <w:rPr>
          <w:rFonts w:ascii="Book Antiqua" w:hAnsi="Book Antiqua" w:cs="Arial"/>
        </w:rPr>
        <w:t xml:space="preserve"> was </w:t>
      </w:r>
      <w:r w:rsidR="005E420B">
        <w:rPr>
          <w:rFonts w:ascii="Book Antiqua" w:hAnsi="Book Antiqua" w:cs="Arial"/>
        </w:rPr>
        <w:t>considered</w:t>
      </w:r>
      <w:r>
        <w:rPr>
          <w:rFonts w:ascii="Book Antiqua" w:hAnsi="Book Antiqua" w:cs="Arial"/>
        </w:rPr>
        <w:t xml:space="preserve"> on the papers</w:t>
      </w:r>
      <w:r w:rsidR="005E420B">
        <w:rPr>
          <w:rFonts w:ascii="Book Antiqua" w:hAnsi="Book Antiqua" w:cs="Arial"/>
        </w:rPr>
        <w:t xml:space="preserve"> alone</w:t>
      </w:r>
      <w:r>
        <w:rPr>
          <w:rFonts w:ascii="Book Antiqua" w:hAnsi="Book Antiqua" w:cs="Arial"/>
        </w:rPr>
        <w:t xml:space="preserve">, I am </w:t>
      </w:r>
      <w:r w:rsidR="005E420B">
        <w:rPr>
          <w:rFonts w:ascii="Book Antiqua" w:hAnsi="Book Antiqua" w:cs="Arial"/>
        </w:rPr>
        <w:t xml:space="preserve">in the same position as the First-tier Tribunal and am </w:t>
      </w:r>
      <w:r>
        <w:rPr>
          <w:rFonts w:ascii="Book Antiqua" w:hAnsi="Book Antiqua" w:cs="Arial"/>
        </w:rPr>
        <w:t xml:space="preserve">able to consider whether, if the additional documents are taken into account, the outcome would be different. </w:t>
      </w:r>
    </w:p>
    <w:p w14:paraId="6BEE07C1" w14:textId="77777777" w:rsidR="001A19E2" w:rsidRPr="001A19E2" w:rsidRDefault="001A19E2" w:rsidP="001A19E2">
      <w:pPr>
        <w:spacing w:before="240"/>
        <w:jc w:val="both"/>
        <w:rPr>
          <w:rFonts w:ascii="Book Antiqua" w:hAnsi="Book Antiqua" w:cs="Arial"/>
          <w:b/>
        </w:rPr>
      </w:pPr>
      <w:r>
        <w:rPr>
          <w:rFonts w:ascii="Book Antiqua" w:hAnsi="Book Antiqua" w:cs="Arial"/>
          <w:b/>
        </w:rPr>
        <w:t xml:space="preserve">Permission to appeal </w:t>
      </w:r>
    </w:p>
    <w:p w14:paraId="25AC7478" w14:textId="77777777" w:rsidR="00CB78F9" w:rsidRDefault="00CB78F9" w:rsidP="00284307">
      <w:pPr>
        <w:numPr>
          <w:ilvl w:val="0"/>
          <w:numId w:val="3"/>
        </w:numPr>
        <w:spacing w:before="240"/>
        <w:jc w:val="both"/>
        <w:rPr>
          <w:rFonts w:ascii="Book Antiqua" w:hAnsi="Book Antiqua" w:cs="Arial"/>
        </w:rPr>
      </w:pPr>
      <w:r>
        <w:rPr>
          <w:rFonts w:ascii="Book Antiqua" w:hAnsi="Book Antiqua" w:cs="Arial"/>
        </w:rPr>
        <w:t xml:space="preserve">Permission to appeal was granted by First-tier Judge P J M Hollingworth on the basis that the First-tier Tribunal had arguably fallen into error in construing the scope, nature and quality of the meaning of </w:t>
      </w:r>
      <w:r w:rsidR="0085228A">
        <w:rPr>
          <w:rFonts w:ascii="Book Antiqua" w:hAnsi="Book Antiqua" w:cs="Arial"/>
        </w:rPr>
        <w:t>‘</w:t>
      </w:r>
      <w:r>
        <w:rPr>
          <w:rFonts w:ascii="Book Antiqua" w:hAnsi="Book Antiqua" w:cs="Arial"/>
        </w:rPr>
        <w:t>work</w:t>
      </w:r>
      <w:r w:rsidR="0085228A">
        <w:rPr>
          <w:rFonts w:ascii="Book Antiqua" w:hAnsi="Book Antiqua" w:cs="Arial"/>
        </w:rPr>
        <w:t>’</w:t>
      </w:r>
      <w:r>
        <w:rPr>
          <w:rFonts w:ascii="Book Antiqua" w:hAnsi="Book Antiqua" w:cs="Arial"/>
        </w:rPr>
        <w:t xml:space="preserve"> and the available evidence in relation to the receipt of income from the sponsor’s limited company C</w:t>
      </w:r>
      <w:r w:rsidR="00FD2FF2">
        <w:rPr>
          <w:rFonts w:ascii="Book Antiqua" w:hAnsi="Book Antiqua" w:cs="Arial"/>
        </w:rPr>
        <w:t>alcol</w:t>
      </w:r>
      <w:r>
        <w:rPr>
          <w:rFonts w:ascii="Book Antiqua" w:hAnsi="Book Antiqua" w:cs="Arial"/>
        </w:rPr>
        <w:t xml:space="preserve">, of which she was the sole director.  </w:t>
      </w:r>
    </w:p>
    <w:p w14:paraId="63FCF516" w14:textId="77777777" w:rsidR="00CB78F9" w:rsidRDefault="00CB78F9" w:rsidP="00284307">
      <w:pPr>
        <w:numPr>
          <w:ilvl w:val="0"/>
          <w:numId w:val="3"/>
        </w:numPr>
        <w:spacing w:before="240"/>
        <w:jc w:val="both"/>
        <w:rPr>
          <w:rFonts w:ascii="Book Antiqua" w:hAnsi="Book Antiqua" w:cs="Arial"/>
        </w:rPr>
      </w:pPr>
      <w:r>
        <w:rPr>
          <w:rFonts w:ascii="Book Antiqua" w:hAnsi="Book Antiqua" w:cs="Arial"/>
        </w:rPr>
        <w:t>There was a second</w:t>
      </w:r>
      <w:r w:rsidR="00AD12BA">
        <w:rPr>
          <w:rFonts w:ascii="Book Antiqua" w:hAnsi="Book Antiqua" w:cs="Arial"/>
        </w:rPr>
        <w:t xml:space="preserve"> arguable</w:t>
      </w:r>
      <w:r>
        <w:rPr>
          <w:rFonts w:ascii="Book Antiqua" w:hAnsi="Book Antiqua" w:cs="Arial"/>
        </w:rPr>
        <w:t xml:space="preserve"> error in that a revised skeleton argument and some water bills</w:t>
      </w:r>
      <w:r w:rsidR="00AD12BA">
        <w:rPr>
          <w:rFonts w:ascii="Book Antiqua" w:hAnsi="Book Antiqua" w:cs="Arial"/>
        </w:rPr>
        <w:t>,</w:t>
      </w:r>
      <w:r>
        <w:rPr>
          <w:rFonts w:ascii="Book Antiqua" w:hAnsi="Book Antiqua" w:cs="Arial"/>
        </w:rPr>
        <w:t xml:space="preserve"> sent to the First-tier Tribunal on </w:t>
      </w:r>
      <w:r w:rsidR="0085228A">
        <w:rPr>
          <w:rFonts w:ascii="Book Antiqua" w:hAnsi="Book Antiqua" w:cs="Arial"/>
        </w:rPr>
        <w:t>8</w:t>
      </w:r>
      <w:r>
        <w:rPr>
          <w:rFonts w:ascii="Book Antiqua" w:hAnsi="Book Antiqua" w:cs="Arial"/>
        </w:rPr>
        <w:t xml:space="preserve"> March</w:t>
      </w:r>
      <w:r w:rsidR="00AD12BA">
        <w:rPr>
          <w:rFonts w:ascii="Book Antiqua" w:hAnsi="Book Antiqua" w:cs="Arial"/>
        </w:rPr>
        <w:t xml:space="preserve"> 2018, were not taken into account.  They may not have been</w:t>
      </w:r>
      <w:r>
        <w:rPr>
          <w:rFonts w:ascii="Book Antiqua" w:hAnsi="Book Antiqua" w:cs="Arial"/>
        </w:rPr>
        <w:t xml:space="preserve"> before the First-tier Judge when he made his decision.  </w:t>
      </w:r>
      <w:r w:rsidR="00AD12BA">
        <w:rPr>
          <w:rFonts w:ascii="Book Antiqua" w:hAnsi="Book Antiqua" w:cs="Arial"/>
        </w:rPr>
        <w:t>However, a</w:t>
      </w:r>
      <w:r w:rsidR="0085228A">
        <w:rPr>
          <w:rFonts w:ascii="Book Antiqua" w:hAnsi="Book Antiqua" w:cs="Arial"/>
        </w:rPr>
        <w:t>pplying</w:t>
      </w:r>
      <w:r>
        <w:rPr>
          <w:rFonts w:ascii="Book Antiqua" w:hAnsi="Book Antiqua" w:cs="Arial"/>
        </w:rPr>
        <w:t xml:space="preserve"> </w:t>
      </w:r>
      <w:r w:rsidR="00381192">
        <w:rPr>
          <w:rFonts w:ascii="Book Antiqua" w:hAnsi="Book Antiqua" w:cs="Arial"/>
        </w:rPr>
        <w:t xml:space="preserve">the guidance of the Court of Appeal in </w:t>
      </w:r>
      <w:r w:rsidR="00381192" w:rsidRPr="00381192">
        <w:rPr>
          <w:rFonts w:ascii="Book Antiqua" w:hAnsi="Book Antiqua" w:cs="Arial"/>
          <w:i/>
        </w:rPr>
        <w:t>E v Secretary of State for Home Department</w:t>
      </w:r>
      <w:r w:rsidR="00381192" w:rsidRPr="00381192">
        <w:rPr>
          <w:rFonts w:ascii="Book Antiqua" w:hAnsi="Book Antiqua" w:cs="Arial"/>
        </w:rPr>
        <w:t xml:space="preserve"> [2004] EWCA Civ 49</w:t>
      </w:r>
      <w:r w:rsidR="00381192">
        <w:rPr>
          <w:rFonts w:ascii="Book Antiqua" w:hAnsi="Book Antiqua" w:cs="Arial"/>
        </w:rPr>
        <w:t xml:space="preserve"> (</w:t>
      </w:r>
      <w:r w:rsidRPr="00AD12BA">
        <w:rPr>
          <w:rFonts w:ascii="Book Antiqua" w:hAnsi="Book Antiqua" w:cs="Arial"/>
          <w:i/>
        </w:rPr>
        <w:t>E &amp;</w:t>
      </w:r>
      <w:r w:rsidR="00AD12BA">
        <w:rPr>
          <w:rFonts w:ascii="Book Antiqua" w:hAnsi="Book Antiqua" w:cs="Arial"/>
          <w:i/>
        </w:rPr>
        <w:t xml:space="preserve"> </w:t>
      </w:r>
      <w:r w:rsidRPr="00AD12BA">
        <w:rPr>
          <w:rFonts w:ascii="Book Antiqua" w:hAnsi="Book Antiqua" w:cs="Arial"/>
          <w:i/>
        </w:rPr>
        <w:t>R</w:t>
      </w:r>
      <w:r w:rsidR="00381192">
        <w:rPr>
          <w:rFonts w:ascii="Book Antiqua" w:hAnsi="Book Antiqua" w:cs="Arial"/>
        </w:rPr>
        <w:t>)</w:t>
      </w:r>
      <w:r w:rsidR="00AD12BA">
        <w:rPr>
          <w:rFonts w:ascii="Book Antiqua" w:hAnsi="Book Antiqua" w:cs="Arial"/>
          <w:i/>
        </w:rPr>
        <w:t>,</w:t>
      </w:r>
      <w:r>
        <w:rPr>
          <w:rFonts w:ascii="Book Antiqua" w:hAnsi="Book Antiqua" w:cs="Arial"/>
        </w:rPr>
        <w:t xml:space="preserve"> the First-tier Judge is taken to be on notice of anything which had arrived at the Hearing Centre even if </w:t>
      </w:r>
      <w:r w:rsidR="00AD12BA">
        <w:rPr>
          <w:rFonts w:ascii="Book Antiqua" w:hAnsi="Book Antiqua" w:cs="Arial"/>
        </w:rPr>
        <w:t>(</w:t>
      </w:r>
      <w:r>
        <w:rPr>
          <w:rFonts w:ascii="Book Antiqua" w:hAnsi="Book Antiqua" w:cs="Arial"/>
        </w:rPr>
        <w:t>as it seems probable</w:t>
      </w:r>
      <w:r w:rsidR="00AD12BA">
        <w:rPr>
          <w:rFonts w:ascii="Book Antiqua" w:hAnsi="Book Antiqua" w:cs="Arial"/>
        </w:rPr>
        <w:t>) the documents were</w:t>
      </w:r>
      <w:r>
        <w:rPr>
          <w:rFonts w:ascii="Book Antiqua" w:hAnsi="Book Antiqua" w:cs="Arial"/>
        </w:rPr>
        <w:t xml:space="preserve"> not linked to the file.  </w:t>
      </w:r>
    </w:p>
    <w:p w14:paraId="7A53307E" w14:textId="07B2A088" w:rsidR="001D076D" w:rsidRPr="001D076D" w:rsidRDefault="001D076D" w:rsidP="001D076D">
      <w:pPr>
        <w:spacing w:before="240"/>
        <w:jc w:val="both"/>
        <w:rPr>
          <w:rFonts w:ascii="Book Antiqua" w:hAnsi="Book Antiqua" w:cs="Arial"/>
          <w:b/>
        </w:rPr>
      </w:pPr>
      <w:r>
        <w:rPr>
          <w:rFonts w:ascii="Book Antiqua" w:hAnsi="Book Antiqua" w:cs="Arial"/>
          <w:b/>
        </w:rPr>
        <w:t>Upper Tribunal hearing</w:t>
      </w:r>
      <w:r w:rsidR="00FD35F4">
        <w:rPr>
          <w:rFonts w:ascii="Book Antiqua" w:hAnsi="Book Antiqua" w:cs="Arial"/>
          <w:b/>
        </w:rPr>
        <w:t xml:space="preserve"> </w:t>
      </w:r>
      <w:bookmarkStart w:id="1" w:name="_GoBack"/>
      <w:bookmarkEnd w:id="1"/>
    </w:p>
    <w:p w14:paraId="64785A5E" w14:textId="77777777" w:rsidR="001D076D" w:rsidRDefault="001D076D" w:rsidP="00284307">
      <w:pPr>
        <w:numPr>
          <w:ilvl w:val="0"/>
          <w:numId w:val="3"/>
        </w:numPr>
        <w:spacing w:before="240"/>
        <w:jc w:val="both"/>
        <w:rPr>
          <w:rFonts w:ascii="Book Antiqua" w:hAnsi="Book Antiqua" w:cs="Arial"/>
        </w:rPr>
      </w:pPr>
      <w:r>
        <w:rPr>
          <w:rFonts w:ascii="Book Antiqua" w:hAnsi="Book Antiqua" w:cs="Arial"/>
        </w:rPr>
        <w:t xml:space="preserve">There </w:t>
      </w:r>
      <w:r w:rsidR="00205C4B">
        <w:rPr>
          <w:rFonts w:ascii="Book Antiqua" w:hAnsi="Book Antiqua" w:cs="Arial"/>
        </w:rPr>
        <w:t>are</w:t>
      </w:r>
      <w:r>
        <w:rPr>
          <w:rFonts w:ascii="Book Antiqua" w:hAnsi="Book Antiqua" w:cs="Arial"/>
        </w:rPr>
        <w:t xml:space="preserve"> two issues before the Upper Tribunal</w:t>
      </w:r>
      <w:r w:rsidR="007D685C">
        <w:rPr>
          <w:rFonts w:ascii="Book Antiqua" w:hAnsi="Book Antiqua" w:cs="Arial"/>
        </w:rPr>
        <w:t xml:space="preserve">: the first is whether at the material times (the sponsor when the divorce proceedings were issued, and the appellant when </w:t>
      </w:r>
      <w:r w:rsidR="007D685C">
        <w:rPr>
          <w:rFonts w:ascii="Book Antiqua" w:hAnsi="Book Antiqua" w:cs="Arial"/>
        </w:rPr>
        <w:lastRenderedPageBreak/>
        <w:t xml:space="preserve">the application for </w:t>
      </w:r>
      <w:r w:rsidR="00F668E5">
        <w:rPr>
          <w:rFonts w:ascii="Book Antiqua" w:hAnsi="Book Antiqua" w:cs="Arial"/>
        </w:rPr>
        <w:t>retained rights was made), each of them was a ‘worker’ under the EEA Regulations. The second question is whether the parties can show cohabitation in the United Kingdom during the marriage for a period of at least a year.</w:t>
      </w:r>
    </w:p>
    <w:p w14:paraId="782FA714" w14:textId="77777777" w:rsidR="00F668E5" w:rsidRDefault="00F668E5" w:rsidP="00284307">
      <w:pPr>
        <w:numPr>
          <w:ilvl w:val="0"/>
          <w:numId w:val="3"/>
        </w:numPr>
        <w:spacing w:before="240"/>
        <w:jc w:val="both"/>
        <w:rPr>
          <w:rFonts w:ascii="Book Antiqua" w:hAnsi="Book Antiqua" w:cs="Arial"/>
        </w:rPr>
      </w:pPr>
      <w:r>
        <w:rPr>
          <w:rFonts w:ascii="Book Antiqua" w:hAnsi="Book Antiqua" w:cs="Arial"/>
        </w:rPr>
        <w:t xml:space="preserve">On the evidence considered by the First-tier Judge, neither of these </w:t>
      </w:r>
      <w:r w:rsidR="00205C4B">
        <w:rPr>
          <w:rFonts w:ascii="Book Antiqua" w:hAnsi="Book Antiqua" w:cs="Arial"/>
        </w:rPr>
        <w:t xml:space="preserve">questions was answered in the affirmative.  Both must be answered in the affirmative with the help of the additional documents, before this appeal can succeed.  </w:t>
      </w:r>
    </w:p>
    <w:p w14:paraId="5729AFC9" w14:textId="77777777" w:rsidR="008F5153" w:rsidRPr="008F5153" w:rsidRDefault="00D42473" w:rsidP="008F5153">
      <w:pPr>
        <w:spacing w:before="240"/>
        <w:jc w:val="both"/>
        <w:rPr>
          <w:rFonts w:ascii="Book Antiqua" w:hAnsi="Book Antiqua" w:cs="Arial"/>
          <w:b/>
        </w:rPr>
      </w:pPr>
      <w:r>
        <w:rPr>
          <w:rFonts w:ascii="Book Antiqua" w:hAnsi="Book Antiqua" w:cs="Arial"/>
          <w:b/>
        </w:rPr>
        <w:t xml:space="preserve">The “worker” issue </w:t>
      </w:r>
    </w:p>
    <w:p w14:paraId="7549A63B" w14:textId="77777777" w:rsidR="00C815CF" w:rsidRDefault="00AD12BA" w:rsidP="00AD12BA">
      <w:pPr>
        <w:numPr>
          <w:ilvl w:val="0"/>
          <w:numId w:val="3"/>
        </w:numPr>
        <w:spacing w:before="240"/>
        <w:jc w:val="both"/>
        <w:rPr>
          <w:rFonts w:ascii="Book Antiqua" w:hAnsi="Book Antiqua" w:cs="Arial"/>
        </w:rPr>
      </w:pPr>
      <w:r>
        <w:rPr>
          <w:rFonts w:ascii="Book Antiqua" w:hAnsi="Book Antiqua" w:cs="Arial"/>
        </w:rPr>
        <w:t xml:space="preserve">Applying </w:t>
      </w:r>
      <w:proofErr w:type="spellStart"/>
      <w:r w:rsidRPr="00FD2FF2">
        <w:rPr>
          <w:rFonts w:ascii="Book Antiqua" w:hAnsi="Book Antiqua" w:cs="Arial"/>
          <w:i/>
        </w:rPr>
        <w:t>Baigazieva</w:t>
      </w:r>
      <w:proofErr w:type="spellEnd"/>
      <w:r w:rsidRPr="00FD2FF2">
        <w:rPr>
          <w:rFonts w:ascii="Book Antiqua" w:hAnsi="Book Antiqua" w:cs="Arial"/>
          <w:i/>
        </w:rPr>
        <w:t xml:space="preserve"> v the Secretary of State for the Home Department</w:t>
      </w:r>
      <w:r>
        <w:rPr>
          <w:rFonts w:ascii="Book Antiqua" w:hAnsi="Book Antiqua" w:cs="Arial"/>
        </w:rPr>
        <w:t xml:space="preserve"> [2018] EWCA Civ 1088</w:t>
      </w:r>
      <w:r w:rsidR="001720DC">
        <w:rPr>
          <w:rFonts w:ascii="Book Antiqua" w:hAnsi="Book Antiqua" w:cs="Arial"/>
        </w:rPr>
        <w:t xml:space="preserve">, </w:t>
      </w:r>
      <w:r>
        <w:rPr>
          <w:rFonts w:ascii="Book Antiqua" w:hAnsi="Book Antiqua" w:cs="Arial"/>
        </w:rPr>
        <w:t xml:space="preserve">the correct date for the assessment of whether the sponsor was a worker for EEA purposes was the date of issue of the divorce proceedings, 6 May 2015.  </w:t>
      </w:r>
      <w:r w:rsidR="00C815CF">
        <w:rPr>
          <w:rFonts w:ascii="Book Antiqua" w:hAnsi="Book Antiqua" w:cs="Arial"/>
        </w:rPr>
        <w:t xml:space="preserve">The First-tier Tribunal did not have the benefit of </w:t>
      </w:r>
      <w:r w:rsidR="00C815CF">
        <w:rPr>
          <w:rFonts w:ascii="Book Antiqua" w:hAnsi="Book Antiqua" w:cs="Arial"/>
          <w:i/>
        </w:rPr>
        <w:t xml:space="preserve">Baigazieva </w:t>
      </w:r>
      <w:r w:rsidR="00C815CF">
        <w:rPr>
          <w:rFonts w:ascii="Book Antiqua" w:hAnsi="Book Antiqua" w:cs="Arial"/>
        </w:rPr>
        <w:t>when reaching its decision</w:t>
      </w:r>
      <w:r w:rsidR="008E2F9F">
        <w:rPr>
          <w:rFonts w:ascii="Book Antiqua" w:hAnsi="Book Antiqua" w:cs="Arial"/>
        </w:rPr>
        <w:t xml:space="preserve"> and so focused, erroneously, on the date of decree absolute</w:t>
      </w:r>
      <w:r w:rsidR="00C815CF">
        <w:rPr>
          <w:rFonts w:ascii="Book Antiqua" w:hAnsi="Book Antiqua" w:cs="Arial"/>
        </w:rPr>
        <w:t xml:space="preserve">.  </w:t>
      </w:r>
    </w:p>
    <w:p w14:paraId="257B1B13" w14:textId="77777777" w:rsidR="00D42473" w:rsidRDefault="00CD33F1" w:rsidP="00284307">
      <w:pPr>
        <w:numPr>
          <w:ilvl w:val="0"/>
          <w:numId w:val="3"/>
        </w:numPr>
        <w:spacing w:before="240"/>
        <w:jc w:val="both"/>
        <w:rPr>
          <w:rFonts w:ascii="Book Antiqua" w:hAnsi="Book Antiqua" w:cs="Arial"/>
        </w:rPr>
      </w:pPr>
      <w:r w:rsidRPr="00941ED7">
        <w:rPr>
          <w:rFonts w:ascii="Book Antiqua" w:hAnsi="Book Antiqua" w:cs="Arial"/>
        </w:rPr>
        <w:t xml:space="preserve">In the bundle </w:t>
      </w:r>
      <w:r w:rsidR="008F5153" w:rsidRPr="00941ED7">
        <w:rPr>
          <w:rFonts w:ascii="Book Antiqua" w:hAnsi="Book Antiqua" w:cs="Arial"/>
        </w:rPr>
        <w:t>which the Judge did not take into account</w:t>
      </w:r>
      <w:r w:rsidRPr="00941ED7">
        <w:rPr>
          <w:rFonts w:ascii="Book Antiqua" w:hAnsi="Book Antiqua" w:cs="Arial"/>
        </w:rPr>
        <w:t>, there</w:t>
      </w:r>
      <w:r w:rsidR="00C815CF" w:rsidRPr="00941ED7">
        <w:rPr>
          <w:rFonts w:ascii="Book Antiqua" w:hAnsi="Book Antiqua" w:cs="Arial"/>
        </w:rPr>
        <w:t xml:space="preserve"> is evidence from Companies House demonstrating that the sponsor’s cleaning company Calcol Limited (Calcol) was set up on 29 June 2011, filed its last return on 28 May 2015 and was dissolved on 15 November 2016, that the sponsor was the sole director and the company’s registered office was the address at which the parties are said to have been living.  The Judge’s decision set out financial transfers to the sponsor from Calcol: there is a transfer on 12 May 2015.</w:t>
      </w:r>
      <w:r w:rsidRPr="00941ED7">
        <w:rPr>
          <w:rFonts w:ascii="Book Antiqua" w:hAnsi="Book Antiqua" w:cs="Arial"/>
        </w:rPr>
        <w:t xml:space="preserve">  That</w:t>
      </w:r>
      <w:r w:rsidR="00AD12BA" w:rsidRPr="00941ED7">
        <w:rPr>
          <w:rFonts w:ascii="Book Antiqua" w:hAnsi="Book Antiqua" w:cs="Arial"/>
        </w:rPr>
        <w:t xml:space="preserve"> was arguably sufficient material to indicate that </w:t>
      </w:r>
      <w:r w:rsidR="00941ED7" w:rsidRPr="00941ED7">
        <w:rPr>
          <w:rFonts w:ascii="Book Antiqua" w:hAnsi="Book Antiqua" w:cs="Arial"/>
        </w:rPr>
        <w:t xml:space="preserve">on 6 May 2015, the sponsor was a ‘worker’ because </w:t>
      </w:r>
      <w:r w:rsidR="00AD12BA" w:rsidRPr="00941ED7">
        <w:rPr>
          <w:rFonts w:ascii="Book Antiqua" w:hAnsi="Book Antiqua" w:cs="Arial"/>
        </w:rPr>
        <w:t>she was running her cleaning company on that date.</w:t>
      </w:r>
      <w:r w:rsidR="00941ED7">
        <w:rPr>
          <w:rFonts w:ascii="Book Antiqua" w:hAnsi="Book Antiqua" w:cs="Arial"/>
        </w:rPr>
        <w:t xml:space="preserve">  </w:t>
      </w:r>
    </w:p>
    <w:p w14:paraId="7ECA6245" w14:textId="77777777" w:rsidR="0097755E" w:rsidRDefault="00453030" w:rsidP="00284307">
      <w:pPr>
        <w:numPr>
          <w:ilvl w:val="0"/>
          <w:numId w:val="3"/>
        </w:numPr>
        <w:spacing w:before="240"/>
        <w:jc w:val="both"/>
        <w:rPr>
          <w:rFonts w:ascii="Book Antiqua" w:hAnsi="Book Antiqua" w:cs="Arial"/>
        </w:rPr>
      </w:pPr>
      <w:r w:rsidRPr="00941ED7">
        <w:rPr>
          <w:rFonts w:ascii="Book Antiqua" w:hAnsi="Book Antiqua" w:cs="Arial"/>
        </w:rPr>
        <w:t>The</w:t>
      </w:r>
      <w:r w:rsidR="00CD33F1" w:rsidRPr="00941ED7">
        <w:rPr>
          <w:rFonts w:ascii="Book Antiqua" w:hAnsi="Book Antiqua" w:cs="Arial"/>
        </w:rPr>
        <w:t xml:space="preserve"> appellant </w:t>
      </w:r>
      <w:r w:rsidR="00D42473">
        <w:rPr>
          <w:rFonts w:ascii="Book Antiqua" w:hAnsi="Book Antiqua" w:cs="Arial"/>
        </w:rPr>
        <w:t>was</w:t>
      </w:r>
      <w:r w:rsidR="00941ED7">
        <w:rPr>
          <w:rFonts w:ascii="Book Antiqua" w:hAnsi="Book Antiqua" w:cs="Arial"/>
        </w:rPr>
        <w:t xml:space="preserve"> </w:t>
      </w:r>
      <w:r w:rsidR="00813FB9">
        <w:rPr>
          <w:rFonts w:ascii="Book Antiqua" w:hAnsi="Book Antiqua" w:cs="Arial"/>
        </w:rPr>
        <w:t>required</w:t>
      </w:r>
      <w:r w:rsidR="00CD33F1" w:rsidRPr="00941ED7">
        <w:rPr>
          <w:rFonts w:ascii="Book Antiqua" w:hAnsi="Book Antiqua" w:cs="Arial"/>
        </w:rPr>
        <w:t xml:space="preserve"> </w:t>
      </w:r>
      <w:r w:rsidR="004648B9">
        <w:rPr>
          <w:rFonts w:ascii="Book Antiqua" w:hAnsi="Book Antiqua" w:cs="Arial"/>
        </w:rPr>
        <w:t xml:space="preserve">under Regulation 10(6) </w:t>
      </w:r>
      <w:r w:rsidR="00CD33F1" w:rsidRPr="00941ED7">
        <w:rPr>
          <w:rFonts w:ascii="Book Antiqua" w:hAnsi="Book Antiqua" w:cs="Arial"/>
        </w:rPr>
        <w:t xml:space="preserve">to show that he was </w:t>
      </w:r>
      <w:r w:rsidR="004F2E2E" w:rsidRPr="00941ED7">
        <w:rPr>
          <w:rFonts w:ascii="Book Antiqua" w:hAnsi="Book Antiqua" w:cs="Arial"/>
        </w:rPr>
        <w:t>a worker for the period between the end of the marriage (6 May 2015) and the application under Regulation 10(5</w:t>
      </w:r>
      <w:r w:rsidR="00416DDC" w:rsidRPr="00941ED7">
        <w:rPr>
          <w:rFonts w:ascii="Book Antiqua" w:hAnsi="Book Antiqua" w:cs="Arial"/>
        </w:rPr>
        <w:t>) (see</w:t>
      </w:r>
      <w:r w:rsidR="0097755E" w:rsidRPr="00941ED7">
        <w:rPr>
          <w:rFonts w:ascii="Book Antiqua" w:hAnsi="Book Antiqua" w:cs="Arial"/>
        </w:rPr>
        <w:t xml:space="preserve"> </w:t>
      </w:r>
      <w:proofErr w:type="spellStart"/>
      <w:r w:rsidR="0097755E" w:rsidRPr="00941ED7">
        <w:rPr>
          <w:rFonts w:ascii="Book Antiqua" w:hAnsi="Book Antiqua" w:cs="Arial"/>
          <w:i/>
        </w:rPr>
        <w:t>Guaswami</w:t>
      </w:r>
      <w:proofErr w:type="spellEnd"/>
      <w:r w:rsidR="00EC74CF" w:rsidRPr="00941ED7">
        <w:rPr>
          <w:rFonts w:ascii="Book Antiqua" w:hAnsi="Book Antiqua" w:cs="Arial"/>
          <w:i/>
        </w:rPr>
        <w:t>`</w:t>
      </w:r>
      <w:r w:rsidR="0097755E" w:rsidRPr="00941ED7">
        <w:rPr>
          <w:rFonts w:ascii="Book Antiqua" w:hAnsi="Book Antiqua" w:cs="Arial"/>
          <w:i/>
        </w:rPr>
        <w:t xml:space="preserve"> </w:t>
      </w:r>
      <w:r w:rsidR="0097755E" w:rsidRPr="00941ED7">
        <w:rPr>
          <w:rFonts w:ascii="Book Antiqua" w:hAnsi="Book Antiqua" w:cs="Arial"/>
        </w:rPr>
        <w:t>(Retained rights of residence: Jobseekers</w:t>
      </w:r>
      <w:r w:rsidR="00416DDC" w:rsidRPr="00941ED7">
        <w:rPr>
          <w:rFonts w:ascii="Book Antiqua" w:hAnsi="Book Antiqua" w:cs="Arial"/>
        </w:rPr>
        <w:t>)</w:t>
      </w:r>
      <w:r w:rsidR="0097755E" w:rsidRPr="00941ED7">
        <w:rPr>
          <w:rFonts w:ascii="Book Antiqua" w:hAnsi="Book Antiqua" w:cs="Arial"/>
        </w:rPr>
        <w:t xml:space="preserve"> India [2018] UKUT 275 at </w:t>
      </w:r>
      <w:r w:rsidR="00416DDC" w:rsidRPr="00941ED7">
        <w:rPr>
          <w:rFonts w:ascii="Book Antiqua" w:hAnsi="Book Antiqua" w:cs="Arial"/>
        </w:rPr>
        <w:t>[</w:t>
      </w:r>
      <w:r w:rsidR="0097755E" w:rsidRPr="00941ED7">
        <w:rPr>
          <w:rFonts w:ascii="Book Antiqua" w:hAnsi="Book Antiqua" w:cs="Arial"/>
        </w:rPr>
        <w:t>30</w:t>
      </w:r>
      <w:r w:rsidR="00416DDC" w:rsidRPr="00941ED7">
        <w:rPr>
          <w:rFonts w:ascii="Book Antiqua" w:hAnsi="Book Antiqua" w:cs="Arial"/>
        </w:rPr>
        <w:t>]</w:t>
      </w:r>
      <w:r w:rsidR="0097755E" w:rsidRPr="00941ED7">
        <w:rPr>
          <w:rFonts w:ascii="Book Antiqua" w:hAnsi="Book Antiqua" w:cs="Arial"/>
        </w:rPr>
        <w:t xml:space="preserve"> to </w:t>
      </w:r>
      <w:r w:rsidR="00416DDC" w:rsidRPr="00941ED7">
        <w:rPr>
          <w:rFonts w:ascii="Book Antiqua" w:hAnsi="Book Antiqua" w:cs="Arial"/>
        </w:rPr>
        <w:t>[</w:t>
      </w:r>
      <w:r w:rsidR="0097755E" w:rsidRPr="00941ED7">
        <w:rPr>
          <w:rFonts w:ascii="Book Antiqua" w:hAnsi="Book Antiqua" w:cs="Arial"/>
        </w:rPr>
        <w:t>35</w:t>
      </w:r>
      <w:r w:rsidR="00416DDC" w:rsidRPr="00941ED7">
        <w:rPr>
          <w:rFonts w:ascii="Book Antiqua" w:hAnsi="Book Antiqua" w:cs="Arial"/>
        </w:rPr>
        <w:t>])</w:t>
      </w:r>
      <w:r w:rsidR="0097755E" w:rsidRPr="00941ED7">
        <w:rPr>
          <w:rFonts w:ascii="Book Antiqua" w:hAnsi="Book Antiqua" w:cs="Arial"/>
        </w:rPr>
        <w:t>.</w:t>
      </w:r>
      <w:r w:rsidR="00B64945">
        <w:rPr>
          <w:rFonts w:ascii="Book Antiqua" w:hAnsi="Book Antiqua" w:cs="Arial"/>
        </w:rPr>
        <w:t xml:space="preserve">  This </w:t>
      </w:r>
      <w:r w:rsidR="004648B9">
        <w:rPr>
          <w:rFonts w:ascii="Book Antiqua" w:hAnsi="Book Antiqua" w:cs="Arial"/>
        </w:rPr>
        <w:t>was accepted as proved in the refusal letter and is not in issue before me.</w:t>
      </w:r>
    </w:p>
    <w:p w14:paraId="3528DE03" w14:textId="77777777" w:rsidR="00722936" w:rsidRPr="00722936" w:rsidRDefault="004648B9" w:rsidP="00722936">
      <w:pPr>
        <w:spacing w:before="240"/>
        <w:jc w:val="both"/>
        <w:rPr>
          <w:rFonts w:ascii="Book Antiqua" w:hAnsi="Book Antiqua" w:cs="Arial"/>
          <w:b/>
        </w:rPr>
      </w:pPr>
      <w:r>
        <w:rPr>
          <w:rFonts w:ascii="Book Antiqua" w:hAnsi="Book Antiqua" w:cs="Arial"/>
          <w:b/>
        </w:rPr>
        <w:t xml:space="preserve">The 1-year cohabitation issue </w:t>
      </w:r>
    </w:p>
    <w:p w14:paraId="7BD9F71F" w14:textId="77777777" w:rsidR="002908D3" w:rsidRPr="007749A2" w:rsidRDefault="003F674A" w:rsidP="002908D3">
      <w:pPr>
        <w:numPr>
          <w:ilvl w:val="0"/>
          <w:numId w:val="3"/>
        </w:numPr>
        <w:tabs>
          <w:tab w:val="clear" w:pos="567"/>
        </w:tabs>
        <w:spacing w:before="240"/>
        <w:jc w:val="both"/>
        <w:rPr>
          <w:rFonts w:ascii="Book Antiqua" w:hAnsi="Book Antiqua" w:cs="Arial"/>
          <w:sz w:val="22"/>
          <w:szCs w:val="22"/>
        </w:rPr>
      </w:pPr>
      <w:r w:rsidRPr="007749A2">
        <w:rPr>
          <w:rFonts w:ascii="Book Antiqua" w:hAnsi="Book Antiqua" w:cs="Arial"/>
        </w:rPr>
        <w:t xml:space="preserve">The remaining problem is whether the evidence which was before the judge was sufficient to show that the sponsor and the appellant had lived together in the United Kingdom for one year during the course of their marriage.  </w:t>
      </w:r>
      <w:r w:rsidR="002908D3">
        <w:rPr>
          <w:rFonts w:ascii="Book Antiqua" w:hAnsi="Book Antiqua" w:cs="Arial"/>
        </w:rPr>
        <w:t xml:space="preserve"> </w:t>
      </w:r>
      <w:r w:rsidR="002908D3" w:rsidRPr="007749A2">
        <w:rPr>
          <w:rFonts w:ascii="Book Antiqua" w:hAnsi="Book Antiqua" w:cs="Arial"/>
        </w:rPr>
        <w:t xml:space="preserve">The appellant’s witness statement </w:t>
      </w:r>
      <w:r w:rsidR="002908D3">
        <w:rPr>
          <w:rFonts w:ascii="Book Antiqua" w:hAnsi="Book Antiqua" w:cs="Arial"/>
        </w:rPr>
        <w:t xml:space="preserve">(the only evidence from him on the point) </w:t>
      </w:r>
      <w:r w:rsidR="002908D3" w:rsidRPr="007749A2">
        <w:rPr>
          <w:rFonts w:ascii="Book Antiqua" w:hAnsi="Book Antiqua" w:cs="Arial"/>
        </w:rPr>
        <w:t>said this:</w:t>
      </w:r>
    </w:p>
    <w:p w14:paraId="73EA5EE3" w14:textId="77777777" w:rsidR="002908D3" w:rsidRPr="00FC66A8" w:rsidRDefault="002908D3" w:rsidP="002908D3">
      <w:pPr>
        <w:spacing w:before="240"/>
        <w:ind w:left="1134"/>
        <w:jc w:val="both"/>
        <w:rPr>
          <w:rFonts w:ascii="Book Antiqua" w:hAnsi="Book Antiqua" w:cs="Arial"/>
          <w:sz w:val="22"/>
          <w:szCs w:val="22"/>
        </w:rPr>
      </w:pPr>
      <w:r w:rsidRPr="00FC66A8">
        <w:rPr>
          <w:rFonts w:ascii="Book Antiqua" w:hAnsi="Book Antiqua" w:cs="Arial"/>
          <w:sz w:val="22"/>
          <w:szCs w:val="22"/>
        </w:rPr>
        <w:t xml:space="preserve">“We got married in Senegal on </w:t>
      </w:r>
      <w:r>
        <w:rPr>
          <w:rFonts w:ascii="Book Antiqua" w:hAnsi="Book Antiqua" w:cs="Arial"/>
          <w:sz w:val="22"/>
          <w:szCs w:val="22"/>
        </w:rPr>
        <w:t>9</w:t>
      </w:r>
      <w:r w:rsidRPr="00FC66A8">
        <w:rPr>
          <w:rFonts w:ascii="Book Antiqua" w:hAnsi="Book Antiqua" w:cs="Arial"/>
          <w:sz w:val="22"/>
          <w:szCs w:val="22"/>
        </w:rPr>
        <w:t xml:space="preserve"> October 1999 and returned to the UK after the wedding.  </w:t>
      </w:r>
    </w:p>
    <w:p w14:paraId="014729C6" w14:textId="77777777" w:rsidR="002908D3" w:rsidRPr="00FC66A8" w:rsidRDefault="002908D3" w:rsidP="002908D3">
      <w:pPr>
        <w:spacing w:before="240"/>
        <w:ind w:left="1134"/>
        <w:jc w:val="both"/>
        <w:rPr>
          <w:rFonts w:ascii="Book Antiqua" w:hAnsi="Book Antiqua" w:cs="Arial"/>
          <w:sz w:val="22"/>
          <w:szCs w:val="22"/>
        </w:rPr>
      </w:pPr>
      <w:r w:rsidRPr="00FC66A8">
        <w:rPr>
          <w:rFonts w:ascii="Book Antiqua" w:hAnsi="Book Antiqua" w:cs="Arial"/>
          <w:sz w:val="22"/>
          <w:szCs w:val="22"/>
        </w:rPr>
        <w:t>However</w:t>
      </w:r>
      <w:r>
        <w:rPr>
          <w:rFonts w:ascii="Book Antiqua" w:hAnsi="Book Antiqua" w:cs="Arial"/>
          <w:sz w:val="22"/>
          <w:szCs w:val="22"/>
        </w:rPr>
        <w:t>, our relationship developed problems and put more strain in our marriage and I subsequently decided to remain in the UK.  But I would say that I was living off and on in the relationship, we eventually reconciled at the intervention of friends and family.”</w:t>
      </w:r>
    </w:p>
    <w:p w14:paraId="221A356C" w14:textId="77777777" w:rsidR="002908D3" w:rsidRDefault="002908D3" w:rsidP="002908D3">
      <w:pPr>
        <w:spacing w:before="240"/>
        <w:ind w:left="567"/>
        <w:jc w:val="both"/>
        <w:rPr>
          <w:rFonts w:ascii="Book Antiqua" w:hAnsi="Book Antiqua" w:cs="Arial"/>
        </w:rPr>
      </w:pPr>
      <w:r w:rsidRPr="00FC66A8">
        <w:rPr>
          <w:rFonts w:ascii="Book Antiqua" w:hAnsi="Book Antiqua" w:cs="Arial"/>
        </w:rPr>
        <w:t xml:space="preserve">There is nothing beyond the appellant’s bare assertion to confirm that the sponsor spent any time in the </w:t>
      </w:r>
      <w:r w:rsidR="00571BC3">
        <w:rPr>
          <w:rFonts w:ascii="Book Antiqua" w:hAnsi="Book Antiqua" w:cs="Arial"/>
        </w:rPr>
        <w:t>United Kingdom</w:t>
      </w:r>
      <w:r w:rsidRPr="00FC66A8">
        <w:rPr>
          <w:rFonts w:ascii="Book Antiqua" w:hAnsi="Book Antiqua" w:cs="Arial"/>
        </w:rPr>
        <w:t xml:space="preserve"> in that early part of their marriage.  </w:t>
      </w:r>
    </w:p>
    <w:p w14:paraId="62803551" w14:textId="77777777" w:rsidR="00CF3661" w:rsidRDefault="00B64841" w:rsidP="00B64841">
      <w:pPr>
        <w:numPr>
          <w:ilvl w:val="0"/>
          <w:numId w:val="3"/>
        </w:numPr>
        <w:tabs>
          <w:tab w:val="clear" w:pos="567"/>
        </w:tabs>
        <w:spacing w:before="240"/>
        <w:jc w:val="both"/>
        <w:rPr>
          <w:rFonts w:ascii="Book Antiqua" w:hAnsi="Book Antiqua" w:cs="Arial"/>
        </w:rPr>
      </w:pPr>
      <w:r w:rsidRPr="00FC66A8">
        <w:rPr>
          <w:rFonts w:ascii="Book Antiqua" w:hAnsi="Book Antiqua" w:cs="Arial"/>
        </w:rPr>
        <w:t>In 2008</w:t>
      </w:r>
      <w:r>
        <w:rPr>
          <w:rFonts w:ascii="Book Antiqua" w:hAnsi="Book Antiqua" w:cs="Arial"/>
        </w:rPr>
        <w:t>,</w:t>
      </w:r>
      <w:r w:rsidRPr="00FC66A8">
        <w:rPr>
          <w:rFonts w:ascii="Book Antiqua" w:hAnsi="Book Antiqua" w:cs="Arial"/>
        </w:rPr>
        <w:t xml:space="preserve"> the appellant applied for a residence card</w:t>
      </w:r>
      <w:r>
        <w:rPr>
          <w:rFonts w:ascii="Book Antiqua" w:hAnsi="Book Antiqua" w:cs="Arial"/>
        </w:rPr>
        <w:t>, but</w:t>
      </w:r>
      <w:r w:rsidRPr="00FC66A8">
        <w:rPr>
          <w:rFonts w:ascii="Book Antiqua" w:hAnsi="Book Antiqua" w:cs="Arial"/>
        </w:rPr>
        <w:t xml:space="preserve"> as a dependant of somebody different.  The appellant asserts that on 1</w:t>
      </w:r>
      <w:r>
        <w:rPr>
          <w:rFonts w:ascii="Book Antiqua" w:hAnsi="Book Antiqua" w:cs="Arial"/>
        </w:rPr>
        <w:t>3</w:t>
      </w:r>
      <w:r w:rsidRPr="00FC66A8">
        <w:rPr>
          <w:rFonts w:ascii="Book Antiqua" w:hAnsi="Book Antiqua" w:cs="Arial"/>
        </w:rPr>
        <w:t xml:space="preserve"> September 2010 the relationship “came back </w:t>
      </w:r>
      <w:r w:rsidRPr="00FC66A8">
        <w:rPr>
          <w:rFonts w:ascii="Book Antiqua" w:hAnsi="Book Antiqua" w:cs="Arial"/>
        </w:rPr>
        <w:lastRenderedPageBreak/>
        <w:t xml:space="preserve">stronger than before” and an EEA residence card application was </w:t>
      </w:r>
      <w:r>
        <w:rPr>
          <w:rFonts w:ascii="Book Antiqua" w:hAnsi="Book Antiqua" w:cs="Arial"/>
        </w:rPr>
        <w:t>granted,</w:t>
      </w:r>
      <w:r w:rsidRPr="00FC66A8">
        <w:rPr>
          <w:rFonts w:ascii="Book Antiqua" w:hAnsi="Book Antiqua" w:cs="Arial"/>
        </w:rPr>
        <w:t xml:space="preserve"> valid for five years</w:t>
      </w:r>
      <w:r>
        <w:rPr>
          <w:rFonts w:ascii="Book Antiqua" w:hAnsi="Book Antiqua" w:cs="Arial"/>
        </w:rPr>
        <w:t>, expiring 5</w:t>
      </w:r>
      <w:r w:rsidRPr="00FC66A8">
        <w:rPr>
          <w:rFonts w:ascii="Book Antiqua" w:hAnsi="Book Antiqua" w:cs="Arial"/>
        </w:rPr>
        <w:t xml:space="preserve"> January 2016.  </w:t>
      </w:r>
    </w:p>
    <w:p w14:paraId="6B8A5BE6" w14:textId="77777777" w:rsidR="002908D3" w:rsidRPr="00CF3661" w:rsidRDefault="00B64841" w:rsidP="00CF3661">
      <w:pPr>
        <w:numPr>
          <w:ilvl w:val="0"/>
          <w:numId w:val="3"/>
        </w:numPr>
        <w:tabs>
          <w:tab w:val="clear" w:pos="567"/>
        </w:tabs>
        <w:spacing w:before="240"/>
        <w:jc w:val="both"/>
        <w:rPr>
          <w:rFonts w:ascii="Book Antiqua" w:hAnsi="Book Antiqua" w:cs="Arial"/>
        </w:rPr>
      </w:pPr>
      <w:r w:rsidRPr="00FC66A8">
        <w:rPr>
          <w:rFonts w:ascii="Book Antiqua" w:hAnsi="Book Antiqua" w:cs="Arial"/>
        </w:rPr>
        <w:t xml:space="preserve">There is only limited evidence of the parties </w:t>
      </w:r>
      <w:r>
        <w:rPr>
          <w:rFonts w:ascii="Book Antiqua" w:hAnsi="Book Antiqua" w:cs="Arial"/>
        </w:rPr>
        <w:t xml:space="preserve">both being in the United Kingdom during that </w:t>
      </w:r>
      <w:r w:rsidR="00CF3661">
        <w:rPr>
          <w:rFonts w:ascii="Book Antiqua" w:hAnsi="Book Antiqua" w:cs="Arial"/>
        </w:rPr>
        <w:t xml:space="preserve">5-year </w:t>
      </w:r>
      <w:r>
        <w:rPr>
          <w:rFonts w:ascii="Book Antiqua" w:hAnsi="Book Antiqua" w:cs="Arial"/>
        </w:rPr>
        <w:t xml:space="preserve">period: there are bank statements for the former partner which appear at [72]-[104] of the bundle, but they do not cover one full year.  </w:t>
      </w:r>
      <w:r w:rsidR="002908D3" w:rsidRPr="00CF3661">
        <w:rPr>
          <w:rFonts w:ascii="Book Antiqua" w:hAnsi="Book Antiqua" w:cs="Arial"/>
        </w:rPr>
        <w:t>The judge’s conclusions on the residence question are set out at [16] in his decision:</w:t>
      </w:r>
    </w:p>
    <w:p w14:paraId="35F46544" w14:textId="3486786E" w:rsidR="002908D3" w:rsidRDefault="002908D3" w:rsidP="002908D3">
      <w:pPr>
        <w:spacing w:before="240"/>
        <w:ind w:left="1134"/>
        <w:jc w:val="both"/>
        <w:rPr>
          <w:rFonts w:ascii="Book Antiqua" w:hAnsi="Book Antiqua" w:cs="Arial"/>
          <w:sz w:val="22"/>
          <w:szCs w:val="22"/>
        </w:rPr>
      </w:pPr>
      <w:r>
        <w:rPr>
          <w:rFonts w:ascii="Book Antiqua" w:hAnsi="Book Antiqua" w:cs="Arial"/>
          <w:sz w:val="22"/>
          <w:szCs w:val="22"/>
        </w:rPr>
        <w:t xml:space="preserve">“A further issue is whether in fact the Sponsor had resided in the UK for 1 year during the marriage.  The couple married in 1999.  The Appellant was granted a residence permit in January 2011 based on his relationship with the sponsor.  But </w:t>
      </w:r>
      <w:r>
        <w:rPr>
          <w:rFonts w:ascii="Book Antiqua" w:hAnsi="Book Antiqua" w:cs="Arial"/>
          <w:i/>
          <w:sz w:val="22"/>
          <w:szCs w:val="22"/>
        </w:rPr>
        <w:t xml:space="preserve">the only evidence before me of her residence in the 16 years of their marriage is her bank statements for some months in 2015 and her company directorship, neither of which prove her residence here for in excess of a year, during this marriage. </w:t>
      </w:r>
      <w:r w:rsidRPr="00C0662C">
        <w:rPr>
          <w:rFonts w:ascii="Book Antiqua" w:hAnsi="Book Antiqua" w:cs="Arial"/>
          <w:i/>
          <w:sz w:val="22"/>
          <w:szCs w:val="22"/>
        </w:rPr>
        <w:t xml:space="preserve"> It may be that that material exists.  But I have not been shown it. </w:t>
      </w:r>
      <w:r w:rsidRPr="00571BC3">
        <w:rPr>
          <w:rFonts w:ascii="Book Antiqua" w:hAnsi="Book Antiqua" w:cs="Arial"/>
          <w:sz w:val="22"/>
          <w:szCs w:val="22"/>
        </w:rPr>
        <w:t>Thus, in addition to my conclusion in the previous paragraph, I am not satisfied on the balance of probabilities, on the material present before me, (and recognising that this may be demonstrated by better evidence) that the Sponsor has lived in the UK for a year since the marriage.  This element of the Regulations is therefore not met.”</w:t>
      </w:r>
    </w:p>
    <w:p w14:paraId="7BDDABF4" w14:textId="77777777" w:rsidR="00571BC3" w:rsidRPr="00571BC3" w:rsidRDefault="00B64841" w:rsidP="00B64841">
      <w:pPr>
        <w:ind w:left="1134"/>
        <w:jc w:val="right"/>
        <w:rPr>
          <w:rFonts w:ascii="Book Antiqua" w:hAnsi="Book Antiqua" w:cs="Arial"/>
          <w:sz w:val="22"/>
          <w:szCs w:val="22"/>
        </w:rPr>
      </w:pPr>
      <w:r>
        <w:rPr>
          <w:rFonts w:ascii="Book Antiqua" w:hAnsi="Book Antiqua" w:cs="Arial"/>
          <w:sz w:val="22"/>
          <w:szCs w:val="22"/>
        </w:rPr>
        <w:t>[</w:t>
      </w:r>
      <w:r>
        <w:rPr>
          <w:rFonts w:ascii="Book Antiqua" w:hAnsi="Book Antiqua" w:cs="Arial"/>
          <w:i/>
          <w:sz w:val="22"/>
          <w:szCs w:val="22"/>
        </w:rPr>
        <w:t>Emphasis added</w:t>
      </w:r>
      <w:r>
        <w:rPr>
          <w:rFonts w:ascii="Book Antiqua" w:hAnsi="Book Antiqua" w:cs="Arial"/>
          <w:sz w:val="22"/>
          <w:szCs w:val="22"/>
        </w:rPr>
        <w:t>]</w:t>
      </w:r>
    </w:p>
    <w:p w14:paraId="021AB012" w14:textId="77777777" w:rsidR="002908D3" w:rsidRDefault="002908D3" w:rsidP="002908D3">
      <w:pPr>
        <w:numPr>
          <w:ilvl w:val="0"/>
          <w:numId w:val="3"/>
        </w:numPr>
        <w:tabs>
          <w:tab w:val="clear" w:pos="567"/>
        </w:tabs>
        <w:spacing w:before="240"/>
        <w:jc w:val="both"/>
        <w:rPr>
          <w:rFonts w:ascii="Book Antiqua" w:hAnsi="Book Antiqua" w:cs="Arial"/>
        </w:rPr>
      </w:pPr>
      <w:r w:rsidRPr="00C0662C">
        <w:rPr>
          <w:rFonts w:ascii="Book Antiqua" w:hAnsi="Book Antiqua" w:cs="Arial"/>
        </w:rPr>
        <w:t xml:space="preserve">Amongst the documents </w:t>
      </w:r>
      <w:r>
        <w:rPr>
          <w:rFonts w:ascii="Book Antiqua" w:hAnsi="Book Antiqua" w:cs="Arial"/>
        </w:rPr>
        <w:t>not considered by the First-tier Tribunal</w:t>
      </w:r>
      <w:r w:rsidRPr="00C0662C">
        <w:rPr>
          <w:rFonts w:ascii="Book Antiqua" w:hAnsi="Book Antiqua" w:cs="Arial"/>
        </w:rPr>
        <w:t xml:space="preserve"> there are water bills for 2</w:t>
      </w:r>
      <w:r>
        <w:rPr>
          <w:rFonts w:ascii="Book Antiqua" w:hAnsi="Book Antiqua" w:cs="Arial"/>
        </w:rPr>
        <w:t>4</w:t>
      </w:r>
      <w:r w:rsidRPr="00C0662C">
        <w:rPr>
          <w:rFonts w:ascii="Book Antiqua" w:hAnsi="Book Antiqua" w:cs="Arial"/>
        </w:rPr>
        <w:t xml:space="preserve"> October 2014, 1</w:t>
      </w:r>
      <w:r>
        <w:rPr>
          <w:rFonts w:ascii="Book Antiqua" w:hAnsi="Book Antiqua" w:cs="Arial"/>
        </w:rPr>
        <w:t>3</w:t>
      </w:r>
      <w:r w:rsidRPr="00C0662C">
        <w:rPr>
          <w:rFonts w:ascii="Book Antiqua" w:hAnsi="Book Antiqua" w:cs="Arial"/>
        </w:rPr>
        <w:t xml:space="preserve"> March 2013 and for</w:t>
      </w:r>
      <w:r>
        <w:rPr>
          <w:rFonts w:ascii="Book Antiqua" w:hAnsi="Book Antiqua" w:cs="Arial"/>
        </w:rPr>
        <w:t xml:space="preserve"> the period</w:t>
      </w:r>
      <w:r w:rsidRPr="00C0662C">
        <w:rPr>
          <w:rFonts w:ascii="Book Antiqua" w:hAnsi="Book Antiqua" w:cs="Arial"/>
        </w:rPr>
        <w:t xml:space="preserve"> 2011 to 2012.  Some of the bills are unpaid.  This evidence may arguably be more consistent with the accommodation being let to somebody else and the bills not being paid.  There is no other evidence </w:t>
      </w:r>
      <w:r>
        <w:rPr>
          <w:rFonts w:ascii="Book Antiqua" w:hAnsi="Book Antiqua" w:cs="Arial"/>
        </w:rPr>
        <w:t xml:space="preserve">of residence, </w:t>
      </w:r>
      <w:r w:rsidRPr="00C0662C">
        <w:rPr>
          <w:rFonts w:ascii="Book Antiqua" w:hAnsi="Book Antiqua" w:cs="Arial"/>
        </w:rPr>
        <w:t>such as council tax bills or HMRC records</w:t>
      </w:r>
      <w:r>
        <w:rPr>
          <w:rFonts w:ascii="Book Antiqua" w:hAnsi="Book Antiqua" w:cs="Arial"/>
        </w:rPr>
        <w:t>, nor any other evidence</w:t>
      </w:r>
      <w:r w:rsidRPr="00C0662C">
        <w:rPr>
          <w:rFonts w:ascii="Book Antiqua" w:hAnsi="Book Antiqua" w:cs="Arial"/>
        </w:rPr>
        <w:t xml:space="preserve"> to indicate that the sponsor was in the United Kingdom </w:t>
      </w:r>
      <w:r>
        <w:rPr>
          <w:rFonts w:ascii="Book Antiqua" w:hAnsi="Book Antiqua" w:cs="Arial"/>
        </w:rPr>
        <w:t xml:space="preserve">in 2011, 2012, 2013 or 2014.  </w:t>
      </w:r>
    </w:p>
    <w:p w14:paraId="54E162E7" w14:textId="77777777" w:rsidR="00A045CD" w:rsidRDefault="002908D3" w:rsidP="0024546F">
      <w:pPr>
        <w:numPr>
          <w:ilvl w:val="0"/>
          <w:numId w:val="3"/>
        </w:numPr>
        <w:tabs>
          <w:tab w:val="clear" w:pos="567"/>
        </w:tabs>
        <w:spacing w:before="240"/>
        <w:jc w:val="both"/>
        <w:rPr>
          <w:rFonts w:ascii="Book Antiqua" w:hAnsi="Book Antiqua" w:cs="Arial"/>
        </w:rPr>
      </w:pPr>
      <w:r w:rsidRPr="00A045CD">
        <w:rPr>
          <w:rFonts w:ascii="Book Antiqua" w:hAnsi="Book Antiqua" w:cs="Arial"/>
        </w:rPr>
        <w:t xml:space="preserve">I </w:t>
      </w:r>
      <w:r w:rsidR="00A045CD" w:rsidRPr="00A045CD">
        <w:rPr>
          <w:rFonts w:ascii="Book Antiqua" w:hAnsi="Book Antiqua" w:cs="Arial"/>
        </w:rPr>
        <w:t>have considered</w:t>
      </w:r>
      <w:r w:rsidRPr="00A045CD">
        <w:rPr>
          <w:rFonts w:ascii="Book Antiqua" w:hAnsi="Book Antiqua" w:cs="Arial"/>
        </w:rPr>
        <w:t xml:space="preserve"> whether if the judge had seen this information he would have reached a different conclusion on the one-year residence question.  </w:t>
      </w:r>
      <w:r w:rsidR="00A045CD" w:rsidRPr="00A045CD">
        <w:rPr>
          <w:rFonts w:ascii="Book Antiqua" w:hAnsi="Book Antiqua" w:cs="Arial"/>
        </w:rPr>
        <w:t xml:space="preserve">I do not find that he would have.  The evidence is too sparse and vague for that, and the new documents do not materially improve matters. </w:t>
      </w:r>
      <w:r w:rsidR="00A045CD">
        <w:rPr>
          <w:rFonts w:ascii="Book Antiqua" w:hAnsi="Book Antiqua" w:cs="Arial"/>
        </w:rPr>
        <w:t xml:space="preserve">I am </w:t>
      </w:r>
      <w:r w:rsidR="00386271" w:rsidRPr="00A045CD">
        <w:rPr>
          <w:rFonts w:ascii="Book Antiqua" w:hAnsi="Book Antiqua" w:cs="Arial"/>
        </w:rPr>
        <w:t xml:space="preserve">satisfied on the basis of the evidence before me that </w:t>
      </w:r>
      <w:r w:rsidR="00A045CD">
        <w:rPr>
          <w:rFonts w:ascii="Book Antiqua" w:hAnsi="Book Antiqua" w:cs="Arial"/>
        </w:rPr>
        <w:t>the appellant has not discharged the burden upon him of showing, even with the new documents, that the parties lived together in the United Kingdom for a period of at least one year before the marriage ended.</w:t>
      </w:r>
    </w:p>
    <w:p w14:paraId="659C12E2" w14:textId="77777777" w:rsidR="0024546F" w:rsidRPr="00A045CD" w:rsidRDefault="00B11EB1" w:rsidP="0024546F">
      <w:pPr>
        <w:numPr>
          <w:ilvl w:val="0"/>
          <w:numId w:val="3"/>
        </w:numPr>
        <w:tabs>
          <w:tab w:val="clear" w:pos="567"/>
        </w:tabs>
        <w:spacing w:before="240"/>
        <w:jc w:val="both"/>
        <w:rPr>
          <w:rFonts w:ascii="Book Antiqua" w:hAnsi="Book Antiqua" w:cs="Arial"/>
        </w:rPr>
      </w:pPr>
      <w:r>
        <w:rPr>
          <w:rFonts w:ascii="Book Antiqua" w:hAnsi="Book Antiqua" w:cs="Arial"/>
        </w:rPr>
        <w:t>The decision of the First-tier Tribunal contains no</w:t>
      </w:r>
      <w:r w:rsidR="00B406EE" w:rsidRPr="00A045CD">
        <w:rPr>
          <w:rFonts w:ascii="Book Antiqua" w:hAnsi="Book Antiqua" w:cs="Arial"/>
        </w:rPr>
        <w:t xml:space="preserve"> material error of law in this decision and I dismiss </w:t>
      </w:r>
      <w:r>
        <w:rPr>
          <w:rFonts w:ascii="Book Antiqua" w:hAnsi="Book Antiqua" w:cs="Arial"/>
        </w:rPr>
        <w:t>this</w:t>
      </w:r>
      <w:r w:rsidR="00B406EE" w:rsidRPr="00A045CD">
        <w:rPr>
          <w:rFonts w:ascii="Book Antiqua" w:hAnsi="Book Antiqua" w:cs="Arial"/>
        </w:rPr>
        <w:t xml:space="preserve"> appeal.  </w:t>
      </w:r>
      <w:r w:rsidR="0024546F" w:rsidRPr="00A045CD">
        <w:rPr>
          <w:rFonts w:ascii="Book Antiqua" w:hAnsi="Book Antiqua" w:cs="Arial"/>
        </w:rPr>
        <w:t xml:space="preserve"> </w:t>
      </w:r>
    </w:p>
    <w:p w14:paraId="62AC8C6E" w14:textId="77777777" w:rsidR="00814CBB" w:rsidRDefault="00814CBB" w:rsidP="00284307">
      <w:pPr>
        <w:spacing w:before="240"/>
        <w:jc w:val="both"/>
        <w:rPr>
          <w:rFonts w:ascii="Book Antiqua" w:hAnsi="Book Antiqua" w:cs="Arial"/>
          <w:b/>
          <w:u w:val="single"/>
        </w:rPr>
      </w:pPr>
    </w:p>
    <w:p w14:paraId="2F8D4636" w14:textId="03FED7E1" w:rsidR="00B705D9" w:rsidRDefault="00B705D9" w:rsidP="00284307">
      <w:pPr>
        <w:spacing w:before="240"/>
        <w:jc w:val="both"/>
        <w:rPr>
          <w:rFonts w:ascii="Book Antiqua" w:hAnsi="Book Antiqua" w:cs="Arial"/>
        </w:rPr>
      </w:pPr>
      <w:r>
        <w:rPr>
          <w:rFonts w:ascii="Book Antiqua" w:hAnsi="Book Antiqua" w:cs="Arial"/>
          <w:b/>
          <w:u w:val="single"/>
        </w:rPr>
        <w:t>Conclusions</w:t>
      </w:r>
    </w:p>
    <w:p w14:paraId="59CB64DA" w14:textId="77777777" w:rsidR="00B705D9" w:rsidRDefault="00B705D9" w:rsidP="001F2A30">
      <w:pPr>
        <w:spacing w:before="240"/>
        <w:jc w:val="both"/>
        <w:rPr>
          <w:rFonts w:ascii="Book Antiqua" w:hAnsi="Book Antiqua" w:cs="Arial"/>
        </w:rPr>
      </w:pPr>
      <w:r>
        <w:rPr>
          <w:rFonts w:ascii="Book Antiqua" w:hAnsi="Book Antiqua" w:cs="Arial"/>
        </w:rPr>
        <w:t xml:space="preserve">The making of the decision of the First-tier Tribunal </w:t>
      </w:r>
      <w:r w:rsidR="00086E9A">
        <w:rPr>
          <w:rFonts w:ascii="Book Antiqua" w:hAnsi="Book Antiqua" w:cs="Arial"/>
        </w:rPr>
        <w:t>did not</w:t>
      </w:r>
      <w:r>
        <w:rPr>
          <w:rFonts w:ascii="Book Antiqua" w:hAnsi="Book Antiqua" w:cs="Arial"/>
        </w:rPr>
        <w:t xml:space="preserve"> involve the making of an error on a point of law.</w:t>
      </w:r>
    </w:p>
    <w:p w14:paraId="6AE8D3DD" w14:textId="77777777" w:rsidR="00B705D9" w:rsidRDefault="00B705D9" w:rsidP="001F2A30">
      <w:pPr>
        <w:spacing w:before="240"/>
        <w:jc w:val="both"/>
        <w:rPr>
          <w:rFonts w:ascii="Book Antiqua" w:hAnsi="Book Antiqua" w:cs="Arial"/>
        </w:rPr>
      </w:pPr>
      <w:r>
        <w:rPr>
          <w:rFonts w:ascii="Book Antiqua" w:hAnsi="Book Antiqua" w:cs="Arial"/>
        </w:rPr>
        <w:t>I do not set aside the decision.</w:t>
      </w:r>
      <w:r w:rsidR="00B11EB1">
        <w:rPr>
          <w:rFonts w:ascii="Book Antiqua" w:hAnsi="Book Antiqua" w:cs="Arial"/>
        </w:rPr>
        <w:t xml:space="preserve"> The decision of the First-tier Tribunal stands.</w:t>
      </w:r>
    </w:p>
    <w:p w14:paraId="0114A8DE" w14:textId="77777777" w:rsidR="00B11EB1" w:rsidRDefault="00B11EB1" w:rsidP="00B11EB1">
      <w:pPr>
        <w:jc w:val="both"/>
        <w:rPr>
          <w:lang w:eastAsia="en-US"/>
        </w:rPr>
      </w:pPr>
    </w:p>
    <w:p w14:paraId="109F0F90" w14:textId="77777777" w:rsidR="00B11EB1" w:rsidRPr="00C6723A" w:rsidRDefault="00B11EB1" w:rsidP="00B11EB1">
      <w:pPr>
        <w:jc w:val="both"/>
        <w:rPr>
          <w:rFonts w:ascii="Book Antiqua" w:hAnsi="Book Antiqua" w:cs="Arial"/>
          <w:lang w:eastAsia="en-US"/>
        </w:rPr>
      </w:pPr>
      <w:r w:rsidRPr="00B11EB1">
        <w:rPr>
          <w:rFonts w:ascii="Book Antiqua" w:hAnsi="Book Antiqua"/>
          <w:lang w:eastAsia="en-US"/>
        </w:rPr>
        <w:t>Signed</w:t>
      </w:r>
      <w:r w:rsidRPr="00C6723A">
        <w:rPr>
          <w:lang w:eastAsia="en-US"/>
        </w:rPr>
        <w:t>:</w:t>
      </w:r>
      <w:r w:rsidRPr="00C6723A">
        <w:rPr>
          <w:lang w:eastAsia="en-US"/>
        </w:rPr>
        <w:tab/>
      </w:r>
      <w:r>
        <w:rPr>
          <w:lang w:eastAsia="en-US"/>
        </w:rPr>
        <w:tab/>
      </w:r>
      <w:r w:rsidRPr="00C6723A">
        <w:rPr>
          <w:rFonts w:ascii="Rage Italic" w:hAnsi="Rage Italic" w:cs="Arial"/>
          <w:color w:val="0070C0"/>
          <w:sz w:val="28"/>
          <w:lang w:eastAsia="en-US"/>
        </w:rPr>
        <w:t>Judith A J C Gleeson</w:t>
      </w:r>
      <w:r w:rsidRPr="00C6723A">
        <w:rPr>
          <w:rFonts w:ascii="Rage Italic" w:hAnsi="Rage Italic" w:cs="Arial"/>
          <w:color w:val="0070C0"/>
          <w:sz w:val="28"/>
          <w:lang w:eastAsia="en-US"/>
        </w:rPr>
        <w:tab/>
      </w:r>
      <w:r w:rsidRPr="00C6723A">
        <w:rPr>
          <w:rFonts w:ascii="Rage Italic" w:hAnsi="Rage Italic" w:cs="Arial"/>
          <w:color w:val="0070C0"/>
          <w:lang w:eastAsia="en-US"/>
        </w:rPr>
        <w:tab/>
      </w:r>
      <w:r w:rsidRPr="00C6723A">
        <w:rPr>
          <w:rFonts w:ascii="Rage Italic" w:hAnsi="Rage Italic" w:cs="Arial"/>
          <w:color w:val="0070C0"/>
          <w:lang w:eastAsia="en-US"/>
        </w:rPr>
        <w:tab/>
      </w:r>
      <w:r>
        <w:rPr>
          <w:rFonts w:ascii="Rage Italic" w:hAnsi="Rage Italic" w:cs="Arial"/>
          <w:color w:val="0070C0"/>
          <w:lang w:eastAsia="en-US"/>
        </w:rPr>
        <w:tab/>
      </w:r>
      <w:r>
        <w:rPr>
          <w:rFonts w:ascii="Rage Italic" w:hAnsi="Rage Italic" w:cs="Arial"/>
          <w:color w:val="0070C0"/>
          <w:lang w:eastAsia="en-US"/>
        </w:rPr>
        <w:tab/>
      </w:r>
      <w:r>
        <w:rPr>
          <w:rFonts w:ascii="Rage Italic" w:hAnsi="Rage Italic" w:cs="Arial"/>
          <w:color w:val="0070C0"/>
          <w:lang w:eastAsia="en-US"/>
        </w:rPr>
        <w:tab/>
      </w:r>
      <w:r w:rsidRPr="00C6723A">
        <w:rPr>
          <w:rFonts w:ascii="Book Antiqua" w:hAnsi="Book Antiqua" w:cs="Arial"/>
          <w:lang w:eastAsia="en-US"/>
        </w:rPr>
        <w:t xml:space="preserve">Date:  </w:t>
      </w:r>
      <w:r>
        <w:rPr>
          <w:rFonts w:ascii="Book Antiqua" w:hAnsi="Book Antiqua" w:cs="Arial"/>
          <w:lang w:eastAsia="en-US"/>
        </w:rPr>
        <w:t>25 September 2018</w:t>
      </w:r>
    </w:p>
    <w:p w14:paraId="4124C2A8" w14:textId="77777777" w:rsidR="00B705D9" w:rsidRPr="003F4F84" w:rsidRDefault="00B11EB1" w:rsidP="003F4F84">
      <w:pPr>
        <w:ind w:left="357"/>
        <w:jc w:val="both"/>
        <w:rPr>
          <w:lang w:eastAsia="en-US"/>
        </w:rPr>
        <w:sectPr w:rsidR="00B705D9" w:rsidRPr="003F4F84" w:rsidSect="00FD35F4">
          <w:headerReference w:type="default" r:id="rId9"/>
          <w:footerReference w:type="default" r:id="rId10"/>
          <w:headerReference w:type="first" r:id="rId11"/>
          <w:footerReference w:type="first" r:id="rId12"/>
          <w:pgSz w:w="11906" w:h="16838"/>
          <w:pgMar w:top="426" w:right="1134" w:bottom="1276" w:left="1134" w:header="709" w:footer="709" w:gutter="0"/>
          <w:cols w:space="708"/>
          <w:titlePg/>
          <w:docGrid w:linePitch="360"/>
        </w:sectPr>
      </w:pPr>
      <w:r w:rsidRPr="00C6723A">
        <w:rPr>
          <w:rFonts w:ascii="Book Antiqua" w:hAnsi="Book Antiqua" w:cs="Arial"/>
          <w:lang w:eastAsia="en-US"/>
        </w:rPr>
        <w:tab/>
      </w:r>
      <w:r w:rsidRPr="00C6723A">
        <w:rPr>
          <w:rFonts w:ascii="Book Antiqua" w:hAnsi="Book Antiqua" w:cs="Arial"/>
          <w:lang w:eastAsia="en-US"/>
        </w:rPr>
        <w:tab/>
      </w:r>
      <w:r>
        <w:rPr>
          <w:rFonts w:ascii="Book Antiqua" w:hAnsi="Book Antiqua" w:cs="Arial"/>
          <w:lang w:eastAsia="en-US"/>
        </w:rPr>
        <w:tab/>
      </w:r>
      <w:r w:rsidRPr="00C6723A">
        <w:rPr>
          <w:rFonts w:ascii="Book Antiqua" w:hAnsi="Book Antiqua" w:cs="Arial"/>
          <w:lang w:eastAsia="en-US"/>
        </w:rPr>
        <w:t xml:space="preserve">Upper Tribunal Judge Gleeson  </w:t>
      </w:r>
    </w:p>
    <w:p w14:paraId="3A4C86FA" w14:textId="77777777" w:rsidR="00B705D9" w:rsidRPr="00F5664C" w:rsidRDefault="00B705D9" w:rsidP="003F4F84">
      <w:pPr>
        <w:rPr>
          <w:rFonts w:ascii="Book Antiqua" w:hAnsi="Book Antiqua" w:cs="Arial"/>
        </w:rPr>
      </w:pPr>
    </w:p>
    <w:sectPr w:rsidR="00B705D9" w:rsidRPr="00F5664C" w:rsidSect="003F4F84">
      <w:type w:val="continuous"/>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9B73B" w14:textId="77777777" w:rsidR="007E2158" w:rsidRDefault="007E2158">
      <w:r>
        <w:separator/>
      </w:r>
    </w:p>
  </w:endnote>
  <w:endnote w:type="continuationSeparator" w:id="0">
    <w:p w14:paraId="396F823D" w14:textId="77777777" w:rsidR="007E2158" w:rsidRDefault="007E2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3986A" w14:textId="2E934B74" w:rsidR="00B705D9" w:rsidRPr="001116F0" w:rsidRDefault="00B705D9" w:rsidP="00593795">
    <w:pPr>
      <w:pStyle w:val="Footer"/>
      <w:jc w:val="center"/>
      <w:rPr>
        <w:rFonts w:ascii="Book Antiqua" w:hAnsi="Book Antiqua" w:cs="Arial"/>
      </w:rPr>
    </w:pPr>
    <w:r w:rsidRPr="001116F0">
      <w:rPr>
        <w:rStyle w:val="PageNumber"/>
        <w:rFonts w:ascii="Book Antiqua" w:hAnsi="Book Antiqua" w:cs="Arial"/>
      </w:rPr>
      <w:fldChar w:fldCharType="begin"/>
    </w:r>
    <w:r w:rsidRPr="001116F0">
      <w:rPr>
        <w:rStyle w:val="PageNumber"/>
        <w:rFonts w:ascii="Book Antiqua" w:hAnsi="Book Antiqua" w:cs="Arial"/>
      </w:rPr>
      <w:instrText xml:space="preserve"> PAGE </w:instrText>
    </w:r>
    <w:r w:rsidRPr="001116F0">
      <w:rPr>
        <w:rStyle w:val="PageNumber"/>
        <w:rFonts w:ascii="Book Antiqua" w:hAnsi="Book Antiqua" w:cs="Arial"/>
      </w:rPr>
      <w:fldChar w:fldCharType="separate"/>
    </w:r>
    <w:r w:rsidR="004C001C">
      <w:rPr>
        <w:rStyle w:val="PageNumber"/>
        <w:rFonts w:ascii="Book Antiqua" w:hAnsi="Book Antiqua" w:cs="Arial"/>
        <w:noProof/>
      </w:rPr>
      <w:t>3</w:t>
    </w:r>
    <w:r w:rsidRPr="001116F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234FD" w14:textId="77777777" w:rsidR="00B705D9" w:rsidRPr="00F5664C" w:rsidRDefault="00B705D9" w:rsidP="00842418">
    <w:pPr>
      <w:jc w:val="center"/>
      <w:rPr>
        <w:rFonts w:ascii="Book Antiqua" w:hAnsi="Book Antiqua" w:cs="Arial"/>
        <w:b/>
      </w:rPr>
    </w:pPr>
    <w:r w:rsidRPr="00F5664C">
      <w:rPr>
        <w:rFonts w:ascii="Book Antiqua" w:hAnsi="Book Antiqua" w:cs="Arial"/>
        <w:b/>
        <w:spacing w:val="-6"/>
      </w:rPr>
      <w:t>©</w:t>
    </w:r>
    <w:r w:rsidR="00997F3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BD6D9" w14:textId="77777777" w:rsidR="007E2158" w:rsidRDefault="007E2158">
      <w:r>
        <w:separator/>
      </w:r>
    </w:p>
  </w:footnote>
  <w:footnote w:type="continuationSeparator" w:id="0">
    <w:p w14:paraId="32253817" w14:textId="77777777" w:rsidR="007E2158" w:rsidRDefault="007E21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0E539" w14:textId="5B099C04" w:rsidR="00B705D9" w:rsidRDefault="00B705D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83450C">
      <w:rPr>
        <w:rFonts w:ascii="Book Antiqua" w:hAnsi="Book Antiqua" w:cs="Arial"/>
        <w:sz w:val="16"/>
        <w:szCs w:val="16"/>
      </w:rPr>
      <w:t>EA/07257/2018</w:t>
    </w:r>
  </w:p>
  <w:p w14:paraId="1AB337DF" w14:textId="77777777" w:rsidR="001116F0" w:rsidRPr="00F5664C" w:rsidRDefault="001116F0"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101CE" w14:textId="77777777" w:rsidR="00B705D9" w:rsidRPr="00F5664C" w:rsidRDefault="00B705D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DE1C7FD2"/>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59538AC"/>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15:restartNumberingAfterBreak="0">
    <w:nsid w:val="7E32104F"/>
    <w:multiLevelType w:val="multilevel"/>
    <w:tmpl w:val="D63AF316"/>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5"/>
  </w:num>
  <w:num w:numId="2">
    <w:abstractNumId w:val="13"/>
  </w:num>
  <w:num w:numId="3">
    <w:abstractNumId w:val="2"/>
  </w:num>
  <w:num w:numId="4">
    <w:abstractNumId w:val="10"/>
  </w:num>
  <w:num w:numId="5">
    <w:abstractNumId w:val="18"/>
  </w:num>
  <w:num w:numId="6">
    <w:abstractNumId w:val="11"/>
  </w:num>
  <w:num w:numId="7">
    <w:abstractNumId w:val="17"/>
  </w:num>
  <w:num w:numId="8">
    <w:abstractNumId w:val="8"/>
  </w:num>
  <w:num w:numId="9">
    <w:abstractNumId w:val="7"/>
  </w:num>
  <w:num w:numId="10">
    <w:abstractNumId w:val="16"/>
  </w:num>
  <w:num w:numId="11">
    <w:abstractNumId w:val="15"/>
  </w:num>
  <w:num w:numId="12">
    <w:abstractNumId w:val="1"/>
  </w:num>
  <w:num w:numId="13">
    <w:abstractNumId w:val="14"/>
  </w:num>
  <w:num w:numId="14">
    <w:abstractNumId w:val="0"/>
  </w:num>
  <w:num w:numId="15">
    <w:abstractNumId w:val="4"/>
  </w:num>
  <w:num w:numId="16">
    <w:abstractNumId w:val="6"/>
  </w:num>
  <w:num w:numId="17">
    <w:abstractNumId w:val="12"/>
  </w:num>
  <w:num w:numId="18">
    <w:abstractNumId w:val="9"/>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38"/>
    <w:rsid w:val="00000621"/>
    <w:rsid w:val="000036C2"/>
    <w:rsid w:val="0002205B"/>
    <w:rsid w:val="00033D3D"/>
    <w:rsid w:val="000369F5"/>
    <w:rsid w:val="000436E6"/>
    <w:rsid w:val="000454E0"/>
    <w:rsid w:val="00071A7E"/>
    <w:rsid w:val="000746C0"/>
    <w:rsid w:val="00074D1D"/>
    <w:rsid w:val="00086E9A"/>
    <w:rsid w:val="00092580"/>
    <w:rsid w:val="000A68E1"/>
    <w:rsid w:val="000C2407"/>
    <w:rsid w:val="000D5D94"/>
    <w:rsid w:val="000E6D26"/>
    <w:rsid w:val="000F3EC5"/>
    <w:rsid w:val="000F4218"/>
    <w:rsid w:val="001116F0"/>
    <w:rsid w:val="001165A7"/>
    <w:rsid w:val="00120604"/>
    <w:rsid w:val="00121B67"/>
    <w:rsid w:val="00146D9C"/>
    <w:rsid w:val="00151BB7"/>
    <w:rsid w:val="00154E62"/>
    <w:rsid w:val="0016457F"/>
    <w:rsid w:val="00167D3A"/>
    <w:rsid w:val="001720DC"/>
    <w:rsid w:val="001A19E2"/>
    <w:rsid w:val="001A1E2C"/>
    <w:rsid w:val="001B2B9C"/>
    <w:rsid w:val="001D076D"/>
    <w:rsid w:val="001F2716"/>
    <w:rsid w:val="001F2A30"/>
    <w:rsid w:val="001F4142"/>
    <w:rsid w:val="0020133A"/>
    <w:rsid w:val="00205C4B"/>
    <w:rsid w:val="00207617"/>
    <w:rsid w:val="002153CC"/>
    <w:rsid w:val="00233CF3"/>
    <w:rsid w:val="00241512"/>
    <w:rsid w:val="0024546F"/>
    <w:rsid w:val="00267403"/>
    <w:rsid w:val="00273DC4"/>
    <w:rsid w:val="00282D33"/>
    <w:rsid w:val="00283659"/>
    <w:rsid w:val="00284307"/>
    <w:rsid w:val="00284DB6"/>
    <w:rsid w:val="002908D3"/>
    <w:rsid w:val="002964CE"/>
    <w:rsid w:val="002C4E73"/>
    <w:rsid w:val="002C4FC3"/>
    <w:rsid w:val="002D68BF"/>
    <w:rsid w:val="002F26A8"/>
    <w:rsid w:val="003054BE"/>
    <w:rsid w:val="00306398"/>
    <w:rsid w:val="003126B9"/>
    <w:rsid w:val="00321493"/>
    <w:rsid w:val="00324C78"/>
    <w:rsid w:val="00336CBF"/>
    <w:rsid w:val="00341AC8"/>
    <w:rsid w:val="00350E67"/>
    <w:rsid w:val="003546C8"/>
    <w:rsid w:val="00381192"/>
    <w:rsid w:val="00386271"/>
    <w:rsid w:val="003A7CF2"/>
    <w:rsid w:val="003B0789"/>
    <w:rsid w:val="003C5CE5"/>
    <w:rsid w:val="003D23FA"/>
    <w:rsid w:val="003D25C1"/>
    <w:rsid w:val="003E267B"/>
    <w:rsid w:val="003E5936"/>
    <w:rsid w:val="003E7CD1"/>
    <w:rsid w:val="003F4F84"/>
    <w:rsid w:val="003F674A"/>
    <w:rsid w:val="00401098"/>
    <w:rsid w:val="00402086"/>
    <w:rsid w:val="00402B9E"/>
    <w:rsid w:val="00405EC2"/>
    <w:rsid w:val="00410DA5"/>
    <w:rsid w:val="00416DDC"/>
    <w:rsid w:val="00423932"/>
    <w:rsid w:val="004249CB"/>
    <w:rsid w:val="0044127D"/>
    <w:rsid w:val="004448DB"/>
    <w:rsid w:val="00446C9A"/>
    <w:rsid w:val="00453030"/>
    <w:rsid w:val="004648B9"/>
    <w:rsid w:val="00477193"/>
    <w:rsid w:val="004956B9"/>
    <w:rsid w:val="004964E0"/>
    <w:rsid w:val="004A1848"/>
    <w:rsid w:val="004C001C"/>
    <w:rsid w:val="004C11A6"/>
    <w:rsid w:val="004E7B40"/>
    <w:rsid w:val="004F2E2E"/>
    <w:rsid w:val="00507FEC"/>
    <w:rsid w:val="00510F0E"/>
    <w:rsid w:val="00511FD6"/>
    <w:rsid w:val="005479E1"/>
    <w:rsid w:val="005570FD"/>
    <w:rsid w:val="005575EA"/>
    <w:rsid w:val="0056188C"/>
    <w:rsid w:val="005654FC"/>
    <w:rsid w:val="00571BC3"/>
    <w:rsid w:val="0057790C"/>
    <w:rsid w:val="00593795"/>
    <w:rsid w:val="00596910"/>
    <w:rsid w:val="005A2625"/>
    <w:rsid w:val="005A5B9F"/>
    <w:rsid w:val="005A75FF"/>
    <w:rsid w:val="005A7AF3"/>
    <w:rsid w:val="005B5F81"/>
    <w:rsid w:val="005B7789"/>
    <w:rsid w:val="005D1139"/>
    <w:rsid w:val="005E420B"/>
    <w:rsid w:val="00612745"/>
    <w:rsid w:val="00653924"/>
    <w:rsid w:val="00654441"/>
    <w:rsid w:val="0065791C"/>
    <w:rsid w:val="0067439B"/>
    <w:rsid w:val="00690B8A"/>
    <w:rsid w:val="006B2994"/>
    <w:rsid w:val="006D1DFA"/>
    <w:rsid w:val="006D506B"/>
    <w:rsid w:val="006E3C90"/>
    <w:rsid w:val="00704B61"/>
    <w:rsid w:val="00722936"/>
    <w:rsid w:val="0074093B"/>
    <w:rsid w:val="007416B4"/>
    <w:rsid w:val="00742A8D"/>
    <w:rsid w:val="007552A9"/>
    <w:rsid w:val="00757C67"/>
    <w:rsid w:val="00761858"/>
    <w:rsid w:val="00767D59"/>
    <w:rsid w:val="00771861"/>
    <w:rsid w:val="007749A2"/>
    <w:rsid w:val="00776E97"/>
    <w:rsid w:val="00780FD7"/>
    <w:rsid w:val="00781544"/>
    <w:rsid w:val="007912AD"/>
    <w:rsid w:val="007A1F28"/>
    <w:rsid w:val="007A6A26"/>
    <w:rsid w:val="007B0824"/>
    <w:rsid w:val="007B3BC9"/>
    <w:rsid w:val="007D685C"/>
    <w:rsid w:val="007E2158"/>
    <w:rsid w:val="007E2D4D"/>
    <w:rsid w:val="00805079"/>
    <w:rsid w:val="00811F13"/>
    <w:rsid w:val="00813FB9"/>
    <w:rsid w:val="00814CBB"/>
    <w:rsid w:val="008303B8"/>
    <w:rsid w:val="00833DCE"/>
    <w:rsid w:val="0083450C"/>
    <w:rsid w:val="00841426"/>
    <w:rsid w:val="00842418"/>
    <w:rsid w:val="0085228A"/>
    <w:rsid w:val="008608FA"/>
    <w:rsid w:val="00871D34"/>
    <w:rsid w:val="008B270C"/>
    <w:rsid w:val="008B7675"/>
    <w:rsid w:val="008C3D3D"/>
    <w:rsid w:val="008D2D39"/>
    <w:rsid w:val="008D3C62"/>
    <w:rsid w:val="008D4131"/>
    <w:rsid w:val="008D72EE"/>
    <w:rsid w:val="008E2F9F"/>
    <w:rsid w:val="008F1932"/>
    <w:rsid w:val="008F294D"/>
    <w:rsid w:val="008F3478"/>
    <w:rsid w:val="008F5153"/>
    <w:rsid w:val="00916597"/>
    <w:rsid w:val="00921062"/>
    <w:rsid w:val="00923213"/>
    <w:rsid w:val="0093083E"/>
    <w:rsid w:val="00941ED7"/>
    <w:rsid w:val="00954458"/>
    <w:rsid w:val="00966ECF"/>
    <w:rsid w:val="009727A3"/>
    <w:rsid w:val="0097755E"/>
    <w:rsid w:val="0098507A"/>
    <w:rsid w:val="00987774"/>
    <w:rsid w:val="00997F3F"/>
    <w:rsid w:val="009A11E8"/>
    <w:rsid w:val="009C5A94"/>
    <w:rsid w:val="009E4E62"/>
    <w:rsid w:val="009F5220"/>
    <w:rsid w:val="009F73A5"/>
    <w:rsid w:val="009F7C4D"/>
    <w:rsid w:val="00A045CD"/>
    <w:rsid w:val="00A15234"/>
    <w:rsid w:val="00A201AB"/>
    <w:rsid w:val="00A23213"/>
    <w:rsid w:val="00A31BD8"/>
    <w:rsid w:val="00A31C8B"/>
    <w:rsid w:val="00A53BE8"/>
    <w:rsid w:val="00A74B6B"/>
    <w:rsid w:val="00A764E4"/>
    <w:rsid w:val="00A845DC"/>
    <w:rsid w:val="00A97AEE"/>
    <w:rsid w:val="00AA2E5B"/>
    <w:rsid w:val="00AC5CF6"/>
    <w:rsid w:val="00AD12BA"/>
    <w:rsid w:val="00B04467"/>
    <w:rsid w:val="00B11EB1"/>
    <w:rsid w:val="00B144FA"/>
    <w:rsid w:val="00B16F58"/>
    <w:rsid w:val="00B25438"/>
    <w:rsid w:val="00B30648"/>
    <w:rsid w:val="00B3524D"/>
    <w:rsid w:val="00B406EE"/>
    <w:rsid w:val="00B40F69"/>
    <w:rsid w:val="00B46616"/>
    <w:rsid w:val="00B54087"/>
    <w:rsid w:val="00B610E3"/>
    <w:rsid w:val="00B61205"/>
    <w:rsid w:val="00B617C4"/>
    <w:rsid w:val="00B626FA"/>
    <w:rsid w:val="00B64841"/>
    <w:rsid w:val="00B64945"/>
    <w:rsid w:val="00B65747"/>
    <w:rsid w:val="00B7040A"/>
    <w:rsid w:val="00B705D9"/>
    <w:rsid w:val="00B9106B"/>
    <w:rsid w:val="00B96FA0"/>
    <w:rsid w:val="00BD1E13"/>
    <w:rsid w:val="00BD4196"/>
    <w:rsid w:val="00BD74C9"/>
    <w:rsid w:val="00BF22CA"/>
    <w:rsid w:val="00C005C1"/>
    <w:rsid w:val="00C0662C"/>
    <w:rsid w:val="00C25034"/>
    <w:rsid w:val="00C26032"/>
    <w:rsid w:val="00C265B0"/>
    <w:rsid w:val="00C321B5"/>
    <w:rsid w:val="00C345E1"/>
    <w:rsid w:val="00C457BC"/>
    <w:rsid w:val="00C52B98"/>
    <w:rsid w:val="00C815CF"/>
    <w:rsid w:val="00C977BA"/>
    <w:rsid w:val="00CB6E35"/>
    <w:rsid w:val="00CB78F9"/>
    <w:rsid w:val="00CD33F1"/>
    <w:rsid w:val="00CE1A46"/>
    <w:rsid w:val="00CF253F"/>
    <w:rsid w:val="00CF3661"/>
    <w:rsid w:val="00CF56B4"/>
    <w:rsid w:val="00D20F09"/>
    <w:rsid w:val="00D22636"/>
    <w:rsid w:val="00D35A57"/>
    <w:rsid w:val="00D40FD9"/>
    <w:rsid w:val="00D42473"/>
    <w:rsid w:val="00D527C9"/>
    <w:rsid w:val="00D534A7"/>
    <w:rsid w:val="00D53769"/>
    <w:rsid w:val="00D70775"/>
    <w:rsid w:val="00D85C13"/>
    <w:rsid w:val="00D91BE3"/>
    <w:rsid w:val="00D94AFC"/>
    <w:rsid w:val="00DA53F9"/>
    <w:rsid w:val="00DB70AE"/>
    <w:rsid w:val="00DB7231"/>
    <w:rsid w:val="00DC4492"/>
    <w:rsid w:val="00DD5071"/>
    <w:rsid w:val="00DD5C39"/>
    <w:rsid w:val="00DD6305"/>
    <w:rsid w:val="00DE26AF"/>
    <w:rsid w:val="00DE279E"/>
    <w:rsid w:val="00DE3F1C"/>
    <w:rsid w:val="00DE7DB7"/>
    <w:rsid w:val="00DF41E9"/>
    <w:rsid w:val="00E00A0A"/>
    <w:rsid w:val="00E05FCF"/>
    <w:rsid w:val="00E0621D"/>
    <w:rsid w:val="00E07F57"/>
    <w:rsid w:val="00E445D4"/>
    <w:rsid w:val="00E50BCE"/>
    <w:rsid w:val="00E51D71"/>
    <w:rsid w:val="00E61292"/>
    <w:rsid w:val="00E76309"/>
    <w:rsid w:val="00E77C4D"/>
    <w:rsid w:val="00E81D01"/>
    <w:rsid w:val="00EA4E94"/>
    <w:rsid w:val="00EC74CF"/>
    <w:rsid w:val="00ED6C2F"/>
    <w:rsid w:val="00EE45D8"/>
    <w:rsid w:val="00F004CD"/>
    <w:rsid w:val="00F22EDA"/>
    <w:rsid w:val="00F30B23"/>
    <w:rsid w:val="00F3224D"/>
    <w:rsid w:val="00F33E0E"/>
    <w:rsid w:val="00F436BD"/>
    <w:rsid w:val="00F5664C"/>
    <w:rsid w:val="00F668E5"/>
    <w:rsid w:val="00F82A85"/>
    <w:rsid w:val="00FB7E80"/>
    <w:rsid w:val="00FC66A8"/>
    <w:rsid w:val="00FD2FF2"/>
    <w:rsid w:val="00FD35F4"/>
    <w:rsid w:val="00FE1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1DB91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65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rsid w:val="007552A9"/>
    <w:rPr>
      <w:rFonts w:cs="Times New Roman"/>
    </w:rPr>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ADBE4-D858-42E2-99F2-061CF241D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1684</Words>
  <Characters>8272</Characters>
  <Application>Microsoft Office Word</Application>
  <DocSecurity>0</DocSecurity>
  <Lines>68</Lines>
  <Paragraphs>19</Paragraphs>
  <ScaleCrop>false</ScaleCrop>
  <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2018-10-15T11:58:00Z</dcterms:created>
  <dcterms:modified xsi:type="dcterms:W3CDTF">2018-10-15T11:58:00Z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