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3CD15" w14:textId="77777777" w:rsidR="008F0F55" w:rsidRPr="002D62C4" w:rsidRDefault="00F81D1E" w:rsidP="008F0F55">
      <w:pPr>
        <w:jc w:val="center"/>
        <w:rPr>
          <w:rFonts w:ascii="Book Antiqua" w:hAnsi="Book Antiqua" w:cs="Arial"/>
          <w:sz w:val="16"/>
          <w:szCs w:val="16"/>
        </w:rPr>
      </w:pPr>
      <w:r w:rsidRPr="002D62C4">
        <w:rPr>
          <w:rFonts w:ascii="Book Antiqua" w:hAnsi="Book Antiqua"/>
          <w:noProof/>
          <w:sz w:val="16"/>
          <w:szCs w:val="16"/>
        </w:rPr>
        <w:drawing>
          <wp:inline distT="0" distB="0" distL="0" distR="0" wp14:anchorId="5B3E18BB" wp14:editId="7847A75B">
            <wp:extent cx="1039495" cy="914400"/>
            <wp:effectExtent l="2540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49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7F7A91" w14:textId="77777777" w:rsidR="008F0F55" w:rsidRPr="002D62C4" w:rsidRDefault="00C220DB">
      <w:pPr>
        <w:rPr>
          <w:rFonts w:ascii="Book Antiqua" w:hAnsi="Book Antiqua" w:cs="Arial"/>
          <w:sz w:val="16"/>
          <w:szCs w:val="16"/>
        </w:rPr>
      </w:pPr>
    </w:p>
    <w:p w14:paraId="778DE1A4" w14:textId="77777777" w:rsidR="008F0F55" w:rsidRPr="00F146AE" w:rsidRDefault="00F81D1E" w:rsidP="008F0F55">
      <w:pPr>
        <w:tabs>
          <w:tab w:val="right" w:pos="9639"/>
        </w:tabs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Upper Tier</w:t>
      </w:r>
      <w:r w:rsidRPr="00F146AE">
        <w:rPr>
          <w:rFonts w:ascii="Book Antiqua" w:hAnsi="Book Antiqua" w:cs="Arial"/>
          <w:b/>
        </w:rPr>
        <w:t xml:space="preserve"> Tribunal </w:t>
      </w:r>
    </w:p>
    <w:p w14:paraId="19165009" w14:textId="29EBF892" w:rsidR="008F0F55" w:rsidRPr="00F146AE" w:rsidRDefault="00F81D1E" w:rsidP="008F0F55">
      <w:pPr>
        <w:tabs>
          <w:tab w:val="right" w:pos="9639"/>
        </w:tabs>
        <w:rPr>
          <w:rFonts w:ascii="Book Antiqua" w:hAnsi="Book Antiqua" w:cs="Arial"/>
        </w:rPr>
      </w:pPr>
      <w:r w:rsidRPr="00F146AE">
        <w:rPr>
          <w:rFonts w:ascii="Book Antiqua" w:hAnsi="Book Antiqua" w:cs="Arial"/>
          <w:b/>
        </w:rPr>
        <w:t>(Immigration and Asylum Chamber)</w:t>
      </w:r>
      <w:r w:rsidRPr="00F146AE">
        <w:rPr>
          <w:rFonts w:ascii="Book Antiqua" w:hAnsi="Book Antiqua" w:cs="Arial"/>
          <w:b/>
        </w:rPr>
        <w:tab/>
      </w:r>
      <w:r w:rsidRPr="00F146AE">
        <w:rPr>
          <w:rFonts w:ascii="Book Antiqua" w:hAnsi="Book Antiqua" w:cs="Arial"/>
        </w:rPr>
        <w:t xml:space="preserve">Appeal Number: </w:t>
      </w:r>
      <w:bookmarkStart w:id="0" w:name="_GoBack"/>
      <w:r w:rsidR="004940ED">
        <w:rPr>
          <w:rFonts w:ascii="Book Antiqua" w:hAnsi="Book Antiqua" w:cs="Arial"/>
        </w:rPr>
        <w:t>E</w:t>
      </w:r>
      <w:r w:rsidR="0082373D">
        <w:rPr>
          <w:rFonts w:ascii="Book Antiqua" w:hAnsi="Book Antiqua" w:cs="Arial"/>
        </w:rPr>
        <w:t>A/</w:t>
      </w:r>
      <w:r w:rsidR="002D372B">
        <w:rPr>
          <w:rFonts w:ascii="Book Antiqua" w:hAnsi="Book Antiqua" w:cs="Arial"/>
        </w:rPr>
        <w:t>07399/2016</w:t>
      </w:r>
      <w:bookmarkEnd w:id="0"/>
    </w:p>
    <w:p w14:paraId="08091BB3" w14:textId="77777777" w:rsidR="008F0F55" w:rsidRPr="00F146AE" w:rsidRDefault="00C220DB" w:rsidP="008F0F55">
      <w:pPr>
        <w:jc w:val="center"/>
        <w:rPr>
          <w:rFonts w:ascii="Book Antiqua" w:hAnsi="Book Antiqua" w:cs="Arial"/>
        </w:rPr>
      </w:pPr>
    </w:p>
    <w:p w14:paraId="60785EDE" w14:textId="77777777" w:rsidR="008F0F55" w:rsidRPr="00F146AE" w:rsidRDefault="00C220DB" w:rsidP="008F0F55">
      <w:pPr>
        <w:jc w:val="center"/>
        <w:rPr>
          <w:rFonts w:ascii="Book Antiqua" w:hAnsi="Book Antiqua" w:cs="Arial"/>
        </w:rPr>
      </w:pPr>
    </w:p>
    <w:p w14:paraId="5CE9D877" w14:textId="58292B00" w:rsidR="008F0F55" w:rsidRDefault="00F81D1E" w:rsidP="00527EA2">
      <w:pPr>
        <w:jc w:val="center"/>
        <w:rPr>
          <w:rFonts w:ascii="Book Antiqua" w:hAnsi="Book Antiqua" w:cs="Arial"/>
          <w:b/>
          <w:u w:val="single"/>
        </w:rPr>
      </w:pPr>
      <w:r w:rsidRPr="00F146AE">
        <w:rPr>
          <w:rFonts w:ascii="Book Antiqua" w:hAnsi="Book Antiqua" w:cs="Arial"/>
          <w:b/>
          <w:u w:val="single"/>
        </w:rPr>
        <w:t>THE IMMIGRATION ACTS</w:t>
      </w:r>
    </w:p>
    <w:p w14:paraId="3E637DB6" w14:textId="1E6FEA21" w:rsidR="00527EA2" w:rsidRDefault="00527EA2" w:rsidP="00527EA2">
      <w:pPr>
        <w:jc w:val="center"/>
        <w:rPr>
          <w:rFonts w:ascii="Book Antiqua" w:hAnsi="Book Antiqua" w:cs="Arial"/>
          <w:b/>
          <w:u w:val="single"/>
        </w:rPr>
      </w:pPr>
    </w:p>
    <w:p w14:paraId="4675B879" w14:textId="77777777" w:rsidR="002D62C4" w:rsidRDefault="002D62C4" w:rsidP="00527EA2">
      <w:pPr>
        <w:jc w:val="center"/>
        <w:rPr>
          <w:rFonts w:ascii="Book Antiqua" w:hAnsi="Book Antiqua" w:cs="Arial"/>
          <w:b/>
          <w:u w:val="single"/>
        </w:rPr>
      </w:pPr>
    </w:p>
    <w:p w14:paraId="17E7DC5B" w14:textId="7E7985BF" w:rsidR="00527EA2" w:rsidRPr="00527EA2" w:rsidRDefault="00AC54A3" w:rsidP="00AC54A3">
      <w:pPr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Heard at Bradford</w:t>
      </w:r>
      <w:r w:rsidR="00527EA2">
        <w:rPr>
          <w:rFonts w:ascii="Book Antiqua" w:hAnsi="Book Antiqua" w:cs="Arial"/>
          <w:b/>
        </w:rPr>
        <w:tab/>
      </w:r>
      <w:r w:rsidR="00527EA2">
        <w:rPr>
          <w:rFonts w:ascii="Book Antiqua" w:hAnsi="Book Antiqua" w:cs="Arial"/>
          <w:b/>
        </w:rPr>
        <w:tab/>
      </w:r>
      <w:r w:rsidR="00527EA2">
        <w:rPr>
          <w:rFonts w:ascii="Book Antiqua" w:hAnsi="Book Antiqua" w:cs="Arial"/>
          <w:b/>
        </w:rPr>
        <w:tab/>
      </w:r>
      <w:r w:rsidR="00527EA2">
        <w:rPr>
          <w:rFonts w:ascii="Book Antiqua" w:hAnsi="Book Antiqua" w:cs="Arial"/>
          <w:b/>
        </w:rPr>
        <w:tab/>
      </w:r>
      <w:r w:rsidR="00527EA2">
        <w:rPr>
          <w:rFonts w:ascii="Book Antiqua" w:hAnsi="Book Antiqua" w:cs="Arial"/>
          <w:b/>
        </w:rPr>
        <w:tab/>
        <w:t>Decision &amp; Reasons Promulgated</w:t>
      </w:r>
    </w:p>
    <w:tbl>
      <w:tblPr>
        <w:tblW w:w="10791" w:type="dxa"/>
        <w:tblLook w:val="01E0" w:firstRow="1" w:lastRow="1" w:firstColumn="1" w:lastColumn="1" w:noHBand="0" w:noVBand="0"/>
      </w:tblPr>
      <w:tblGrid>
        <w:gridCol w:w="6663"/>
        <w:gridCol w:w="4128"/>
      </w:tblGrid>
      <w:tr w:rsidR="008F0F55" w:rsidRPr="00035322" w14:paraId="2E330527" w14:textId="77777777" w:rsidTr="00AC54A3">
        <w:trPr>
          <w:trHeight w:val="406"/>
        </w:trPr>
        <w:tc>
          <w:tcPr>
            <w:tcW w:w="6663" w:type="dxa"/>
          </w:tcPr>
          <w:p w14:paraId="12222D24" w14:textId="32E42605" w:rsidR="00527EA2" w:rsidRPr="00035322" w:rsidRDefault="00AC54A3" w:rsidP="008F0F55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On 29 June 2018                                             On 3 July 2018        </w:t>
            </w:r>
          </w:p>
        </w:tc>
        <w:tc>
          <w:tcPr>
            <w:tcW w:w="4128" w:type="dxa"/>
          </w:tcPr>
          <w:p w14:paraId="442A84BC" w14:textId="058FEB0D" w:rsidR="00527EA2" w:rsidRPr="00035322" w:rsidRDefault="00527EA2" w:rsidP="00F81D1E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14:paraId="25CFCAFA" w14:textId="77777777" w:rsidR="008F0F55" w:rsidRPr="00F146AE" w:rsidRDefault="00C220DB" w:rsidP="008F0F55">
      <w:pPr>
        <w:jc w:val="center"/>
        <w:rPr>
          <w:rFonts w:ascii="Book Antiqua" w:hAnsi="Book Antiqua" w:cs="Arial"/>
        </w:rPr>
      </w:pPr>
    </w:p>
    <w:p w14:paraId="2FAA90B8" w14:textId="77777777" w:rsidR="008F0F55" w:rsidRPr="00F146AE" w:rsidRDefault="00C220DB" w:rsidP="008F0F55">
      <w:pPr>
        <w:jc w:val="center"/>
        <w:rPr>
          <w:rFonts w:ascii="Book Antiqua" w:hAnsi="Book Antiqua" w:cs="Arial"/>
        </w:rPr>
      </w:pPr>
    </w:p>
    <w:p w14:paraId="3D7EA9A7" w14:textId="77777777" w:rsidR="008F0F55" w:rsidRPr="00F146AE" w:rsidRDefault="00F81D1E" w:rsidP="008F0F55">
      <w:pPr>
        <w:jc w:val="center"/>
        <w:rPr>
          <w:rFonts w:ascii="Book Antiqua" w:hAnsi="Book Antiqua" w:cs="Arial"/>
          <w:b/>
        </w:rPr>
      </w:pPr>
      <w:r w:rsidRPr="00F146AE">
        <w:rPr>
          <w:rFonts w:ascii="Book Antiqua" w:hAnsi="Book Antiqua" w:cs="Arial"/>
          <w:b/>
        </w:rPr>
        <w:t>Before</w:t>
      </w:r>
    </w:p>
    <w:p w14:paraId="3F3F3818" w14:textId="77777777" w:rsidR="008F0F55" w:rsidRPr="00F146AE" w:rsidRDefault="00C220DB" w:rsidP="008F0F55">
      <w:pPr>
        <w:jc w:val="center"/>
        <w:rPr>
          <w:rFonts w:ascii="Book Antiqua" w:hAnsi="Book Antiqua" w:cs="Arial"/>
          <w:b/>
        </w:rPr>
      </w:pPr>
    </w:p>
    <w:p w14:paraId="7757D50B" w14:textId="77777777" w:rsidR="008F0F55" w:rsidRPr="00F146AE" w:rsidRDefault="00F81D1E" w:rsidP="008F0F55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Deputy Upper Tribunal Judge Pickup</w:t>
      </w:r>
    </w:p>
    <w:p w14:paraId="3B7F5BF9" w14:textId="77777777" w:rsidR="002D62C4" w:rsidRDefault="002D62C4" w:rsidP="008F0F55">
      <w:pPr>
        <w:jc w:val="center"/>
        <w:rPr>
          <w:rFonts w:ascii="Book Antiqua" w:hAnsi="Book Antiqua" w:cs="Arial"/>
          <w:b/>
        </w:rPr>
      </w:pPr>
    </w:p>
    <w:p w14:paraId="67283C4F" w14:textId="77777777" w:rsidR="002D62C4" w:rsidRDefault="002D62C4" w:rsidP="008F0F55">
      <w:pPr>
        <w:jc w:val="center"/>
        <w:rPr>
          <w:rFonts w:ascii="Book Antiqua" w:hAnsi="Book Antiqua" w:cs="Arial"/>
          <w:b/>
        </w:rPr>
      </w:pPr>
    </w:p>
    <w:p w14:paraId="7F950F83" w14:textId="01063B94" w:rsidR="008F0F55" w:rsidRPr="00F146AE" w:rsidRDefault="00F81D1E" w:rsidP="008F0F55">
      <w:pPr>
        <w:jc w:val="center"/>
        <w:rPr>
          <w:rFonts w:ascii="Book Antiqua" w:hAnsi="Book Antiqua" w:cs="Arial"/>
          <w:b/>
        </w:rPr>
      </w:pPr>
      <w:r w:rsidRPr="00F146AE">
        <w:rPr>
          <w:rFonts w:ascii="Book Antiqua" w:hAnsi="Book Antiqua" w:cs="Arial"/>
          <w:b/>
        </w:rPr>
        <w:t>Between</w:t>
      </w:r>
    </w:p>
    <w:p w14:paraId="148112FF" w14:textId="77777777" w:rsidR="008F0F55" w:rsidRPr="00F146AE" w:rsidRDefault="00C220DB" w:rsidP="008F0F55">
      <w:pPr>
        <w:jc w:val="center"/>
        <w:rPr>
          <w:rFonts w:ascii="Book Antiqua" w:hAnsi="Book Antiqua" w:cs="Arial"/>
          <w:b/>
        </w:rPr>
      </w:pPr>
    </w:p>
    <w:p w14:paraId="36C28499" w14:textId="1CB248F8" w:rsidR="008F0F55" w:rsidRDefault="002D372B" w:rsidP="008F0F55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Muhammad Ismail</w:t>
      </w:r>
    </w:p>
    <w:p w14:paraId="5F65B1C1" w14:textId="77777777" w:rsidR="008F0F55" w:rsidRDefault="00F81D1E" w:rsidP="008F0F55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[No anonymity direction made]</w:t>
      </w:r>
    </w:p>
    <w:p w14:paraId="382C14C7" w14:textId="77777777" w:rsidR="008F0F55" w:rsidRPr="00F146AE" w:rsidRDefault="00F81D1E" w:rsidP="008F0F55">
      <w:pPr>
        <w:jc w:val="right"/>
        <w:rPr>
          <w:rFonts w:ascii="Book Antiqua" w:hAnsi="Book Antiqua" w:cs="Arial"/>
          <w:u w:val="single"/>
        </w:rPr>
      </w:pPr>
      <w:r w:rsidRPr="00F146AE">
        <w:rPr>
          <w:rFonts w:ascii="Book Antiqua" w:hAnsi="Book Antiqua" w:cs="Arial"/>
          <w:u w:val="single"/>
        </w:rPr>
        <w:t>Appellant</w:t>
      </w:r>
    </w:p>
    <w:p w14:paraId="0E25DA8E" w14:textId="77777777" w:rsidR="008F0F55" w:rsidRPr="00F146AE" w:rsidRDefault="00F81D1E" w:rsidP="008F0F55">
      <w:pPr>
        <w:jc w:val="center"/>
        <w:rPr>
          <w:rFonts w:ascii="Book Antiqua" w:hAnsi="Book Antiqua" w:cs="Arial"/>
          <w:b/>
        </w:rPr>
      </w:pPr>
      <w:r w:rsidRPr="00F146AE">
        <w:rPr>
          <w:rFonts w:ascii="Book Antiqua" w:hAnsi="Book Antiqua" w:cs="Arial"/>
          <w:b/>
        </w:rPr>
        <w:t>and</w:t>
      </w:r>
    </w:p>
    <w:p w14:paraId="5D3E3F45" w14:textId="77777777" w:rsidR="008F0F55" w:rsidRPr="00F146AE" w:rsidRDefault="00C220DB" w:rsidP="008F0F55">
      <w:pPr>
        <w:jc w:val="center"/>
        <w:rPr>
          <w:rFonts w:ascii="Book Antiqua" w:hAnsi="Book Antiqua" w:cs="Arial"/>
          <w:b/>
        </w:rPr>
      </w:pPr>
    </w:p>
    <w:p w14:paraId="380E110F" w14:textId="130F2685" w:rsidR="008F0F55" w:rsidRDefault="002D372B" w:rsidP="008F0F55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Secretary of State for the Home Department</w:t>
      </w:r>
    </w:p>
    <w:p w14:paraId="4138BE2F" w14:textId="77777777" w:rsidR="008F0F55" w:rsidRPr="00F146AE" w:rsidRDefault="00F81D1E" w:rsidP="008F0F55">
      <w:pPr>
        <w:jc w:val="right"/>
        <w:rPr>
          <w:rFonts w:ascii="Book Antiqua" w:hAnsi="Book Antiqua" w:cs="Arial"/>
          <w:u w:val="single"/>
        </w:rPr>
      </w:pPr>
      <w:r w:rsidRPr="00F146AE">
        <w:rPr>
          <w:rFonts w:ascii="Book Antiqua" w:hAnsi="Book Antiqua" w:cs="Arial"/>
          <w:u w:val="single"/>
        </w:rPr>
        <w:t>Respondent</w:t>
      </w:r>
    </w:p>
    <w:p w14:paraId="38E4F76D" w14:textId="5B6973E7" w:rsidR="008F0F55" w:rsidRDefault="00C220DB" w:rsidP="008F0F55">
      <w:pPr>
        <w:rPr>
          <w:rFonts w:ascii="Book Antiqua" w:hAnsi="Book Antiqua" w:cs="Arial"/>
          <w:u w:val="single"/>
        </w:rPr>
      </w:pPr>
    </w:p>
    <w:p w14:paraId="77905635" w14:textId="77777777" w:rsidR="002D62C4" w:rsidRPr="00F146AE" w:rsidRDefault="002D62C4" w:rsidP="008F0F55">
      <w:pPr>
        <w:rPr>
          <w:rFonts w:ascii="Book Antiqua" w:hAnsi="Book Antiqua" w:cs="Arial"/>
          <w:u w:val="single"/>
        </w:rPr>
      </w:pPr>
    </w:p>
    <w:p w14:paraId="4984D457" w14:textId="4FE4902F" w:rsidR="008F0F55" w:rsidRPr="00F146AE" w:rsidRDefault="00F81D1E" w:rsidP="008F0F55">
      <w:pPr>
        <w:rPr>
          <w:rFonts w:ascii="Book Antiqua" w:hAnsi="Book Antiqua" w:cs="Arial"/>
        </w:rPr>
      </w:pPr>
      <w:r w:rsidRPr="00F146AE">
        <w:rPr>
          <w:rFonts w:ascii="Book Antiqua" w:hAnsi="Book Antiqua" w:cs="Arial"/>
          <w:b/>
          <w:u w:val="single"/>
        </w:rPr>
        <w:t>Representation</w:t>
      </w:r>
      <w:r w:rsidRPr="00F146AE">
        <w:rPr>
          <w:rFonts w:ascii="Book Antiqua" w:hAnsi="Book Antiqua" w:cs="Arial"/>
          <w:b/>
        </w:rPr>
        <w:t>:</w:t>
      </w:r>
    </w:p>
    <w:p w14:paraId="07D2F409" w14:textId="749AC366" w:rsidR="008F0F55" w:rsidRPr="00F146AE" w:rsidRDefault="00F81D1E" w:rsidP="008F0F55">
      <w:pPr>
        <w:tabs>
          <w:tab w:val="left" w:pos="2520"/>
        </w:tabs>
        <w:rPr>
          <w:rFonts w:ascii="Book Antiqua" w:hAnsi="Book Antiqua" w:cs="Arial"/>
        </w:rPr>
      </w:pPr>
      <w:r>
        <w:rPr>
          <w:rFonts w:ascii="Book Antiqua" w:hAnsi="Book Antiqua" w:cs="Arial"/>
        </w:rPr>
        <w:t>For the a</w:t>
      </w:r>
      <w:r w:rsidRPr="00F146AE">
        <w:rPr>
          <w:rFonts w:ascii="Book Antiqua" w:hAnsi="Book Antiqua" w:cs="Arial"/>
        </w:rPr>
        <w:t>ppellant:</w:t>
      </w:r>
      <w:r w:rsidRPr="00F146AE">
        <w:rPr>
          <w:rFonts w:ascii="Book Antiqua" w:hAnsi="Book Antiqua" w:cs="Arial"/>
        </w:rPr>
        <w:tab/>
      </w:r>
      <w:r w:rsidR="00D90369">
        <w:rPr>
          <w:rFonts w:ascii="Book Antiqua" w:hAnsi="Book Antiqua" w:cs="Arial"/>
        </w:rPr>
        <w:t>No attendance and not represented</w:t>
      </w:r>
    </w:p>
    <w:p w14:paraId="42E8BC5C" w14:textId="386AC965" w:rsidR="008F0F55" w:rsidRPr="00F146AE" w:rsidRDefault="00F81D1E" w:rsidP="008F0F55">
      <w:pPr>
        <w:tabs>
          <w:tab w:val="left" w:pos="2520"/>
        </w:tabs>
        <w:rPr>
          <w:rFonts w:ascii="Book Antiqua" w:hAnsi="Book Antiqua" w:cs="Arial"/>
        </w:rPr>
      </w:pPr>
      <w:r>
        <w:rPr>
          <w:rFonts w:ascii="Book Antiqua" w:hAnsi="Book Antiqua" w:cs="Arial"/>
        </w:rPr>
        <w:t>For the r</w:t>
      </w:r>
      <w:r w:rsidRPr="00F146AE">
        <w:rPr>
          <w:rFonts w:ascii="Book Antiqua" w:hAnsi="Book Antiqua" w:cs="Arial"/>
        </w:rPr>
        <w:t>espondent:</w:t>
      </w:r>
      <w:r w:rsidRPr="00F146AE">
        <w:rPr>
          <w:rFonts w:ascii="Book Antiqua" w:hAnsi="Book Antiqua" w:cs="Arial"/>
        </w:rPr>
        <w:tab/>
      </w:r>
      <w:r w:rsidR="00D90369">
        <w:rPr>
          <w:rFonts w:ascii="Book Antiqua" w:hAnsi="Book Antiqua" w:cs="Arial"/>
        </w:rPr>
        <w:t>Mr M Diwnycz</w:t>
      </w:r>
      <w:r>
        <w:rPr>
          <w:rFonts w:ascii="Book Antiqua" w:hAnsi="Book Antiqua" w:cs="Arial"/>
        </w:rPr>
        <w:t>, Senior Home Office Presenting Officer</w:t>
      </w:r>
    </w:p>
    <w:p w14:paraId="758EED03" w14:textId="5C730E6A" w:rsidR="008F0F55" w:rsidRDefault="00C220DB" w:rsidP="008F0F55">
      <w:pPr>
        <w:tabs>
          <w:tab w:val="left" w:pos="2520"/>
        </w:tabs>
        <w:jc w:val="center"/>
        <w:rPr>
          <w:rFonts w:ascii="Book Antiqua" w:hAnsi="Book Antiqua" w:cs="Arial"/>
        </w:rPr>
      </w:pPr>
    </w:p>
    <w:p w14:paraId="44FCE11C" w14:textId="77777777" w:rsidR="002D62C4" w:rsidRPr="00F146AE" w:rsidRDefault="002D62C4" w:rsidP="008F0F55">
      <w:pPr>
        <w:tabs>
          <w:tab w:val="left" w:pos="2520"/>
        </w:tabs>
        <w:jc w:val="center"/>
        <w:rPr>
          <w:rFonts w:ascii="Book Antiqua" w:hAnsi="Book Antiqua" w:cs="Arial"/>
        </w:rPr>
      </w:pPr>
    </w:p>
    <w:p w14:paraId="072772E5" w14:textId="77777777" w:rsidR="008F0F55" w:rsidRDefault="00F81D1E" w:rsidP="008F0F55">
      <w:pPr>
        <w:tabs>
          <w:tab w:val="left" w:pos="2520"/>
        </w:tabs>
        <w:jc w:val="center"/>
        <w:rPr>
          <w:rFonts w:ascii="Book Antiqua" w:hAnsi="Book Antiqua" w:cs="Arial"/>
          <w:b/>
          <w:u w:val="single"/>
        </w:rPr>
      </w:pPr>
      <w:r w:rsidRPr="00F146AE">
        <w:rPr>
          <w:rFonts w:ascii="Book Antiqua" w:hAnsi="Book Antiqua" w:cs="Arial"/>
          <w:b/>
          <w:u w:val="single"/>
        </w:rPr>
        <w:t>DE</w:t>
      </w:r>
      <w:r>
        <w:rPr>
          <w:rFonts w:ascii="Book Antiqua" w:hAnsi="Book Antiqua" w:cs="Arial"/>
          <w:b/>
          <w:u w:val="single"/>
        </w:rPr>
        <w:t>CISION</w:t>
      </w:r>
      <w:r w:rsidRPr="00F146AE">
        <w:rPr>
          <w:rFonts w:ascii="Book Antiqua" w:hAnsi="Book Antiqua" w:cs="Arial"/>
          <w:b/>
          <w:u w:val="single"/>
        </w:rPr>
        <w:t xml:space="preserve"> AND REASONS</w:t>
      </w:r>
    </w:p>
    <w:p w14:paraId="14176EF1" w14:textId="0B9358A6" w:rsidR="00E84522" w:rsidRDefault="00F81D1E" w:rsidP="002D62C4">
      <w:pPr>
        <w:numPr>
          <w:ilvl w:val="0"/>
          <w:numId w:val="3"/>
        </w:numPr>
        <w:spacing w:before="16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This is </w:t>
      </w:r>
      <w:r w:rsidR="006622F1">
        <w:rPr>
          <w:rFonts w:ascii="Book Antiqua" w:hAnsi="Book Antiqua" w:cs="Arial"/>
        </w:rPr>
        <w:t>the appellant’s</w:t>
      </w:r>
      <w:r>
        <w:rPr>
          <w:rFonts w:ascii="Book Antiqua" w:hAnsi="Book Antiqua" w:cs="Arial"/>
        </w:rPr>
        <w:t xml:space="preserve"> appeal against the decision of </w:t>
      </w:r>
      <w:r w:rsidR="006622F1">
        <w:rPr>
          <w:rFonts w:ascii="Book Antiqua" w:hAnsi="Book Antiqua" w:cs="Arial"/>
        </w:rPr>
        <w:t>Resident</w:t>
      </w:r>
      <w:r>
        <w:rPr>
          <w:rFonts w:ascii="Book Antiqua" w:hAnsi="Book Antiqua" w:cs="Arial"/>
        </w:rPr>
        <w:t xml:space="preserve"> Judge </w:t>
      </w:r>
      <w:r w:rsidR="006622F1">
        <w:rPr>
          <w:rFonts w:ascii="Book Antiqua" w:hAnsi="Book Antiqua" w:cs="Arial"/>
        </w:rPr>
        <w:t>Zucker</w:t>
      </w:r>
      <w:r w:rsidR="00FC346C">
        <w:rPr>
          <w:rFonts w:ascii="Book Antiqua" w:hAnsi="Book Antiqua" w:cs="Arial"/>
        </w:rPr>
        <w:t xml:space="preserve"> promulgated </w:t>
      </w:r>
      <w:r w:rsidR="006622F1">
        <w:rPr>
          <w:rFonts w:ascii="Book Antiqua" w:hAnsi="Book Antiqua" w:cs="Arial"/>
        </w:rPr>
        <w:t>17.7.17</w:t>
      </w:r>
      <w:r>
        <w:rPr>
          <w:rFonts w:ascii="Book Antiqua" w:hAnsi="Book Antiqua" w:cs="Arial"/>
        </w:rPr>
        <w:t xml:space="preserve">, </w:t>
      </w:r>
      <w:r w:rsidR="00FC346C">
        <w:rPr>
          <w:rFonts w:ascii="Book Antiqua" w:hAnsi="Book Antiqua" w:cs="Arial"/>
        </w:rPr>
        <w:t>dismissing</w:t>
      </w:r>
      <w:r>
        <w:rPr>
          <w:rFonts w:ascii="Book Antiqua" w:hAnsi="Book Antiqua" w:cs="Arial"/>
        </w:rPr>
        <w:t xml:space="preserve"> </w:t>
      </w:r>
      <w:r w:rsidR="001857F3">
        <w:rPr>
          <w:rFonts w:ascii="Book Antiqua" w:hAnsi="Book Antiqua" w:cs="Arial"/>
        </w:rPr>
        <w:t xml:space="preserve">for want of jurisdiction </w:t>
      </w:r>
      <w:r>
        <w:rPr>
          <w:rFonts w:ascii="Book Antiqua" w:hAnsi="Book Antiqua" w:cs="Arial"/>
        </w:rPr>
        <w:t xml:space="preserve">his appeal against the decision of the </w:t>
      </w:r>
      <w:r w:rsidR="00FC346C">
        <w:rPr>
          <w:rFonts w:ascii="Book Antiqua" w:hAnsi="Book Antiqua" w:cs="Arial"/>
        </w:rPr>
        <w:t xml:space="preserve">Secretary of State, dated </w:t>
      </w:r>
      <w:r w:rsidR="001857F3">
        <w:rPr>
          <w:rFonts w:ascii="Book Antiqua" w:hAnsi="Book Antiqua" w:cs="Arial"/>
        </w:rPr>
        <w:t>7.6.16</w:t>
      </w:r>
      <w:r w:rsidR="00FC346C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to refuse </w:t>
      </w:r>
      <w:r w:rsidR="00FC346C">
        <w:rPr>
          <w:rFonts w:ascii="Book Antiqua" w:hAnsi="Book Antiqua" w:cs="Arial"/>
        </w:rPr>
        <w:t xml:space="preserve">his application </w:t>
      </w:r>
      <w:r w:rsidR="00987E1F">
        <w:rPr>
          <w:rFonts w:ascii="Book Antiqua" w:hAnsi="Book Antiqua" w:cs="Arial"/>
        </w:rPr>
        <w:t xml:space="preserve">made on 11.12.15 </w:t>
      </w:r>
      <w:r w:rsidR="00E84522">
        <w:rPr>
          <w:rFonts w:ascii="Book Antiqua" w:hAnsi="Book Antiqua" w:cs="Arial"/>
        </w:rPr>
        <w:t>for an EEA Residence Card, pursuant to the Immigration (EEA) Regulations 20</w:t>
      </w:r>
      <w:r w:rsidR="00987E1F">
        <w:rPr>
          <w:rFonts w:ascii="Book Antiqua" w:hAnsi="Book Antiqua" w:cs="Arial"/>
        </w:rPr>
        <w:t>06.</w:t>
      </w:r>
    </w:p>
    <w:p w14:paraId="2EBC9A18" w14:textId="4C311DC0" w:rsidR="00750CDF" w:rsidRDefault="00750CDF" w:rsidP="002D62C4">
      <w:pPr>
        <w:numPr>
          <w:ilvl w:val="0"/>
          <w:numId w:val="3"/>
        </w:numPr>
        <w:spacing w:before="16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Neither the appellant nor any representative attended the appeal hearing. </w:t>
      </w:r>
      <w:r w:rsidR="009C13A4">
        <w:rPr>
          <w:rFonts w:ascii="Book Antiqua" w:hAnsi="Book Antiqua" w:cs="Arial"/>
        </w:rPr>
        <w:t>W</w:t>
      </w:r>
      <w:r>
        <w:rPr>
          <w:rFonts w:ascii="Book Antiqua" w:hAnsi="Book Antiqua" w:cs="Arial"/>
        </w:rPr>
        <w:t>hen contacted by telephone</w:t>
      </w:r>
      <w:r w:rsidR="009C13A4">
        <w:rPr>
          <w:rFonts w:ascii="Book Antiqua" w:hAnsi="Book Antiqua" w:cs="Arial"/>
        </w:rPr>
        <w:t xml:space="preserve">, the representatives confirmed that they would not be </w:t>
      </w:r>
      <w:r w:rsidR="009C13A4">
        <w:rPr>
          <w:rFonts w:ascii="Book Antiqua" w:hAnsi="Book Antiqua" w:cs="Arial"/>
        </w:rPr>
        <w:lastRenderedPageBreak/>
        <w:t xml:space="preserve">attending but asked for the matter to be dealt with on paper. That was not possible but I have dealt with it in any event. </w:t>
      </w:r>
    </w:p>
    <w:p w14:paraId="422BD9D3" w14:textId="7E58A32E" w:rsidR="00FC346C" w:rsidRDefault="008476A9" w:rsidP="002D62C4">
      <w:pPr>
        <w:numPr>
          <w:ilvl w:val="0"/>
          <w:numId w:val="3"/>
        </w:numPr>
        <w:spacing w:before="16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This is one of those appeals of an EFM which, following</w:t>
      </w:r>
      <w:r w:rsidR="00512560">
        <w:rPr>
          <w:rFonts w:ascii="Book Antiqua" w:hAnsi="Book Antiqua" w:cs="Arial"/>
        </w:rPr>
        <w:t xml:space="preserve"> the </w:t>
      </w:r>
      <w:r w:rsidR="001B3D1D">
        <w:rPr>
          <w:rFonts w:ascii="Book Antiqua" w:hAnsi="Book Antiqua" w:cs="Arial"/>
        </w:rPr>
        <w:t xml:space="preserve">binding </w:t>
      </w:r>
      <w:r w:rsidR="00512560">
        <w:rPr>
          <w:rFonts w:ascii="Book Antiqua" w:hAnsi="Book Antiqua" w:cs="Arial"/>
        </w:rPr>
        <w:t>decision of the Upper Tribunal in</w:t>
      </w:r>
      <w:r>
        <w:rPr>
          <w:rFonts w:ascii="Book Antiqua" w:hAnsi="Book Antiqua" w:cs="Arial"/>
        </w:rPr>
        <w:t xml:space="preserve"> </w:t>
      </w:r>
      <w:r w:rsidRPr="008476A9">
        <w:rPr>
          <w:rFonts w:ascii="Book Antiqua" w:hAnsi="Book Antiqua" w:cs="Arial"/>
          <w:u w:val="single"/>
        </w:rPr>
        <w:t>Sala (EFMs: Right of Appeal)</w:t>
      </w:r>
      <w:r>
        <w:rPr>
          <w:rFonts w:ascii="Book Antiqua" w:hAnsi="Book Antiqua" w:cs="Arial"/>
        </w:rPr>
        <w:t xml:space="preserve"> [2016] UKUT 00411 (IAC), </w:t>
      </w:r>
      <w:r w:rsidR="001B3D1D">
        <w:rPr>
          <w:rFonts w:ascii="Book Antiqua" w:hAnsi="Book Antiqua" w:cs="Arial"/>
        </w:rPr>
        <w:t>the First-tier Tribunal was obliged to dismiss for want of jurisdiction, the Upper Tribunal having found that there was no right of appeal for an EFM</w:t>
      </w:r>
      <w:r w:rsidR="00676E1D">
        <w:rPr>
          <w:rFonts w:ascii="Book Antiqua" w:hAnsi="Book Antiqua" w:cs="Arial"/>
        </w:rPr>
        <w:t xml:space="preserve"> against the decision of the Secretary of State</w:t>
      </w:r>
      <w:r w:rsidR="001B3D1D">
        <w:rPr>
          <w:rFonts w:ascii="Book Antiqua" w:hAnsi="Book Antiqua" w:cs="Arial"/>
        </w:rPr>
        <w:t xml:space="preserve">. </w:t>
      </w:r>
    </w:p>
    <w:p w14:paraId="2DAFC544" w14:textId="292C8F05" w:rsidR="001B3D1D" w:rsidRDefault="001B3D1D" w:rsidP="002D62C4">
      <w:pPr>
        <w:numPr>
          <w:ilvl w:val="0"/>
          <w:numId w:val="3"/>
        </w:numPr>
        <w:spacing w:before="16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However,</w:t>
      </w:r>
      <w:r w:rsidR="00AD6BE5">
        <w:rPr>
          <w:rFonts w:ascii="Book Antiqua" w:hAnsi="Book Antiqua" w:cs="Arial"/>
        </w:rPr>
        <w:t xml:space="preserve"> </w:t>
      </w:r>
      <w:r w:rsidR="00527648">
        <w:rPr>
          <w:rFonts w:ascii="Book Antiqua" w:hAnsi="Book Antiqua" w:cs="Arial"/>
        </w:rPr>
        <w:t xml:space="preserve">in </w:t>
      </w:r>
      <w:r w:rsidR="00527648" w:rsidRPr="00F560F4">
        <w:rPr>
          <w:rFonts w:ascii="Book Antiqua" w:hAnsi="Book Antiqua" w:cs="Arial"/>
          <w:u w:val="single"/>
        </w:rPr>
        <w:t>Khan v SSHD</w:t>
      </w:r>
      <w:r w:rsidR="00527648">
        <w:rPr>
          <w:rFonts w:ascii="Book Antiqua" w:hAnsi="Book Antiqua" w:cs="Arial"/>
        </w:rPr>
        <w:t xml:space="preserve"> </w:t>
      </w:r>
      <w:r w:rsidR="00F560F4">
        <w:rPr>
          <w:rFonts w:ascii="Book Antiqua" w:hAnsi="Book Antiqua" w:cs="Arial"/>
        </w:rPr>
        <w:t xml:space="preserve">[2017] EWCA Civ 1755, </w:t>
      </w:r>
      <w:r w:rsidR="00AD6BE5">
        <w:rPr>
          <w:rFonts w:ascii="Book Antiqua" w:hAnsi="Book Antiqua" w:cs="Arial"/>
        </w:rPr>
        <w:t>the Court of Appeal held that</w:t>
      </w:r>
      <w:r>
        <w:rPr>
          <w:rFonts w:ascii="Book Antiqua" w:hAnsi="Book Antiqua" w:cs="Arial"/>
        </w:rPr>
        <w:t xml:space="preserve"> </w:t>
      </w:r>
      <w:r w:rsidR="00A17605" w:rsidRPr="00AD6BE5">
        <w:rPr>
          <w:rFonts w:ascii="Book Antiqua" w:hAnsi="Book Antiqua" w:cs="Arial"/>
          <w:u w:val="single"/>
        </w:rPr>
        <w:t>Sala</w:t>
      </w:r>
      <w:r w:rsidR="00A17605">
        <w:rPr>
          <w:rFonts w:ascii="Book Antiqua" w:hAnsi="Book Antiqua" w:cs="Arial"/>
        </w:rPr>
        <w:t xml:space="preserve"> </w:t>
      </w:r>
      <w:r w:rsidR="00AD6BE5">
        <w:rPr>
          <w:rFonts w:ascii="Book Antiqua" w:hAnsi="Book Antiqua" w:cs="Arial"/>
        </w:rPr>
        <w:t xml:space="preserve">was wrongly decided. </w:t>
      </w:r>
      <w:r w:rsidR="00F560F4">
        <w:rPr>
          <w:rFonts w:ascii="Book Antiqua" w:hAnsi="Book Antiqua" w:cs="Arial"/>
        </w:rPr>
        <w:t>It follows that, at</w:t>
      </w:r>
      <w:r w:rsidR="00C56A78">
        <w:rPr>
          <w:rFonts w:ascii="Book Antiqua" w:hAnsi="Book Antiqua" w:cs="Arial"/>
        </w:rPr>
        <w:t xml:space="preserve"> least </w:t>
      </w:r>
      <w:r w:rsidR="00696C14">
        <w:rPr>
          <w:rFonts w:ascii="Book Antiqua" w:hAnsi="Book Antiqua" w:cs="Arial"/>
        </w:rPr>
        <w:t xml:space="preserve">in respect of applications to be considered </w:t>
      </w:r>
      <w:r w:rsidR="00C56A78">
        <w:rPr>
          <w:rFonts w:ascii="Book Antiqua" w:hAnsi="Book Antiqua" w:cs="Arial"/>
        </w:rPr>
        <w:t>under the 2006 Regulations</w:t>
      </w:r>
      <w:r w:rsidR="00F560F4">
        <w:rPr>
          <w:rFonts w:ascii="Book Antiqua" w:hAnsi="Book Antiqua" w:cs="Arial"/>
        </w:rPr>
        <w:t>,</w:t>
      </w:r>
      <w:r w:rsidR="00C56A78">
        <w:rPr>
          <w:rFonts w:ascii="Book Antiqua" w:hAnsi="Book Antiqua" w:cs="Arial"/>
        </w:rPr>
        <w:t xml:space="preserve"> an EFM does have a right of appeal.</w:t>
      </w:r>
    </w:p>
    <w:p w14:paraId="6737D7A0" w14:textId="74D64249" w:rsidR="008F0F55" w:rsidRDefault="00696C14" w:rsidP="002D62C4">
      <w:pPr>
        <w:numPr>
          <w:ilvl w:val="0"/>
          <w:numId w:val="3"/>
        </w:numPr>
        <w:spacing w:before="16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It follows that there was an error of law in the making of the decision of the First-tier Tribunal, requiring the decision to be set aside and remade. </w:t>
      </w:r>
    </w:p>
    <w:p w14:paraId="6457FA20" w14:textId="77777777" w:rsidR="00FC346C" w:rsidRPr="00696C14" w:rsidRDefault="00FC346C" w:rsidP="002D62C4">
      <w:pPr>
        <w:spacing w:before="160"/>
        <w:jc w:val="both"/>
        <w:rPr>
          <w:rFonts w:ascii="Book Antiqua" w:hAnsi="Book Antiqua" w:cs="Arial"/>
          <w:i/>
        </w:rPr>
      </w:pPr>
      <w:r w:rsidRPr="00696C14">
        <w:rPr>
          <w:rFonts w:ascii="Book Antiqua" w:hAnsi="Book Antiqua" w:cs="Arial"/>
          <w:i/>
        </w:rPr>
        <w:t>Remittal</w:t>
      </w:r>
    </w:p>
    <w:p w14:paraId="106FB664" w14:textId="28B4D36D" w:rsidR="00750CDF" w:rsidRDefault="00FC346C" w:rsidP="002D62C4">
      <w:pPr>
        <w:numPr>
          <w:ilvl w:val="0"/>
          <w:numId w:val="3"/>
        </w:numPr>
        <w:tabs>
          <w:tab w:val="left" w:pos="2520"/>
        </w:tabs>
        <w:spacing w:before="160"/>
        <w:jc w:val="both"/>
        <w:rPr>
          <w:rFonts w:ascii="Book Antiqua" w:hAnsi="Book Antiqua" w:cs="Arial"/>
        </w:rPr>
      </w:pPr>
      <w:r>
        <w:rPr>
          <w:rFonts w:ascii="Book Antiqua" w:hAnsi="Book Antiqua" w:cs="Book Antiqua"/>
          <w:lang w:val="en-US" w:eastAsia="en-US"/>
        </w:rPr>
        <w:t xml:space="preserve">When a decision of the First-tier Tribunal has been set aside, section 12(2) of the Tribunals, Courts and Enforcement Act 2007 requires either that the case is remitted to the First-tier Tribunal with directions, or it must be remade by the Upper Tribunal. </w:t>
      </w:r>
      <w:r w:rsidRPr="00546BFD">
        <w:rPr>
          <w:rFonts w:ascii="Book Antiqua" w:hAnsi="Book Antiqua" w:cs="Arial"/>
        </w:rPr>
        <w:t>The scheme of the Tribunals Court and Enforcement Act 2007 does not assign the function of primary fact finding to the Upper Tribunal.</w:t>
      </w:r>
      <w:r>
        <w:rPr>
          <w:rFonts w:ascii="Book Antiqua" w:hAnsi="Book Antiqua" w:cs="Arial"/>
        </w:rPr>
        <w:t xml:space="preserve"> </w:t>
      </w:r>
      <w:r w:rsidR="00696C14">
        <w:rPr>
          <w:rFonts w:ascii="Book Antiqua" w:hAnsi="Book Antiqua" w:cs="Arial"/>
        </w:rPr>
        <w:t xml:space="preserve">There has not been any fact-finding </w:t>
      </w:r>
      <w:r w:rsidR="00750CDF">
        <w:rPr>
          <w:rFonts w:ascii="Book Antiqua" w:hAnsi="Book Antiqua" w:cs="Arial"/>
        </w:rPr>
        <w:t xml:space="preserve">at all </w:t>
      </w:r>
      <w:r w:rsidR="00696C14">
        <w:rPr>
          <w:rFonts w:ascii="Book Antiqua" w:hAnsi="Book Antiqua" w:cs="Arial"/>
        </w:rPr>
        <w:t>in respect of this case.</w:t>
      </w:r>
    </w:p>
    <w:p w14:paraId="3C1FBFCF" w14:textId="1E65B7E1" w:rsidR="00750CDF" w:rsidRDefault="00750CDF" w:rsidP="002D62C4">
      <w:pPr>
        <w:numPr>
          <w:ilvl w:val="0"/>
          <w:numId w:val="3"/>
        </w:numPr>
        <w:tabs>
          <w:tab w:val="left" w:pos="2520"/>
        </w:tabs>
        <w:spacing w:before="16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appellant did not attend and was not represented so that it was not practical in any event to remake the decision. </w:t>
      </w:r>
    </w:p>
    <w:p w14:paraId="56902984" w14:textId="313319C0" w:rsidR="00FC346C" w:rsidRPr="00750CDF" w:rsidRDefault="00FC346C" w:rsidP="002D62C4">
      <w:pPr>
        <w:numPr>
          <w:ilvl w:val="0"/>
          <w:numId w:val="3"/>
        </w:numPr>
        <w:tabs>
          <w:tab w:val="left" w:pos="2520"/>
        </w:tabs>
        <w:spacing w:before="160"/>
        <w:jc w:val="both"/>
        <w:rPr>
          <w:rFonts w:ascii="Book Antiqua" w:hAnsi="Book Antiqua" w:cs="Arial"/>
        </w:rPr>
      </w:pPr>
      <w:r w:rsidRPr="00750CDF">
        <w:rPr>
          <w:rFonts w:ascii="Book Antiqua" w:hAnsi="Book Antiqua" w:cs="Book Antiqua"/>
          <w:lang w:val="en-US" w:eastAsia="en-US"/>
        </w:rPr>
        <w:t xml:space="preserve">In all the circumstances, </w:t>
      </w:r>
      <w:r w:rsidR="001937A9" w:rsidRPr="00750CDF">
        <w:rPr>
          <w:rFonts w:ascii="Book Antiqua" w:hAnsi="Book Antiqua" w:cs="Book Antiqua"/>
          <w:lang w:val="en-US" w:eastAsia="en-US"/>
        </w:rPr>
        <w:t>I</w:t>
      </w:r>
      <w:r w:rsidRPr="00750CDF">
        <w:rPr>
          <w:rFonts w:ascii="Book Antiqua" w:hAnsi="Book Antiqua" w:cs="Book Antiqua"/>
          <w:lang w:val="en-US" w:eastAsia="en-US"/>
        </w:rPr>
        <w:t xml:space="preserve"> </w:t>
      </w:r>
      <w:r w:rsidR="001937A9" w:rsidRPr="00750CDF">
        <w:rPr>
          <w:rFonts w:ascii="Book Antiqua" w:hAnsi="Book Antiqua" w:cs="Book Antiqua"/>
          <w:lang w:val="en-US" w:eastAsia="en-US"/>
        </w:rPr>
        <w:t>remit</w:t>
      </w:r>
      <w:r w:rsidRPr="00750CDF">
        <w:rPr>
          <w:rFonts w:ascii="Book Antiqua" w:hAnsi="Book Antiqua" w:cs="Book Antiqua"/>
          <w:lang w:val="en-US" w:eastAsia="en-US"/>
        </w:rPr>
        <w:t xml:space="preserve"> this appeal for a fresh hearing in the First-tier Tribunal, I do so on the basis that this is a case which falls squarely within the Senior President’s Practice Statement at paragraph 7.2. </w:t>
      </w:r>
    </w:p>
    <w:p w14:paraId="73958CA2" w14:textId="021945AD" w:rsidR="008F0F55" w:rsidRPr="001937A9" w:rsidRDefault="001937A9" w:rsidP="002D62C4">
      <w:pPr>
        <w:tabs>
          <w:tab w:val="left" w:pos="2520"/>
        </w:tabs>
        <w:spacing w:before="160"/>
        <w:jc w:val="both"/>
        <w:rPr>
          <w:rFonts w:ascii="Book Antiqua" w:hAnsi="Book Antiqua" w:cs="Arial"/>
          <w:i/>
        </w:rPr>
      </w:pPr>
      <w:r w:rsidRPr="001937A9">
        <w:rPr>
          <w:rFonts w:ascii="Book Antiqua" w:hAnsi="Book Antiqua" w:cs="Arial"/>
          <w:i/>
        </w:rPr>
        <w:t>Decision</w:t>
      </w:r>
    </w:p>
    <w:p w14:paraId="4B412155" w14:textId="3EEEC16C" w:rsidR="008F0F55" w:rsidRPr="003A0DFB" w:rsidRDefault="00F81D1E" w:rsidP="002D62C4">
      <w:pPr>
        <w:numPr>
          <w:ilvl w:val="0"/>
          <w:numId w:val="3"/>
        </w:numPr>
        <w:tabs>
          <w:tab w:val="left" w:pos="2520"/>
        </w:tabs>
        <w:spacing w:before="160"/>
        <w:jc w:val="both"/>
        <w:rPr>
          <w:rFonts w:ascii="Book Antiqua" w:hAnsi="Book Antiqua" w:cs="Arial"/>
        </w:rPr>
      </w:pPr>
      <w:r w:rsidRPr="003A0DFB">
        <w:rPr>
          <w:rFonts w:ascii="Book Antiqua" w:hAnsi="Book Antiqua" w:cs="Arial"/>
        </w:rPr>
        <w:t>The making of the decision</w:t>
      </w:r>
      <w:r>
        <w:rPr>
          <w:rFonts w:ascii="Book Antiqua" w:hAnsi="Book Antiqua" w:cs="Arial"/>
        </w:rPr>
        <w:t xml:space="preserve"> of the First-tier Tribunal did</w:t>
      </w:r>
      <w:r w:rsidRPr="003A0DFB">
        <w:rPr>
          <w:rFonts w:ascii="Book Antiqua" w:hAnsi="Book Antiqua" w:cs="Arial"/>
        </w:rPr>
        <w:t xml:space="preserve"> involve the making of an error on a point of law</w:t>
      </w:r>
      <w:r>
        <w:rPr>
          <w:rFonts w:ascii="Book Antiqua" w:hAnsi="Book Antiqua" w:cs="Arial"/>
        </w:rPr>
        <w:t xml:space="preserve"> such that the decision should be set aside</w:t>
      </w:r>
      <w:r w:rsidRPr="003A0DFB">
        <w:rPr>
          <w:rFonts w:ascii="Book Antiqua" w:hAnsi="Book Antiqua" w:cs="Arial"/>
        </w:rPr>
        <w:t>.</w:t>
      </w:r>
    </w:p>
    <w:p w14:paraId="07F8E562" w14:textId="1ECE8BE6" w:rsidR="008F0F55" w:rsidRDefault="00F81D1E" w:rsidP="002D62C4">
      <w:pPr>
        <w:tabs>
          <w:tab w:val="left" w:pos="2520"/>
        </w:tabs>
        <w:spacing w:before="160"/>
        <w:jc w:val="both"/>
        <w:rPr>
          <w:rFonts w:ascii="Book Antiqua" w:hAnsi="Book Antiqua" w:cs="Arial"/>
        </w:rPr>
      </w:pPr>
      <w:r w:rsidRPr="003A0DFB">
        <w:rPr>
          <w:rFonts w:ascii="Book Antiqua" w:hAnsi="Book Antiqua" w:cs="Arial"/>
        </w:rPr>
        <w:tab/>
        <w:t>I set aside the decision</w:t>
      </w:r>
      <w:r>
        <w:rPr>
          <w:rFonts w:ascii="Book Antiqua" w:hAnsi="Book Antiqua" w:cs="Arial"/>
        </w:rPr>
        <w:t>.</w:t>
      </w:r>
      <w:r w:rsidRPr="003A0DFB">
        <w:rPr>
          <w:rFonts w:ascii="Book Antiqua" w:hAnsi="Book Antiqua" w:cs="Arial"/>
        </w:rPr>
        <w:t xml:space="preserve"> </w:t>
      </w:r>
    </w:p>
    <w:p w14:paraId="7284A635" w14:textId="09F07816" w:rsidR="00FC346C" w:rsidRPr="003A0DFB" w:rsidRDefault="00FC346C" w:rsidP="002D62C4">
      <w:pPr>
        <w:tabs>
          <w:tab w:val="left" w:pos="2520"/>
        </w:tabs>
        <w:spacing w:before="160"/>
        <w:ind w:left="252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I remit the appeal to be decided afresh in the First-tier Tribunal</w:t>
      </w:r>
      <w:r w:rsidR="00871E0D">
        <w:rPr>
          <w:rFonts w:ascii="Book Antiqua" w:hAnsi="Book Antiqua" w:cs="Arial"/>
        </w:rPr>
        <w:t xml:space="preserve"> at Bradford</w:t>
      </w:r>
      <w:r>
        <w:rPr>
          <w:rFonts w:ascii="Book Antiqua" w:hAnsi="Book Antiqua" w:cs="Arial"/>
        </w:rPr>
        <w:t xml:space="preserve">. </w:t>
      </w:r>
    </w:p>
    <w:p w14:paraId="65E935A3" w14:textId="77777777" w:rsidR="008F0F55" w:rsidRDefault="00F81D1E" w:rsidP="008F0F55">
      <w:pPr>
        <w:tabs>
          <w:tab w:val="left" w:pos="2268"/>
          <w:tab w:val="left" w:pos="5103"/>
        </w:tabs>
        <w:rPr>
          <w:rFonts w:ascii="Book Antiqua" w:hAnsi="Book Antiqua" w:cs="Arial"/>
          <w:b/>
          <w:bCs/>
        </w:rPr>
      </w:pPr>
      <w:r w:rsidRPr="006E1B05">
        <w:rPr>
          <w:rFonts w:ascii="Book Antiqua" w:hAnsi="Book Antiqua" w:cs="Arial"/>
          <w:b/>
          <w:bCs/>
        </w:rPr>
        <w:tab/>
      </w:r>
      <w:r>
        <w:rPr>
          <w:noProof/>
        </w:rPr>
        <w:drawing>
          <wp:inline distT="0" distB="0" distL="0" distR="0" wp14:anchorId="6FEC3DB3" wp14:editId="5507EEBE">
            <wp:extent cx="1979295" cy="1027430"/>
            <wp:effectExtent l="25400" t="0" r="1905" b="0"/>
            <wp:docPr id="2" name="Picture 2" descr="dp s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p si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295" cy="102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BBAE1E" w14:textId="77777777" w:rsidR="008F0F55" w:rsidRPr="006E1B05" w:rsidRDefault="00F81D1E" w:rsidP="008F0F55">
      <w:pPr>
        <w:tabs>
          <w:tab w:val="left" w:pos="2268"/>
          <w:tab w:val="left" w:pos="5103"/>
        </w:tabs>
        <w:rPr>
          <w:rFonts w:ascii="Book Antiqua" w:hAnsi="Book Antiqua" w:cs="Arial"/>
          <w:b/>
          <w:bCs/>
        </w:rPr>
      </w:pPr>
      <w:r>
        <w:rPr>
          <w:rFonts w:ascii="Book Antiqua" w:hAnsi="Book Antiqua" w:cs="Arial"/>
          <w:b/>
          <w:bCs/>
        </w:rPr>
        <w:tab/>
      </w:r>
      <w:r w:rsidRPr="006E1B05">
        <w:rPr>
          <w:rFonts w:ascii="Book Antiqua" w:hAnsi="Book Antiqua" w:cs="Arial"/>
          <w:b/>
          <w:bCs/>
        </w:rPr>
        <w:t>Signed</w:t>
      </w:r>
      <w:r>
        <w:rPr>
          <w:rFonts w:ascii="Book Antiqua" w:hAnsi="Book Antiqua" w:cs="Arial"/>
          <w:b/>
          <w:bCs/>
        </w:rPr>
        <w:tab/>
      </w:r>
    </w:p>
    <w:p w14:paraId="26B0D653" w14:textId="77777777" w:rsidR="008F0F55" w:rsidRPr="006E1B05" w:rsidRDefault="00F81D1E" w:rsidP="008F0F55">
      <w:pPr>
        <w:tabs>
          <w:tab w:val="left" w:pos="2268"/>
          <w:tab w:val="left" w:pos="5103"/>
        </w:tabs>
        <w:ind w:left="567"/>
        <w:rPr>
          <w:rFonts w:ascii="Book Antiqua" w:hAnsi="Book Antiqua" w:cs="Arial"/>
          <w:b/>
          <w:bCs/>
        </w:rPr>
      </w:pPr>
      <w:r>
        <w:rPr>
          <w:rFonts w:ascii="Book Antiqua" w:hAnsi="Book Antiqua" w:cs="Arial"/>
          <w:b/>
          <w:bCs/>
        </w:rPr>
        <w:tab/>
        <w:t>Deputy Upper Tribunal Judge Pickup</w:t>
      </w:r>
    </w:p>
    <w:p w14:paraId="691AFAE0" w14:textId="77777777" w:rsidR="008F0F55" w:rsidRPr="006E1B05" w:rsidRDefault="00C220DB" w:rsidP="008F0F55">
      <w:pPr>
        <w:tabs>
          <w:tab w:val="left" w:pos="2268"/>
          <w:tab w:val="left" w:pos="5103"/>
        </w:tabs>
        <w:rPr>
          <w:rFonts w:ascii="Book Antiqua" w:hAnsi="Book Antiqua" w:cs="Arial"/>
          <w:b/>
          <w:bCs/>
        </w:rPr>
      </w:pPr>
    </w:p>
    <w:p w14:paraId="4B176394" w14:textId="51C776DB" w:rsidR="008F0F55" w:rsidRDefault="00F81D1E" w:rsidP="008F0F55">
      <w:pPr>
        <w:tabs>
          <w:tab w:val="left" w:pos="2268"/>
          <w:tab w:val="left" w:pos="5103"/>
        </w:tabs>
        <w:rPr>
          <w:rFonts w:ascii="Arial" w:hAnsi="Arial" w:cs="Arial"/>
          <w:b/>
          <w:bCs/>
        </w:rPr>
      </w:pPr>
      <w:r>
        <w:rPr>
          <w:rFonts w:ascii="Book Antiqua" w:hAnsi="Book Antiqua" w:cs="Arial"/>
          <w:b/>
          <w:bCs/>
        </w:rPr>
        <w:tab/>
      </w:r>
      <w:r w:rsidRPr="006E1B05">
        <w:rPr>
          <w:rFonts w:ascii="Book Antiqua" w:hAnsi="Book Antiqua" w:cs="Arial"/>
          <w:b/>
          <w:bCs/>
        </w:rPr>
        <w:t>Dated</w:t>
      </w:r>
      <w:r>
        <w:rPr>
          <w:rFonts w:ascii="Arial" w:hAnsi="Arial" w:cs="Arial"/>
          <w:b/>
          <w:bCs/>
        </w:rPr>
        <w:tab/>
      </w:r>
    </w:p>
    <w:p w14:paraId="5B53F670" w14:textId="77777777" w:rsidR="008F0F55" w:rsidRPr="0083585F" w:rsidRDefault="00C220DB" w:rsidP="008F0F55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7F0B993F" w14:textId="77777777" w:rsidR="00D32EB5" w:rsidRDefault="00D32EB5" w:rsidP="008F0F55">
      <w:pPr>
        <w:tabs>
          <w:tab w:val="left" w:pos="2520"/>
        </w:tabs>
        <w:spacing w:before="240" w:after="100" w:afterAutospacing="1"/>
        <w:jc w:val="both"/>
        <w:rPr>
          <w:rFonts w:ascii="Book Antiqua" w:hAnsi="Book Antiqua" w:cs="Arial"/>
        </w:rPr>
      </w:pPr>
    </w:p>
    <w:p w14:paraId="02B7F256" w14:textId="7B02FA9F" w:rsidR="008F0F55" w:rsidRPr="003A0DFB" w:rsidRDefault="00F81D1E" w:rsidP="008F0F55">
      <w:pPr>
        <w:tabs>
          <w:tab w:val="left" w:pos="2520"/>
        </w:tabs>
        <w:spacing w:before="240" w:after="100" w:afterAutospacing="1"/>
        <w:jc w:val="both"/>
        <w:rPr>
          <w:rFonts w:ascii="Book Antiqua" w:hAnsi="Book Antiqua" w:cs="Arial"/>
          <w:b/>
        </w:rPr>
      </w:pPr>
      <w:r w:rsidRPr="003A0DFB">
        <w:rPr>
          <w:rFonts w:ascii="Book Antiqua" w:hAnsi="Book Antiqua" w:cs="Arial"/>
          <w:b/>
        </w:rPr>
        <w:t>Anonymity</w:t>
      </w:r>
    </w:p>
    <w:p w14:paraId="65D8842A" w14:textId="77777777" w:rsidR="008F0F55" w:rsidRPr="003A0DFB" w:rsidRDefault="00F81D1E" w:rsidP="008F0F55">
      <w:pPr>
        <w:tabs>
          <w:tab w:val="left" w:pos="2520"/>
        </w:tabs>
        <w:spacing w:before="240" w:after="100" w:afterAutospacing="1"/>
        <w:jc w:val="both"/>
        <w:rPr>
          <w:rFonts w:ascii="Book Antiqua" w:hAnsi="Book Antiqua" w:cs="Arial"/>
        </w:rPr>
      </w:pPr>
      <w:r>
        <w:rPr>
          <w:rFonts w:ascii="Book Antiqua" w:hAnsi="Book Antiqua"/>
        </w:rPr>
        <w:t xml:space="preserve">I have considered whether any parties require the protection of any anonymity direction. No submissions were made on the issue. </w:t>
      </w:r>
      <w:r>
        <w:rPr>
          <w:rFonts w:ascii="Book Antiqua" w:hAnsi="Book Antiqua" w:cs="Arial"/>
        </w:rPr>
        <w:t xml:space="preserve">The First-tier Tribunal </w:t>
      </w:r>
      <w:r w:rsidRPr="003A0DFB">
        <w:rPr>
          <w:rFonts w:ascii="Book Antiqua" w:hAnsi="Book Antiqua" w:cs="Arial"/>
        </w:rPr>
        <w:t xml:space="preserve">did not make an order pursuant to rule </w:t>
      </w:r>
      <w:r w:rsidR="00304CCE">
        <w:rPr>
          <w:rFonts w:ascii="Book Antiqua" w:hAnsi="Book Antiqua" w:cs="Arial"/>
        </w:rPr>
        <w:t>13(1)</w:t>
      </w:r>
      <w:r w:rsidRPr="003A0DFB">
        <w:rPr>
          <w:rFonts w:ascii="Book Antiqua" w:hAnsi="Book Antiqua" w:cs="Arial"/>
        </w:rPr>
        <w:t xml:space="preserve"> of the </w:t>
      </w:r>
      <w:r w:rsidR="00304CCE">
        <w:rPr>
          <w:rFonts w:ascii="Book Antiqua" w:hAnsi="Book Antiqua" w:cs="Arial"/>
        </w:rPr>
        <w:t>Tribunal Procedure Rules 2014</w:t>
      </w:r>
      <w:r w:rsidRPr="003A0DFB">
        <w:rPr>
          <w:rFonts w:ascii="Book Antiqua" w:hAnsi="Book Antiqua" w:cs="Arial"/>
        </w:rPr>
        <w:t>.</w:t>
      </w:r>
    </w:p>
    <w:p w14:paraId="3E531E92" w14:textId="77777777" w:rsidR="008F0F55" w:rsidRPr="00177DBD" w:rsidRDefault="00F81D1E" w:rsidP="008F0F55">
      <w:pPr>
        <w:tabs>
          <w:tab w:val="left" w:pos="0"/>
          <w:tab w:val="left" w:pos="360"/>
        </w:tabs>
        <w:overflowPunct w:val="0"/>
        <w:autoSpaceDE w:val="0"/>
        <w:autoSpaceDN w:val="0"/>
        <w:adjustRightInd w:val="0"/>
        <w:spacing w:after="120"/>
        <w:jc w:val="both"/>
        <w:textAlignment w:val="baseline"/>
        <w:rPr>
          <w:rFonts w:ascii="Book Antiqua" w:hAnsi="Book Antiqua"/>
        </w:rPr>
      </w:pPr>
      <w:r>
        <w:rPr>
          <w:rFonts w:ascii="Book Antiqua" w:hAnsi="Book Antiqua"/>
        </w:rPr>
        <w:t>Given the circumstances, I make no anonymity order.</w:t>
      </w:r>
    </w:p>
    <w:p w14:paraId="15C89352" w14:textId="77777777" w:rsidR="008F0F55" w:rsidRPr="003A0DFB" w:rsidRDefault="00F81D1E" w:rsidP="008F0F55">
      <w:pPr>
        <w:tabs>
          <w:tab w:val="left" w:pos="2520"/>
        </w:tabs>
        <w:spacing w:before="240" w:after="100" w:afterAutospacing="1"/>
        <w:jc w:val="both"/>
        <w:rPr>
          <w:rFonts w:ascii="Book Antiqua" w:hAnsi="Book Antiqua" w:cs="Arial"/>
          <w:b/>
        </w:rPr>
      </w:pPr>
      <w:r w:rsidRPr="003A0DFB">
        <w:rPr>
          <w:rFonts w:ascii="Book Antiqua" w:hAnsi="Book Antiqua" w:cs="Arial"/>
          <w:b/>
        </w:rPr>
        <w:t xml:space="preserve">Fee Award </w:t>
      </w:r>
      <w:r w:rsidRPr="003A0DFB">
        <w:rPr>
          <w:rFonts w:ascii="Book Antiqua" w:hAnsi="Book Antiqua" w:cs="Arial"/>
          <w:b/>
        </w:rPr>
        <w:tab/>
      </w:r>
      <w:r w:rsidRPr="003A0DFB">
        <w:rPr>
          <w:rFonts w:ascii="Book Antiqua" w:hAnsi="Book Antiqua" w:cs="Arial"/>
          <w:b/>
        </w:rPr>
        <w:tab/>
        <w:t>Note: this is not part of the determination.</w:t>
      </w:r>
    </w:p>
    <w:p w14:paraId="5146734B" w14:textId="73A2BC6E" w:rsidR="008F0F55" w:rsidRPr="003A0DFB" w:rsidRDefault="00F81D1E" w:rsidP="008F0F55">
      <w:pPr>
        <w:tabs>
          <w:tab w:val="left" w:pos="2520"/>
        </w:tabs>
        <w:spacing w:before="240" w:after="100" w:afterAutospacing="1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I</w:t>
      </w:r>
      <w:r w:rsidRPr="003A0DFB">
        <w:rPr>
          <w:rFonts w:ascii="Book Antiqua" w:hAnsi="Book Antiqua" w:cs="Arial"/>
        </w:rPr>
        <w:t xml:space="preserve"> make</w:t>
      </w:r>
      <w:r w:rsidR="00D32EB5">
        <w:rPr>
          <w:rFonts w:ascii="Book Antiqua" w:hAnsi="Book Antiqua" w:cs="Arial"/>
        </w:rPr>
        <w:t xml:space="preserve"> </w:t>
      </w:r>
      <w:r w:rsidRPr="003A0DFB">
        <w:rPr>
          <w:rFonts w:ascii="Book Antiqua" w:hAnsi="Book Antiqua" w:cs="Arial"/>
        </w:rPr>
        <w:t>no fee award.</w:t>
      </w:r>
    </w:p>
    <w:p w14:paraId="16C1E79B" w14:textId="4CF4744C" w:rsidR="008F0F55" w:rsidRPr="003A0DFB" w:rsidRDefault="00F81D1E" w:rsidP="008F0F55">
      <w:pPr>
        <w:tabs>
          <w:tab w:val="left" w:pos="2520"/>
        </w:tabs>
        <w:spacing w:before="240" w:after="100" w:afterAutospacing="1"/>
        <w:jc w:val="both"/>
        <w:rPr>
          <w:rFonts w:ascii="Book Antiqua" w:hAnsi="Book Antiqua" w:cs="Arial"/>
        </w:rPr>
      </w:pPr>
      <w:r w:rsidRPr="003A0DFB">
        <w:rPr>
          <w:rFonts w:ascii="Book Antiqua" w:hAnsi="Book Antiqua" w:cs="Arial"/>
        </w:rPr>
        <w:t xml:space="preserve">Reasons: </w:t>
      </w:r>
      <w:r w:rsidR="00D32EB5">
        <w:rPr>
          <w:rFonts w:ascii="Book Antiqua" w:hAnsi="Book Antiqua" w:cs="Arial"/>
        </w:rPr>
        <w:t xml:space="preserve">The outcome of the appeal has yet to be determined. </w:t>
      </w:r>
    </w:p>
    <w:p w14:paraId="27DED33E" w14:textId="77777777" w:rsidR="008F0F55" w:rsidRPr="00F146AE" w:rsidRDefault="00C220DB" w:rsidP="008F0F55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2A5AB243" w14:textId="77777777" w:rsidR="008F0F55" w:rsidRDefault="00F81D1E" w:rsidP="008F0F55">
      <w:pPr>
        <w:tabs>
          <w:tab w:val="left" w:pos="2268"/>
          <w:tab w:val="left" w:pos="5103"/>
        </w:tabs>
        <w:rPr>
          <w:rFonts w:ascii="Book Antiqua" w:hAnsi="Book Antiqua" w:cs="Arial"/>
          <w:b/>
          <w:bCs/>
        </w:rPr>
      </w:pPr>
      <w:r w:rsidRPr="006E1B05">
        <w:rPr>
          <w:rFonts w:ascii="Book Antiqua" w:hAnsi="Book Antiqua" w:cs="Arial"/>
          <w:b/>
          <w:bCs/>
        </w:rPr>
        <w:tab/>
      </w:r>
      <w:r>
        <w:rPr>
          <w:noProof/>
        </w:rPr>
        <w:drawing>
          <wp:inline distT="0" distB="0" distL="0" distR="0" wp14:anchorId="1E817B2F" wp14:editId="685F7FFB">
            <wp:extent cx="1979295" cy="1027430"/>
            <wp:effectExtent l="25400" t="0" r="1905" b="0"/>
            <wp:docPr id="3" name="Picture 2" descr="dp s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p si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295" cy="102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758BC7" w14:textId="77777777" w:rsidR="008F0F55" w:rsidRPr="006E1B05" w:rsidRDefault="00F81D1E" w:rsidP="008F0F55">
      <w:pPr>
        <w:tabs>
          <w:tab w:val="left" w:pos="2268"/>
          <w:tab w:val="left" w:pos="5103"/>
        </w:tabs>
        <w:rPr>
          <w:rFonts w:ascii="Book Antiqua" w:hAnsi="Book Antiqua" w:cs="Arial"/>
          <w:b/>
          <w:bCs/>
        </w:rPr>
      </w:pPr>
      <w:r>
        <w:rPr>
          <w:rFonts w:ascii="Book Antiqua" w:hAnsi="Book Antiqua" w:cs="Arial"/>
          <w:b/>
          <w:bCs/>
        </w:rPr>
        <w:tab/>
      </w:r>
      <w:r w:rsidRPr="006E1B05">
        <w:rPr>
          <w:rFonts w:ascii="Book Antiqua" w:hAnsi="Book Antiqua" w:cs="Arial"/>
          <w:b/>
          <w:bCs/>
        </w:rPr>
        <w:t>Signed</w:t>
      </w:r>
      <w:r>
        <w:rPr>
          <w:rFonts w:ascii="Book Antiqua" w:hAnsi="Book Antiqua" w:cs="Arial"/>
          <w:b/>
          <w:bCs/>
        </w:rPr>
        <w:tab/>
      </w:r>
    </w:p>
    <w:p w14:paraId="419DE8A4" w14:textId="77777777" w:rsidR="008F0F55" w:rsidRPr="006E1B05" w:rsidRDefault="00F81D1E" w:rsidP="008F0F55">
      <w:pPr>
        <w:tabs>
          <w:tab w:val="left" w:pos="2268"/>
          <w:tab w:val="left" w:pos="5103"/>
        </w:tabs>
        <w:ind w:left="567"/>
        <w:rPr>
          <w:rFonts w:ascii="Book Antiqua" w:hAnsi="Book Antiqua" w:cs="Arial"/>
          <w:b/>
          <w:bCs/>
        </w:rPr>
      </w:pPr>
      <w:r>
        <w:rPr>
          <w:rFonts w:ascii="Book Antiqua" w:hAnsi="Book Antiqua" w:cs="Arial"/>
          <w:b/>
          <w:bCs/>
        </w:rPr>
        <w:tab/>
        <w:t>Deputy Upper Tribunal Judge Pickup</w:t>
      </w:r>
    </w:p>
    <w:p w14:paraId="61F2ABC0" w14:textId="77777777" w:rsidR="008F0F55" w:rsidRPr="006E1B05" w:rsidRDefault="00C220DB" w:rsidP="008F0F55">
      <w:pPr>
        <w:tabs>
          <w:tab w:val="left" w:pos="2268"/>
          <w:tab w:val="left" w:pos="5103"/>
        </w:tabs>
        <w:rPr>
          <w:rFonts w:ascii="Book Antiqua" w:hAnsi="Book Antiqua" w:cs="Arial"/>
          <w:b/>
          <w:bCs/>
        </w:rPr>
      </w:pPr>
    </w:p>
    <w:p w14:paraId="3F62F489" w14:textId="4F753852" w:rsidR="008F0F55" w:rsidRDefault="00F81D1E" w:rsidP="00AC54A3">
      <w:pPr>
        <w:tabs>
          <w:tab w:val="left" w:pos="2268"/>
          <w:tab w:val="left" w:pos="5103"/>
        </w:tabs>
        <w:rPr>
          <w:rFonts w:ascii="Book Antiqua" w:hAnsi="Book Antiqua" w:cs="Arial"/>
        </w:rPr>
      </w:pPr>
      <w:r>
        <w:rPr>
          <w:rFonts w:ascii="Book Antiqua" w:hAnsi="Book Antiqua" w:cs="Arial"/>
          <w:b/>
          <w:bCs/>
        </w:rPr>
        <w:tab/>
      </w:r>
      <w:r w:rsidRPr="006E1B05">
        <w:rPr>
          <w:rFonts w:ascii="Book Antiqua" w:hAnsi="Book Antiqua" w:cs="Arial"/>
          <w:b/>
          <w:bCs/>
        </w:rPr>
        <w:t>Dated</w:t>
      </w:r>
    </w:p>
    <w:sectPr w:rsidR="008F0F55" w:rsidSect="008F0F55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F503B" w14:textId="77777777" w:rsidR="0033786B" w:rsidRDefault="0033786B">
      <w:r>
        <w:separator/>
      </w:r>
    </w:p>
  </w:endnote>
  <w:endnote w:type="continuationSeparator" w:id="0">
    <w:p w14:paraId="51CD8817" w14:textId="77777777" w:rsidR="0033786B" w:rsidRDefault="00337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D65E9" w14:textId="06E61D64" w:rsidR="008F0F55" w:rsidRPr="00F146AE" w:rsidRDefault="00F81D1E" w:rsidP="008F0F55">
    <w:pPr>
      <w:pStyle w:val="Footer"/>
      <w:jc w:val="center"/>
      <w:rPr>
        <w:rFonts w:ascii="Book Antiqua" w:hAnsi="Book Antiqua" w:cs="Arial"/>
        <w:sz w:val="16"/>
        <w:szCs w:val="16"/>
      </w:rPr>
    </w:pPr>
    <w:r w:rsidRPr="00F146AE">
      <w:rPr>
        <w:rStyle w:val="PageNumber"/>
        <w:rFonts w:ascii="Book Antiqua" w:hAnsi="Book Antiqua" w:cs="Arial"/>
        <w:sz w:val="16"/>
        <w:szCs w:val="16"/>
      </w:rPr>
      <w:fldChar w:fldCharType="begin"/>
    </w:r>
    <w:r w:rsidRPr="00F146AE">
      <w:rPr>
        <w:rStyle w:val="PageNumber"/>
        <w:rFonts w:ascii="Book Antiqua" w:hAnsi="Book Antiqua" w:cs="Arial"/>
        <w:sz w:val="16"/>
        <w:szCs w:val="16"/>
      </w:rPr>
      <w:instrText xml:space="preserve"> PAGE </w:instrText>
    </w:r>
    <w:r w:rsidRPr="00F146AE">
      <w:rPr>
        <w:rStyle w:val="PageNumber"/>
        <w:rFonts w:ascii="Book Antiqua" w:hAnsi="Book Antiqua" w:cs="Arial"/>
        <w:sz w:val="16"/>
        <w:szCs w:val="16"/>
      </w:rPr>
      <w:fldChar w:fldCharType="separate"/>
    </w:r>
    <w:r w:rsidR="00C220DB">
      <w:rPr>
        <w:rStyle w:val="PageNumber"/>
        <w:rFonts w:ascii="Book Antiqua" w:hAnsi="Book Antiqua" w:cs="Arial"/>
        <w:noProof/>
        <w:sz w:val="16"/>
        <w:szCs w:val="16"/>
      </w:rPr>
      <w:t>3</w:t>
    </w:r>
    <w:r w:rsidRPr="00F146AE">
      <w:rPr>
        <w:rStyle w:val="PageNumber"/>
        <w:rFonts w:ascii="Book Antiqua" w:hAnsi="Book Antiqu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C21D5" w14:textId="77777777" w:rsidR="008F0F55" w:rsidRPr="00F146AE" w:rsidRDefault="00F81D1E" w:rsidP="008F0F55">
    <w:pPr>
      <w:jc w:val="center"/>
      <w:rPr>
        <w:rFonts w:ascii="Book Antiqua" w:hAnsi="Book Antiqua" w:cs="Arial"/>
        <w:b/>
      </w:rPr>
    </w:pPr>
    <w:r w:rsidRPr="00F146AE">
      <w:rPr>
        <w:rFonts w:ascii="Book Antiqua" w:hAnsi="Book Antiqua" w:cs="Arial"/>
        <w:b/>
        <w:spacing w:val="-6"/>
      </w:rPr>
      <w:t>©</w:t>
    </w:r>
    <w:r w:rsidR="00E366C9"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A147F" w14:textId="77777777" w:rsidR="0033786B" w:rsidRDefault="0033786B">
      <w:r>
        <w:separator/>
      </w:r>
    </w:p>
  </w:footnote>
  <w:footnote w:type="continuationSeparator" w:id="0">
    <w:p w14:paraId="219101EB" w14:textId="77777777" w:rsidR="0033786B" w:rsidRDefault="003378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CC239" w14:textId="6580A39A" w:rsidR="008F0F55" w:rsidRPr="00EF136D" w:rsidRDefault="00F81D1E" w:rsidP="008F0F5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20"/>
        <w:szCs w:val="16"/>
      </w:rPr>
    </w:pPr>
    <w:r w:rsidRPr="00EF136D">
      <w:rPr>
        <w:rFonts w:ascii="Book Antiqua" w:hAnsi="Book Antiqua" w:cs="Arial"/>
        <w:sz w:val="20"/>
        <w:szCs w:val="16"/>
      </w:rPr>
      <w:t xml:space="preserve">Appeal Number: </w:t>
    </w:r>
    <w:r w:rsidR="00A17605">
      <w:rPr>
        <w:rFonts w:ascii="Book Antiqua" w:hAnsi="Book Antiqua" w:cs="Arial"/>
        <w:sz w:val="20"/>
        <w:szCs w:val="16"/>
      </w:rPr>
      <w:t>EA/07399/2016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E3BF5" w14:textId="77777777" w:rsidR="008F0F55" w:rsidRPr="00F146AE" w:rsidRDefault="00F81D1E">
    <w:pPr>
      <w:pStyle w:val="Header"/>
      <w:rPr>
        <w:rFonts w:ascii="Book Antiqua" w:hAnsi="Book Antiqua"/>
      </w:rPr>
    </w:pPr>
    <w:r w:rsidRPr="00F146AE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24B7B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CE155D8"/>
    <w:multiLevelType w:val="multilevel"/>
    <w:tmpl w:val="22E4107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14D60EB8"/>
    <w:multiLevelType w:val="multilevel"/>
    <w:tmpl w:val="8CECAC3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D433F55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EE61A3F"/>
    <w:multiLevelType w:val="hybridMultilevel"/>
    <w:tmpl w:val="1D9C5F9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966E42"/>
    <w:multiLevelType w:val="multilevel"/>
    <w:tmpl w:val="A12C84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20837268"/>
    <w:multiLevelType w:val="singleLevel"/>
    <w:tmpl w:val="E578DE1C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  <w:rPr>
        <w:b w:val="0"/>
      </w:rPr>
    </w:lvl>
  </w:abstractNum>
  <w:abstractNum w:abstractNumId="7" w15:restartNumberingAfterBreak="0">
    <w:nsid w:val="29850DE7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C0A432B"/>
    <w:multiLevelType w:val="multilevel"/>
    <w:tmpl w:val="1B54D8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8CB44CC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A6C5DEB"/>
    <w:multiLevelType w:val="multilevel"/>
    <w:tmpl w:val="54804E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54423E35"/>
    <w:multiLevelType w:val="hybridMultilevel"/>
    <w:tmpl w:val="E5965568"/>
    <w:lvl w:ilvl="0" w:tplc="A7F84808">
      <w:start w:val="1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 w15:restartNumberingAfterBreak="0">
    <w:nsid w:val="54A579B4"/>
    <w:multiLevelType w:val="hybridMultilevel"/>
    <w:tmpl w:val="73B2F2A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6233834"/>
    <w:multiLevelType w:val="hybridMultilevel"/>
    <w:tmpl w:val="94527C5E"/>
    <w:lvl w:ilvl="0" w:tplc="CBA2A2F8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8033103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FB45309"/>
    <w:multiLevelType w:val="multilevel"/>
    <w:tmpl w:val="2D20A6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616C488F"/>
    <w:multiLevelType w:val="hybridMultilevel"/>
    <w:tmpl w:val="52EC9AD4"/>
    <w:lvl w:ilvl="0" w:tplc="DB246E3C">
      <w:start w:val="2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2424B68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6B572AEE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73956A2C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7A5720C0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DF20E2A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6"/>
  </w:num>
  <w:num w:numId="3">
    <w:abstractNumId w:val="2"/>
  </w:num>
  <w:num w:numId="4">
    <w:abstractNumId w:val="13"/>
  </w:num>
  <w:num w:numId="5">
    <w:abstractNumId w:val="21"/>
  </w:num>
  <w:num w:numId="6">
    <w:abstractNumId w:val="14"/>
  </w:num>
  <w:num w:numId="7">
    <w:abstractNumId w:val="20"/>
  </w:num>
  <w:num w:numId="8">
    <w:abstractNumId w:val="9"/>
  </w:num>
  <w:num w:numId="9">
    <w:abstractNumId w:val="7"/>
  </w:num>
  <w:num w:numId="10">
    <w:abstractNumId w:val="19"/>
  </w:num>
  <w:num w:numId="11">
    <w:abstractNumId w:val="18"/>
  </w:num>
  <w:num w:numId="12">
    <w:abstractNumId w:val="1"/>
  </w:num>
  <w:num w:numId="13">
    <w:abstractNumId w:val="17"/>
  </w:num>
  <w:num w:numId="14">
    <w:abstractNumId w:val="0"/>
  </w:num>
  <w:num w:numId="15">
    <w:abstractNumId w:val="3"/>
  </w:num>
  <w:num w:numId="16">
    <w:abstractNumId w:val="5"/>
  </w:num>
  <w:num w:numId="17">
    <w:abstractNumId w:val="15"/>
  </w:num>
  <w:num w:numId="18">
    <w:abstractNumId w:val="10"/>
  </w:num>
  <w:num w:numId="19">
    <w:abstractNumId w:val="12"/>
  </w:num>
  <w:num w:numId="20">
    <w:abstractNumId w:val="8"/>
  </w:num>
  <w:num w:numId="21">
    <w:abstractNumId w:val="1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56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46C"/>
    <w:rsid w:val="000D531F"/>
    <w:rsid w:val="001857F3"/>
    <w:rsid w:val="001937A9"/>
    <w:rsid w:val="001B3D1D"/>
    <w:rsid w:val="001E37AC"/>
    <w:rsid w:val="002D372B"/>
    <w:rsid w:val="002D62C4"/>
    <w:rsid w:val="00304CCE"/>
    <w:rsid w:val="003323DC"/>
    <w:rsid w:val="0033786B"/>
    <w:rsid w:val="00437C34"/>
    <w:rsid w:val="0045099C"/>
    <w:rsid w:val="004940ED"/>
    <w:rsid w:val="00512560"/>
    <w:rsid w:val="00527648"/>
    <w:rsid w:val="00527EA2"/>
    <w:rsid w:val="00593C08"/>
    <w:rsid w:val="00597B53"/>
    <w:rsid w:val="006622F1"/>
    <w:rsid w:val="00676E1D"/>
    <w:rsid w:val="00696C14"/>
    <w:rsid w:val="00750CDF"/>
    <w:rsid w:val="007B0A98"/>
    <w:rsid w:val="0082373D"/>
    <w:rsid w:val="008476A9"/>
    <w:rsid w:val="00871E0D"/>
    <w:rsid w:val="00987E1F"/>
    <w:rsid w:val="009C13A4"/>
    <w:rsid w:val="00A17605"/>
    <w:rsid w:val="00AC54A3"/>
    <w:rsid w:val="00AD1308"/>
    <w:rsid w:val="00AD6BE5"/>
    <w:rsid w:val="00C220DB"/>
    <w:rsid w:val="00C56A78"/>
    <w:rsid w:val="00D1687F"/>
    <w:rsid w:val="00D32EB5"/>
    <w:rsid w:val="00D90369"/>
    <w:rsid w:val="00E366C9"/>
    <w:rsid w:val="00E84522"/>
    <w:rsid w:val="00F560F4"/>
    <w:rsid w:val="00F81D1E"/>
    <w:rsid w:val="00FC346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F8F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23A"/>
    <w:rPr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306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5B778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5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2018-07-19T11:37:00Z</dcterms:created>
  <dcterms:modified xsi:type="dcterms:W3CDTF">2018-07-19T11:37:00Z</dcterms:modified>
</cp:coreProperties>
</file>