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E40C94" w:rsidP="006B6451">
      <w:pPr>
        <w:jc w:val="center"/>
        <w:rPr>
          <w:rFonts w:ascii="Book Antiqua" w:hAnsi="Book Antiqua" w:cs="Arial"/>
          <w:sz w:val="16"/>
          <w:szCs w:val="16"/>
        </w:rPr>
      </w:pPr>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C01D77" w:rsidRDefault="00D94AFC">
      <w:pPr>
        <w:rPr>
          <w:rFonts w:ascii="Book Antiqua" w:hAnsi="Book Antiqua" w:cs="Arial"/>
          <w:sz w:val="16"/>
          <w:szCs w:val="16"/>
        </w:rPr>
      </w:pP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447863">
        <w:rPr>
          <w:rFonts w:ascii="Book Antiqua" w:hAnsi="Book Antiqua" w:cs="Arial"/>
          <w:caps/>
        </w:rPr>
        <w:t>EA/07538/2017</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447863">
              <w:rPr>
                <w:rFonts w:ascii="Book Antiqua" w:hAnsi="Book Antiqua" w:cs="Arial"/>
                <w:b/>
              </w:rPr>
              <w:t>Field House</w:t>
            </w:r>
          </w:p>
        </w:tc>
        <w:tc>
          <w:tcPr>
            <w:tcW w:w="3960"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447863">
              <w:rPr>
                <w:rFonts w:ascii="Book Antiqua" w:hAnsi="Book Antiqua" w:cs="Arial"/>
                <w:b/>
              </w:rPr>
              <w:t>14</w:t>
            </w:r>
            <w:r w:rsidR="00447863" w:rsidRPr="00447863">
              <w:rPr>
                <w:rFonts w:ascii="Book Antiqua" w:hAnsi="Book Antiqua" w:cs="Arial"/>
                <w:b/>
                <w:vertAlign w:val="superscript"/>
              </w:rPr>
              <w:t>th</w:t>
            </w:r>
            <w:r w:rsidR="00447863">
              <w:rPr>
                <w:rFonts w:ascii="Book Antiqua" w:hAnsi="Book Antiqua" w:cs="Arial"/>
                <w:b/>
              </w:rPr>
              <w:t xml:space="preserve"> May 2018</w:t>
            </w:r>
          </w:p>
        </w:tc>
        <w:tc>
          <w:tcPr>
            <w:tcW w:w="3960" w:type="dxa"/>
          </w:tcPr>
          <w:p w:rsidR="00D22636" w:rsidRPr="00C01D77" w:rsidRDefault="00B830F9" w:rsidP="004A1848">
            <w:pPr>
              <w:jc w:val="both"/>
              <w:rPr>
                <w:rFonts w:ascii="Book Antiqua" w:hAnsi="Book Antiqua" w:cs="Arial"/>
                <w:b/>
              </w:rPr>
            </w:pPr>
            <w:r>
              <w:rPr>
                <w:rFonts w:ascii="Book Antiqua" w:hAnsi="Book Antiqua" w:cs="Arial"/>
                <w:b/>
              </w:rPr>
              <w:t>On 23</w:t>
            </w:r>
            <w:r w:rsidRPr="00B830F9">
              <w:rPr>
                <w:rFonts w:ascii="Book Antiqua" w:hAnsi="Book Antiqua" w:cs="Arial"/>
                <w:b/>
                <w:vertAlign w:val="superscript"/>
              </w:rPr>
              <w:t>rd</w:t>
            </w:r>
            <w:r>
              <w:rPr>
                <w:rFonts w:ascii="Book Antiqua" w:hAnsi="Book Antiqua" w:cs="Arial"/>
                <w:b/>
              </w:rPr>
              <w:t xml:space="preserve"> May 2018</w:t>
            </w:r>
          </w:p>
        </w:tc>
      </w:tr>
      <w:tr w:rsidR="00D22636" w:rsidRPr="00C01D77" w:rsidTr="00073E80">
        <w:tc>
          <w:tcPr>
            <w:tcW w:w="6048" w:type="dxa"/>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447863" w:rsidP="00742A8D">
      <w:pPr>
        <w:jc w:val="center"/>
        <w:rPr>
          <w:rFonts w:ascii="Book Antiqua" w:hAnsi="Book Antiqua" w:cs="Arial"/>
          <w:b/>
          <w:caps/>
        </w:rPr>
      </w:pPr>
      <w:r>
        <w:rPr>
          <w:rFonts w:ascii="Book Antiqua" w:hAnsi="Book Antiqua" w:cs="Arial"/>
          <w:b/>
          <w:caps/>
        </w:rPr>
        <w:t>syed imran khalid</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D9702E">
        <w:rPr>
          <w:rFonts w:ascii="Book Antiqua" w:hAnsi="Book Antiqua" w:cs="Arial"/>
          <w:b/>
          <w:caps/>
        </w:rPr>
        <w:t>not 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3B2FBD"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DD5071" w:rsidRPr="00447863" w:rsidRDefault="00071A7E" w:rsidP="00447863">
      <w:pPr>
        <w:jc w:val="center"/>
        <w:rPr>
          <w:rFonts w:ascii="Book Antiqua" w:hAnsi="Book Antiqua" w:cs="Arial"/>
          <w:b/>
        </w:rPr>
      </w:pPr>
      <w:r w:rsidRPr="00C01D77">
        <w:rPr>
          <w:rFonts w:ascii="Book Antiqua" w:hAnsi="Book Antiqua" w:cs="Arial"/>
          <w:b/>
        </w:rPr>
        <w:t xml:space="preserve"> </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076E2B">
        <w:rPr>
          <w:rFonts w:ascii="Book Antiqua" w:hAnsi="Book Antiqua" w:cs="Arial"/>
        </w:rPr>
        <w:t xml:space="preserve">Mr </w:t>
      </w:r>
      <w:proofErr w:type="spellStart"/>
      <w:r w:rsidR="00076E2B">
        <w:rPr>
          <w:rFonts w:ascii="Book Antiqua" w:hAnsi="Book Antiqua" w:cs="Arial"/>
        </w:rPr>
        <w:t>Gajjar</w:t>
      </w:r>
      <w:proofErr w:type="spellEnd"/>
      <w:r w:rsidR="00076E2B">
        <w:rPr>
          <w:rFonts w:ascii="Book Antiqua" w:hAnsi="Book Antiqua" w:cs="Arial"/>
        </w:rPr>
        <w:t>,</w:t>
      </w:r>
      <w:r w:rsidR="00447863">
        <w:rPr>
          <w:rFonts w:ascii="Book Antiqua" w:hAnsi="Book Antiqua" w:cs="Arial"/>
        </w:rPr>
        <w:t xml:space="preserve"> Counsel</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447863">
        <w:rPr>
          <w:rFonts w:ascii="Book Antiqua" w:hAnsi="Book Antiqua" w:cs="Arial"/>
        </w:rPr>
        <w:t xml:space="preserve">Ms Pal, Senior Home Office Presenting Officer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447863" w:rsidP="00E943B7">
      <w:pPr>
        <w:numPr>
          <w:ilvl w:val="0"/>
          <w:numId w:val="3"/>
        </w:numPr>
        <w:spacing w:before="240"/>
        <w:jc w:val="both"/>
        <w:rPr>
          <w:rFonts w:ascii="Book Antiqua" w:hAnsi="Book Antiqua" w:cs="Arial"/>
        </w:rPr>
      </w:pPr>
      <w:r>
        <w:rPr>
          <w:rFonts w:ascii="Book Antiqua" w:hAnsi="Book Antiqua" w:cs="Arial"/>
        </w:rPr>
        <w:t>The Appellant, Syed Imran Khalid, was born on 20</w:t>
      </w:r>
      <w:r w:rsidRPr="00447863">
        <w:rPr>
          <w:rFonts w:ascii="Book Antiqua" w:hAnsi="Book Antiqua" w:cs="Arial"/>
          <w:vertAlign w:val="superscript"/>
        </w:rPr>
        <w:t>th</w:t>
      </w:r>
      <w:r>
        <w:rPr>
          <w:rFonts w:ascii="Book Antiqua" w:hAnsi="Book Antiqua" w:cs="Arial"/>
        </w:rPr>
        <w:t xml:space="preserve"> October 1979 and is a citizen of Pakistan.  He appealed to the First-tier Tribunal (Judge Watson) against the decision of the Respondent dated 13</w:t>
      </w:r>
      <w:r w:rsidRPr="00447863">
        <w:rPr>
          <w:rFonts w:ascii="Book Antiqua" w:hAnsi="Book Antiqua" w:cs="Arial"/>
          <w:vertAlign w:val="superscript"/>
        </w:rPr>
        <w:t>th</w:t>
      </w:r>
      <w:r>
        <w:rPr>
          <w:rFonts w:ascii="Book Antiqua" w:hAnsi="Book Antiqua" w:cs="Arial"/>
        </w:rPr>
        <w:t xml:space="preserve"> March 2016 to refuse to issue him with a permanent </w:t>
      </w:r>
      <w:r>
        <w:rPr>
          <w:rFonts w:ascii="Book Antiqua" w:hAnsi="Book Antiqua" w:cs="Arial"/>
        </w:rPr>
        <w:lastRenderedPageBreak/>
        <w:t>residence card as confirmation of a right of residence as the former spouse</w:t>
      </w:r>
      <w:r w:rsidR="00076E2B">
        <w:rPr>
          <w:rFonts w:ascii="Book Antiqua" w:hAnsi="Book Antiqua" w:cs="Arial"/>
        </w:rPr>
        <w:t xml:space="preserve"> of </w:t>
      </w:r>
      <w:r>
        <w:rPr>
          <w:rFonts w:ascii="Book Antiqua" w:hAnsi="Book Antiqua" w:cs="Arial"/>
        </w:rPr>
        <w:t>an EEA national exercising treaty rights</w:t>
      </w:r>
      <w:r w:rsidR="00076E2B">
        <w:rPr>
          <w:rFonts w:ascii="Book Antiqua" w:hAnsi="Book Antiqua" w:cs="Arial"/>
        </w:rPr>
        <w:t xml:space="preserve"> (the Sponsor)</w:t>
      </w:r>
      <w:r>
        <w:rPr>
          <w:rFonts w:ascii="Book Antiqua" w:hAnsi="Book Antiqua" w:cs="Arial"/>
        </w:rPr>
        <w:t>.  The First-tier Tribunal in a decision promulgated on 8</w:t>
      </w:r>
      <w:r w:rsidRPr="00447863">
        <w:rPr>
          <w:rFonts w:ascii="Book Antiqua" w:hAnsi="Book Antiqua" w:cs="Arial"/>
          <w:vertAlign w:val="superscript"/>
        </w:rPr>
        <w:t>th</w:t>
      </w:r>
      <w:r>
        <w:rPr>
          <w:rFonts w:ascii="Book Antiqua" w:hAnsi="Book Antiqua" w:cs="Arial"/>
        </w:rPr>
        <w:t xml:space="preserve"> February 2018, dismissed his appeal.  </w:t>
      </w:r>
    </w:p>
    <w:p w:rsidR="00447863" w:rsidRDefault="00447863" w:rsidP="00E943B7">
      <w:pPr>
        <w:numPr>
          <w:ilvl w:val="0"/>
          <w:numId w:val="3"/>
        </w:numPr>
        <w:spacing w:before="240"/>
        <w:jc w:val="both"/>
        <w:rPr>
          <w:rFonts w:ascii="Book Antiqua" w:hAnsi="Book Antiqua" w:cs="Arial"/>
        </w:rPr>
      </w:pPr>
      <w:r>
        <w:rPr>
          <w:rFonts w:ascii="Book Antiqua" w:hAnsi="Book Antiqua" w:cs="Arial"/>
        </w:rPr>
        <w:t>The Appellant now appeals with permission to the Upper Tribunal.  At the outset of the proceedings before the Upper Tribunal, the Appellant sought permission to</w:t>
      </w:r>
      <w:r w:rsidR="00076E2B">
        <w:rPr>
          <w:rFonts w:ascii="Book Antiqua" w:hAnsi="Book Antiqua" w:cs="Arial"/>
        </w:rPr>
        <w:t xml:space="preserve"> adduce</w:t>
      </w:r>
      <w:r>
        <w:rPr>
          <w:rFonts w:ascii="Book Antiqua" w:hAnsi="Book Antiqua" w:cs="Arial"/>
        </w:rPr>
        <w:t xml:space="preserve"> further evidence </w:t>
      </w:r>
      <w:r w:rsidR="00076E2B">
        <w:rPr>
          <w:rFonts w:ascii="Book Antiqua" w:hAnsi="Book Antiqua" w:cs="Arial"/>
        </w:rPr>
        <w:t>in accordance with</w:t>
      </w:r>
      <w:r>
        <w:rPr>
          <w:rFonts w:ascii="Book Antiqua" w:hAnsi="Book Antiqua" w:cs="Arial"/>
        </w:rPr>
        <w:t xml:space="preserve"> Rule 15 of the Tribunal Procedure (Upper Tribunal</w:t>
      </w:r>
      <w:r w:rsidR="00076E2B">
        <w:rPr>
          <w:rFonts w:ascii="Book Antiqua" w:hAnsi="Book Antiqua" w:cs="Arial"/>
        </w:rPr>
        <w:t>) Rules 2008.  The</w:t>
      </w:r>
      <w:r>
        <w:rPr>
          <w:rFonts w:ascii="Book Antiqua" w:hAnsi="Book Antiqua" w:cs="Arial"/>
        </w:rPr>
        <w:t xml:space="preserve"> further evidence comprise</w:t>
      </w:r>
      <w:r w:rsidR="00E129F8">
        <w:rPr>
          <w:rFonts w:ascii="Book Antiqua" w:hAnsi="Book Antiqua" w:cs="Arial"/>
        </w:rPr>
        <w:t>d</w:t>
      </w:r>
      <w:r>
        <w:rPr>
          <w:rFonts w:ascii="Book Antiqua" w:hAnsi="Book Antiqua" w:cs="Arial"/>
        </w:rPr>
        <w:t xml:space="preserve"> a supplementary witness statement of the Appellant</w:t>
      </w:r>
      <w:r w:rsidR="00076E2B">
        <w:rPr>
          <w:rFonts w:ascii="Book Antiqua" w:hAnsi="Book Antiqua" w:cs="Arial"/>
        </w:rPr>
        <w:t xml:space="preserve"> dated 9</w:t>
      </w:r>
      <w:r w:rsidR="00076E2B" w:rsidRPr="00076E2B">
        <w:rPr>
          <w:rFonts w:ascii="Book Antiqua" w:hAnsi="Book Antiqua" w:cs="Arial"/>
          <w:vertAlign w:val="superscript"/>
        </w:rPr>
        <w:t>th</w:t>
      </w:r>
      <w:r w:rsidR="00076E2B">
        <w:rPr>
          <w:rFonts w:ascii="Book Antiqua" w:hAnsi="Book Antiqua" w:cs="Arial"/>
        </w:rPr>
        <w:t xml:space="preserve"> May 2018,</w:t>
      </w:r>
      <w:r>
        <w:rPr>
          <w:rFonts w:ascii="Book Antiqua" w:hAnsi="Book Antiqua" w:cs="Arial"/>
        </w:rPr>
        <w:t xml:space="preserve"> together with</w:t>
      </w:r>
      <w:r w:rsidR="00076E2B">
        <w:rPr>
          <w:rFonts w:ascii="Book Antiqua" w:hAnsi="Book Antiqua" w:cs="Arial"/>
        </w:rPr>
        <w:t xml:space="preserve"> documentary</w:t>
      </w:r>
      <w:r>
        <w:rPr>
          <w:rFonts w:ascii="Book Antiqua" w:hAnsi="Book Antiqua" w:cs="Arial"/>
        </w:rPr>
        <w:t xml:space="preserve"> evidence concerning </w:t>
      </w:r>
      <w:r w:rsidR="00E129F8">
        <w:rPr>
          <w:rFonts w:ascii="Book Antiqua" w:hAnsi="Book Antiqua" w:cs="Arial"/>
        </w:rPr>
        <w:t>a lease on property</w:t>
      </w:r>
      <w:r w:rsidR="00076E2B">
        <w:rPr>
          <w:rFonts w:ascii="Book Antiqua" w:hAnsi="Book Antiqua" w:cs="Arial"/>
        </w:rPr>
        <w:t xml:space="preserve"> in </w:t>
      </w:r>
      <w:proofErr w:type="spellStart"/>
      <w:r w:rsidR="00076E2B">
        <w:rPr>
          <w:rFonts w:ascii="Book Antiqua" w:hAnsi="Book Antiqua" w:cs="Arial"/>
        </w:rPr>
        <w:t>Tankerville</w:t>
      </w:r>
      <w:proofErr w:type="spellEnd"/>
      <w:r w:rsidR="00076E2B">
        <w:rPr>
          <w:rFonts w:ascii="Book Antiqua" w:hAnsi="Book Antiqua" w:cs="Arial"/>
        </w:rPr>
        <w:t xml:space="preserve"> Road SW16,</w:t>
      </w:r>
      <w:r w:rsidR="00E129F8">
        <w:rPr>
          <w:rFonts w:ascii="Book Antiqua" w:hAnsi="Book Antiqua" w:cs="Arial"/>
        </w:rPr>
        <w:t xml:space="preserve"> at which it is said th</w:t>
      </w:r>
      <w:r w:rsidR="00076E2B">
        <w:rPr>
          <w:rFonts w:ascii="Book Antiqua" w:hAnsi="Book Antiqua" w:cs="Arial"/>
        </w:rPr>
        <w:t>e Appellant and the Sponsor</w:t>
      </w:r>
      <w:r w:rsidR="00E129F8">
        <w:rPr>
          <w:rFonts w:ascii="Book Antiqua" w:hAnsi="Book Antiqua" w:cs="Arial"/>
        </w:rPr>
        <w:t xml:space="preserve"> resided.  Ms Pal raised no objection to this evidence being admitted.  I find it was in the interests of justice that the</w:t>
      </w:r>
      <w:r w:rsidR="00076E2B">
        <w:rPr>
          <w:rFonts w:ascii="Book Antiqua" w:hAnsi="Book Antiqua" w:cs="Arial"/>
        </w:rPr>
        <w:t xml:space="preserve"> Rule 15 evidence be </w:t>
      </w:r>
      <w:r w:rsidR="00E129F8">
        <w:rPr>
          <w:rFonts w:ascii="Book Antiqua" w:hAnsi="Book Antiqua" w:cs="Arial"/>
        </w:rPr>
        <w:t xml:space="preserve">admitted.  </w:t>
      </w:r>
    </w:p>
    <w:p w:rsidR="00E129F8" w:rsidRDefault="00E129F8" w:rsidP="00E943B7">
      <w:pPr>
        <w:numPr>
          <w:ilvl w:val="0"/>
          <w:numId w:val="3"/>
        </w:numPr>
        <w:spacing w:before="240"/>
        <w:jc w:val="both"/>
        <w:rPr>
          <w:rFonts w:ascii="Book Antiqua" w:hAnsi="Book Antiqua" w:cs="Arial"/>
        </w:rPr>
      </w:pPr>
      <w:r>
        <w:rPr>
          <w:rFonts w:ascii="Book Antiqua" w:hAnsi="Book Antiqua" w:cs="Arial"/>
        </w:rPr>
        <w:t>There are six listed Grounds of Appeal.  The first and most import</w:t>
      </w:r>
      <w:r w:rsidR="00076E2B">
        <w:rPr>
          <w:rFonts w:ascii="Book Antiqua" w:hAnsi="Book Antiqua" w:cs="Arial"/>
        </w:rPr>
        <w:t xml:space="preserve">ant ground complains </w:t>
      </w:r>
      <w:r w:rsidR="00D9702E">
        <w:rPr>
          <w:rFonts w:ascii="Book Antiqua" w:hAnsi="Book Antiqua" w:cs="Arial"/>
        </w:rPr>
        <w:t xml:space="preserve">that </w:t>
      </w:r>
      <w:r w:rsidR="00076E2B">
        <w:rPr>
          <w:rFonts w:ascii="Book Antiqua" w:hAnsi="Book Antiqua" w:cs="Arial"/>
        </w:rPr>
        <w:t>there was</w:t>
      </w:r>
      <w:r>
        <w:rPr>
          <w:rFonts w:ascii="Book Antiqua" w:hAnsi="Book Antiqua" w:cs="Arial"/>
        </w:rPr>
        <w:t xml:space="preserve"> procedural unfairness in the </w:t>
      </w:r>
      <w:proofErr w:type="spellStart"/>
      <w:r>
        <w:rPr>
          <w:rFonts w:ascii="Book Antiqua" w:hAnsi="Book Antiqua" w:cs="Arial"/>
        </w:rPr>
        <w:t>FtT</w:t>
      </w:r>
      <w:r w:rsidR="00D9702E">
        <w:rPr>
          <w:rFonts w:ascii="Book Antiqua" w:hAnsi="Book Antiqua" w:cs="Arial"/>
        </w:rPr>
        <w:t>J</w:t>
      </w:r>
      <w:r>
        <w:rPr>
          <w:rFonts w:ascii="Book Antiqua" w:hAnsi="Book Antiqua" w:cs="Arial"/>
        </w:rPr>
        <w:t>’s</w:t>
      </w:r>
      <w:proofErr w:type="spellEnd"/>
      <w:r>
        <w:rPr>
          <w:rFonts w:ascii="Book Antiqua" w:hAnsi="Book Antiqua" w:cs="Arial"/>
        </w:rPr>
        <w:t xml:space="preserve"> decision in relation to adverse fin</w:t>
      </w:r>
      <w:r w:rsidR="00076E2B">
        <w:rPr>
          <w:rFonts w:ascii="Book Antiqua" w:hAnsi="Book Antiqua" w:cs="Arial"/>
        </w:rPr>
        <w:t>dings made by her at [29].  The adverse findings are made</w:t>
      </w:r>
      <w:r>
        <w:rPr>
          <w:rFonts w:ascii="Book Antiqua" w:hAnsi="Book Antiqua" w:cs="Arial"/>
        </w:rPr>
        <w:t xml:space="preserve"> in respect of apparent discrepant evidence concerning email address</w:t>
      </w:r>
      <w:r w:rsidR="00076E2B">
        <w:rPr>
          <w:rFonts w:ascii="Book Antiqua" w:hAnsi="Book Antiqua" w:cs="Arial"/>
        </w:rPr>
        <w:t>es</w:t>
      </w:r>
      <w:r>
        <w:rPr>
          <w:rFonts w:ascii="Book Antiqua" w:hAnsi="Book Antiqua" w:cs="Arial"/>
        </w:rPr>
        <w:t xml:space="preserve"> on invoices tende</w:t>
      </w:r>
      <w:r w:rsidR="00076E2B">
        <w:rPr>
          <w:rFonts w:ascii="Book Antiqua" w:hAnsi="Book Antiqua" w:cs="Arial"/>
        </w:rPr>
        <w:t>re</w:t>
      </w:r>
      <w:r>
        <w:rPr>
          <w:rFonts w:ascii="Book Antiqua" w:hAnsi="Book Antiqua" w:cs="Arial"/>
        </w:rPr>
        <w:t xml:space="preserve">d in evidence, </w:t>
      </w:r>
      <w:r w:rsidR="00076E2B">
        <w:rPr>
          <w:rFonts w:ascii="Book Antiqua" w:hAnsi="Book Antiqua" w:cs="Arial"/>
        </w:rPr>
        <w:t>the purpose of which was</w:t>
      </w:r>
      <w:r>
        <w:rPr>
          <w:rFonts w:ascii="Book Antiqua" w:hAnsi="Book Antiqua" w:cs="Arial"/>
        </w:rPr>
        <w:t xml:space="preserve"> to show</w:t>
      </w:r>
      <w:r w:rsidR="00076E2B">
        <w:rPr>
          <w:rFonts w:ascii="Book Antiqua" w:hAnsi="Book Antiqua" w:cs="Arial"/>
        </w:rPr>
        <w:t xml:space="preserve"> that</w:t>
      </w:r>
      <w:r>
        <w:rPr>
          <w:rFonts w:ascii="Book Antiqua" w:hAnsi="Book Antiqua" w:cs="Arial"/>
        </w:rPr>
        <w:t xml:space="preserve"> the Sponsor was exercising treaty rights as a self-employed cleaner.  The FtT</w:t>
      </w:r>
      <w:r w:rsidR="00220DCC">
        <w:rPr>
          <w:rFonts w:ascii="Book Antiqua" w:hAnsi="Book Antiqua" w:cs="Arial"/>
        </w:rPr>
        <w:t>J</w:t>
      </w:r>
      <w:r>
        <w:rPr>
          <w:rFonts w:ascii="Book Antiqua" w:hAnsi="Book Antiqua" w:cs="Arial"/>
        </w:rPr>
        <w:t xml:space="preserve"> noted that the email address on the invoices </w:t>
      </w:r>
      <w:r w:rsidR="00220DCC">
        <w:rPr>
          <w:rFonts w:ascii="Book Antiqua" w:hAnsi="Book Antiqua" w:cs="Arial"/>
        </w:rPr>
        <w:t>bore</w:t>
      </w:r>
      <w:r>
        <w:rPr>
          <w:rFonts w:ascii="Book Antiqua" w:hAnsi="Book Antiqua" w:cs="Arial"/>
        </w:rPr>
        <w:t xml:space="preserve"> similar</w:t>
      </w:r>
      <w:r w:rsidR="00220DCC">
        <w:rPr>
          <w:rFonts w:ascii="Book Antiqua" w:hAnsi="Book Antiqua" w:cs="Arial"/>
        </w:rPr>
        <w:t>ities</w:t>
      </w:r>
      <w:r>
        <w:rPr>
          <w:rFonts w:ascii="Book Antiqua" w:hAnsi="Book Antiqua" w:cs="Arial"/>
        </w:rPr>
        <w:t xml:space="preserve"> to</w:t>
      </w:r>
      <w:r w:rsidR="00220DCC">
        <w:rPr>
          <w:rFonts w:ascii="Book Antiqua" w:hAnsi="Book Antiqua" w:cs="Arial"/>
        </w:rPr>
        <w:t>,</w:t>
      </w:r>
      <w:r w:rsidR="00076E2B">
        <w:rPr>
          <w:rFonts w:ascii="Book Antiqua" w:hAnsi="Book Antiqua" w:cs="Arial"/>
        </w:rPr>
        <w:t xml:space="preserve"> but </w:t>
      </w:r>
      <w:r w:rsidR="00220DCC">
        <w:rPr>
          <w:rFonts w:ascii="Book Antiqua" w:hAnsi="Book Antiqua" w:cs="Arial"/>
        </w:rPr>
        <w:t xml:space="preserve">was </w:t>
      </w:r>
      <w:r w:rsidR="00076E2B">
        <w:rPr>
          <w:rFonts w:ascii="Book Antiqua" w:hAnsi="Book Antiqua" w:cs="Arial"/>
        </w:rPr>
        <w:t xml:space="preserve">different </w:t>
      </w:r>
      <w:r w:rsidR="00EE30E5">
        <w:rPr>
          <w:rFonts w:ascii="Book Antiqua" w:hAnsi="Book Antiqua" w:cs="Arial"/>
        </w:rPr>
        <w:t>from</w:t>
      </w:r>
      <w:r w:rsidR="00220DCC">
        <w:rPr>
          <w:rFonts w:ascii="Book Antiqua" w:hAnsi="Book Antiqua" w:cs="Arial"/>
        </w:rPr>
        <w:t>,</w:t>
      </w:r>
      <w:r>
        <w:rPr>
          <w:rFonts w:ascii="Book Antiqua" w:hAnsi="Book Antiqua" w:cs="Arial"/>
        </w:rPr>
        <w:t xml:space="preserve"> an email trail between the Appellant and Sponsor, wherein the Appellant was seeking photographs of their relationship together.  </w:t>
      </w:r>
    </w:p>
    <w:p w:rsidR="00E129F8" w:rsidRDefault="00EE30E5" w:rsidP="00E943B7">
      <w:pPr>
        <w:numPr>
          <w:ilvl w:val="0"/>
          <w:numId w:val="3"/>
        </w:numPr>
        <w:spacing w:before="240"/>
        <w:jc w:val="both"/>
        <w:rPr>
          <w:rFonts w:ascii="Book Antiqua" w:hAnsi="Book Antiqua" w:cs="Arial"/>
        </w:rPr>
      </w:pPr>
      <w:r>
        <w:rPr>
          <w:rFonts w:ascii="Book Antiqua" w:hAnsi="Book Antiqua" w:cs="Arial"/>
        </w:rPr>
        <w:t>The</w:t>
      </w:r>
      <w:r w:rsidR="00D9702E">
        <w:rPr>
          <w:rFonts w:ascii="Book Antiqua" w:hAnsi="Book Antiqua" w:cs="Arial"/>
        </w:rPr>
        <w:t xml:space="preserve"> Ft</w:t>
      </w:r>
      <w:r>
        <w:rPr>
          <w:rFonts w:ascii="Book Antiqua" w:hAnsi="Book Antiqua" w:cs="Arial"/>
        </w:rPr>
        <w:t>TJ relied on the apparent discrepant</w:t>
      </w:r>
      <w:r w:rsidR="00E129F8">
        <w:rPr>
          <w:rFonts w:ascii="Book Antiqua" w:hAnsi="Book Antiqua" w:cs="Arial"/>
        </w:rPr>
        <w:t xml:space="preserve"> evidence to make an adverse finding</w:t>
      </w:r>
      <w:r>
        <w:rPr>
          <w:rFonts w:ascii="Book Antiqua" w:hAnsi="Book Antiqua" w:cs="Arial"/>
        </w:rPr>
        <w:t xml:space="preserve">s </w:t>
      </w:r>
      <w:r w:rsidR="00E129F8">
        <w:rPr>
          <w:rFonts w:ascii="Book Antiqua" w:hAnsi="Book Antiqua" w:cs="Arial"/>
        </w:rPr>
        <w:t>against the Appellant firstly by saying that reliance could not be placed on the invoices showing the Sponsor’s business receipts and secondly</w:t>
      </w:r>
      <w:r>
        <w:rPr>
          <w:rFonts w:ascii="Book Antiqua" w:hAnsi="Book Antiqua" w:cs="Arial"/>
        </w:rPr>
        <w:t xml:space="preserve"> by saying the different</w:t>
      </w:r>
      <w:r w:rsidR="00E129F8">
        <w:rPr>
          <w:rFonts w:ascii="Book Antiqua" w:hAnsi="Book Antiqua" w:cs="Arial"/>
        </w:rPr>
        <w:t xml:space="preserve"> email addresses</w:t>
      </w:r>
      <w:r>
        <w:rPr>
          <w:rFonts w:ascii="Book Antiqua" w:hAnsi="Book Antiqua" w:cs="Arial"/>
        </w:rPr>
        <w:t xml:space="preserve"> showed that the couple could not be residing together at the</w:t>
      </w:r>
      <w:r w:rsidR="00E129F8">
        <w:rPr>
          <w:rFonts w:ascii="Book Antiqua" w:hAnsi="Book Antiqua" w:cs="Arial"/>
        </w:rPr>
        <w:t xml:space="preserve"> contact address.</w:t>
      </w:r>
      <w:r>
        <w:rPr>
          <w:rFonts w:ascii="Book Antiqua" w:hAnsi="Book Antiqua" w:cs="Arial"/>
        </w:rPr>
        <w:t xml:space="preserve"> The complaint made asserting that the judge erred centres on the fact that these findings were made by the judge when no point had been taken on this evidence in the course of the FtT hearing by the Respondent, and more importantly</w:t>
      </w:r>
      <w:r w:rsidR="00E129F8">
        <w:rPr>
          <w:rFonts w:ascii="Book Antiqua" w:hAnsi="Book Antiqua" w:cs="Arial"/>
        </w:rPr>
        <w:t xml:space="preserve"> the Appellant</w:t>
      </w:r>
      <w:r>
        <w:rPr>
          <w:rFonts w:ascii="Book Antiqua" w:hAnsi="Book Antiqua" w:cs="Arial"/>
        </w:rPr>
        <w:t xml:space="preserve"> had never been given an opportunity</w:t>
      </w:r>
      <w:r w:rsidR="00E129F8">
        <w:rPr>
          <w:rFonts w:ascii="Book Antiqua" w:hAnsi="Book Antiqua" w:cs="Arial"/>
        </w:rPr>
        <w:t xml:space="preserve"> to respond to</w:t>
      </w:r>
      <w:r>
        <w:rPr>
          <w:rFonts w:ascii="Book Antiqua" w:hAnsi="Book Antiqua" w:cs="Arial"/>
        </w:rPr>
        <w:t xml:space="preserve"> it. </w:t>
      </w:r>
      <w:r w:rsidR="00F12FED">
        <w:rPr>
          <w:rFonts w:ascii="Book Antiqua" w:hAnsi="Book Antiqua" w:cs="Arial"/>
        </w:rPr>
        <w:t xml:space="preserve"> </w:t>
      </w:r>
      <w:r w:rsidR="00E129F8">
        <w:rPr>
          <w:rFonts w:ascii="Book Antiqua" w:hAnsi="Book Antiqua" w:cs="Arial"/>
        </w:rPr>
        <w:t>Since the adverse finding related to key issues</w:t>
      </w:r>
      <w:r>
        <w:rPr>
          <w:rFonts w:ascii="Book Antiqua" w:hAnsi="Book Antiqua" w:cs="Arial"/>
        </w:rPr>
        <w:t xml:space="preserve"> in the appeal,</w:t>
      </w:r>
      <w:r w:rsidR="00E129F8">
        <w:rPr>
          <w:rFonts w:ascii="Book Antiqua" w:hAnsi="Book Antiqua" w:cs="Arial"/>
        </w:rPr>
        <w:t xml:space="preserve"> namely whether the Sponsor was exercising treaty rights as a self-employed person and whether the Sponsor and Appellant had resided together for a year as the EEA Regulations required, it could not be said that the Appellant had had a fair hearing.  </w:t>
      </w:r>
    </w:p>
    <w:p w:rsidR="00E129F8" w:rsidRDefault="00E129F8" w:rsidP="00E943B7">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Gajjar’s</w:t>
      </w:r>
      <w:proofErr w:type="spellEnd"/>
      <w:r>
        <w:rPr>
          <w:rFonts w:ascii="Book Antiqua" w:hAnsi="Book Antiqua" w:cs="Arial"/>
        </w:rPr>
        <w:t xml:space="preserve"> submission</w:t>
      </w:r>
      <w:r w:rsidR="00EE30E5">
        <w:rPr>
          <w:rFonts w:ascii="Book Antiqua" w:hAnsi="Book Antiqua" w:cs="Arial"/>
        </w:rPr>
        <w:t>s continued</w:t>
      </w:r>
      <w:r>
        <w:rPr>
          <w:rFonts w:ascii="Book Antiqua" w:hAnsi="Book Antiqua" w:cs="Arial"/>
        </w:rPr>
        <w:t xml:space="preserve"> that this</w:t>
      </w:r>
      <w:r w:rsidR="00666F37">
        <w:rPr>
          <w:rFonts w:ascii="Book Antiqua" w:hAnsi="Book Antiqua" w:cs="Arial"/>
        </w:rPr>
        <w:t xml:space="preserve"> error</w:t>
      </w:r>
      <w:r>
        <w:rPr>
          <w:rFonts w:ascii="Book Antiqua" w:hAnsi="Book Antiqua" w:cs="Arial"/>
        </w:rPr>
        <w:t xml:space="preserve"> alone was sufficient to render t</w:t>
      </w:r>
      <w:r w:rsidR="00666F37">
        <w:rPr>
          <w:rFonts w:ascii="Book Antiqua" w:hAnsi="Book Antiqua" w:cs="Arial"/>
        </w:rPr>
        <w:t>he FtT’s decision unsustainable, but he</w:t>
      </w:r>
      <w:r>
        <w:rPr>
          <w:rFonts w:ascii="Book Antiqua" w:hAnsi="Book Antiqua" w:cs="Arial"/>
        </w:rPr>
        <w:t xml:space="preserve"> address</w:t>
      </w:r>
      <w:r w:rsidR="00666F37">
        <w:rPr>
          <w:rFonts w:ascii="Book Antiqua" w:hAnsi="Book Antiqua" w:cs="Arial"/>
        </w:rPr>
        <w:t>ed</w:t>
      </w:r>
      <w:r>
        <w:rPr>
          <w:rFonts w:ascii="Book Antiqua" w:hAnsi="Book Antiqua" w:cs="Arial"/>
        </w:rPr>
        <w:t xml:space="preserve"> me on two other grounds.  He submitted that at [21] the F</w:t>
      </w:r>
      <w:r w:rsidR="00D9702E">
        <w:rPr>
          <w:rFonts w:ascii="Book Antiqua" w:hAnsi="Book Antiqua" w:cs="Arial"/>
        </w:rPr>
        <w:t>t</w:t>
      </w:r>
      <w:r>
        <w:rPr>
          <w:rFonts w:ascii="Book Antiqua" w:hAnsi="Book Antiqua" w:cs="Arial"/>
        </w:rPr>
        <w:t xml:space="preserve">TJ noted that part of the Appellant’s evidence included a lodgings agreement </w:t>
      </w:r>
      <w:r w:rsidR="00E800A7">
        <w:rPr>
          <w:rFonts w:ascii="Book Antiqua" w:hAnsi="Book Antiqua" w:cs="Arial"/>
        </w:rPr>
        <w:t>dated 12</w:t>
      </w:r>
      <w:r w:rsidR="00E800A7" w:rsidRPr="00E800A7">
        <w:rPr>
          <w:rFonts w:ascii="Book Antiqua" w:hAnsi="Book Antiqua" w:cs="Arial"/>
          <w:vertAlign w:val="superscript"/>
        </w:rPr>
        <w:t>th</w:t>
      </w:r>
      <w:r w:rsidR="00E800A7">
        <w:rPr>
          <w:rFonts w:ascii="Book Antiqua" w:hAnsi="Book Antiqua" w:cs="Arial"/>
        </w:rPr>
        <w:t xml:space="preserve"> March 2015 for an address in </w:t>
      </w:r>
      <w:proofErr w:type="spellStart"/>
      <w:r w:rsidR="00E800A7">
        <w:rPr>
          <w:rFonts w:ascii="Book Antiqua" w:hAnsi="Book Antiqua" w:cs="Arial"/>
        </w:rPr>
        <w:t>Tankerville</w:t>
      </w:r>
      <w:proofErr w:type="spellEnd"/>
      <w:r w:rsidR="00E800A7">
        <w:rPr>
          <w:rFonts w:ascii="Book Antiqua" w:hAnsi="Book Antiqua" w:cs="Arial"/>
        </w:rPr>
        <w:t xml:space="preserve"> Road.  This </w:t>
      </w:r>
      <w:r w:rsidR="00666F37">
        <w:rPr>
          <w:rFonts w:ascii="Book Antiqua" w:hAnsi="Book Antiqua" w:cs="Arial"/>
        </w:rPr>
        <w:t xml:space="preserve">lodgings </w:t>
      </w:r>
      <w:r w:rsidR="00E800A7">
        <w:rPr>
          <w:rFonts w:ascii="Book Antiqua" w:hAnsi="Book Antiqua" w:cs="Arial"/>
        </w:rPr>
        <w:t>agreement was made</w:t>
      </w:r>
      <w:r w:rsidR="00666F37">
        <w:rPr>
          <w:rFonts w:ascii="Book Antiqua" w:hAnsi="Book Antiqua" w:cs="Arial"/>
        </w:rPr>
        <w:t xml:space="preserve"> and signed by both the Appellant and</w:t>
      </w:r>
      <w:r w:rsidR="00E800A7">
        <w:rPr>
          <w:rFonts w:ascii="Book Antiqua" w:hAnsi="Book Antiqua" w:cs="Arial"/>
        </w:rPr>
        <w:t xml:space="preserve"> Sponsor</w:t>
      </w:r>
      <w:r w:rsidR="00D26635">
        <w:rPr>
          <w:rFonts w:ascii="Book Antiqua" w:hAnsi="Book Antiqua" w:cs="Arial"/>
        </w:rPr>
        <w:t xml:space="preserve">, a factor which had been drawn to the </w:t>
      </w:r>
      <w:proofErr w:type="spellStart"/>
      <w:r w:rsidR="00D26635">
        <w:rPr>
          <w:rFonts w:ascii="Book Antiqua" w:hAnsi="Book Antiqua" w:cs="Arial"/>
        </w:rPr>
        <w:t>FtTJ’s</w:t>
      </w:r>
      <w:proofErr w:type="spellEnd"/>
      <w:r w:rsidR="00D26635">
        <w:rPr>
          <w:rFonts w:ascii="Book Antiqua" w:hAnsi="Book Antiqua" w:cs="Arial"/>
        </w:rPr>
        <w:t xml:space="preserve"> </w:t>
      </w:r>
      <w:r w:rsidR="00666F37">
        <w:rPr>
          <w:rFonts w:ascii="Book Antiqua" w:hAnsi="Book Antiqua" w:cs="Arial"/>
        </w:rPr>
        <w:t xml:space="preserve">attention </w:t>
      </w:r>
      <w:r w:rsidR="00E800A7">
        <w:rPr>
          <w:rFonts w:ascii="Book Antiqua" w:hAnsi="Book Antiqua" w:cs="Arial"/>
        </w:rPr>
        <w:t>in the Appellant</w:t>
      </w:r>
      <w:r w:rsidR="00666F37">
        <w:rPr>
          <w:rFonts w:ascii="Book Antiqua" w:hAnsi="Book Antiqua" w:cs="Arial"/>
        </w:rPr>
        <w:t xml:space="preserve">’s skeleton argument. </w:t>
      </w:r>
      <w:r w:rsidR="00E800A7">
        <w:rPr>
          <w:rFonts w:ascii="Book Antiqua" w:hAnsi="Book Antiqua" w:cs="Arial"/>
        </w:rPr>
        <w:t xml:space="preserve"> This</w:t>
      </w:r>
      <w:r w:rsidR="00666F37">
        <w:rPr>
          <w:rFonts w:ascii="Book Antiqua" w:hAnsi="Book Antiqua" w:cs="Arial"/>
        </w:rPr>
        <w:t xml:space="preserve"> was evidence which</w:t>
      </w:r>
      <w:r w:rsidR="00E800A7">
        <w:rPr>
          <w:rFonts w:ascii="Book Antiqua" w:hAnsi="Book Antiqua" w:cs="Arial"/>
        </w:rPr>
        <w:t xml:space="preserve"> arguably r</w:t>
      </w:r>
      <w:r w:rsidR="00666F37">
        <w:rPr>
          <w:rFonts w:ascii="Book Antiqua" w:hAnsi="Book Antiqua" w:cs="Arial"/>
        </w:rPr>
        <w:t>ebutted the conclusion that the Appellant and Sponsor</w:t>
      </w:r>
      <w:r w:rsidR="00E800A7">
        <w:rPr>
          <w:rFonts w:ascii="Book Antiqua" w:hAnsi="Book Antiqua" w:cs="Arial"/>
        </w:rPr>
        <w:t xml:space="preserve"> wer</w:t>
      </w:r>
      <w:r w:rsidR="00666F37">
        <w:rPr>
          <w:rFonts w:ascii="Book Antiqua" w:hAnsi="Book Antiqua" w:cs="Arial"/>
        </w:rPr>
        <w:t>e not living together and/or the Sponsor</w:t>
      </w:r>
      <w:r w:rsidR="00E800A7">
        <w:rPr>
          <w:rFonts w:ascii="Book Antiqua" w:hAnsi="Book Antiqua" w:cs="Arial"/>
        </w:rPr>
        <w:t xml:space="preserve"> was not in the United Kingdom.  Th</w:t>
      </w:r>
      <w:r w:rsidR="00D26635">
        <w:rPr>
          <w:rFonts w:ascii="Book Antiqua" w:hAnsi="Book Antiqua" w:cs="Arial"/>
        </w:rPr>
        <w:t>e FtTJ</w:t>
      </w:r>
      <w:r w:rsidR="00666F37">
        <w:rPr>
          <w:rFonts w:ascii="Book Antiqua" w:hAnsi="Book Antiqua" w:cs="Arial"/>
        </w:rPr>
        <w:t xml:space="preserve"> </w:t>
      </w:r>
      <w:r w:rsidR="00D26635">
        <w:rPr>
          <w:rFonts w:ascii="Book Antiqua" w:hAnsi="Book Antiqua" w:cs="Arial"/>
        </w:rPr>
        <w:t>failed to make a finding on this evidence.</w:t>
      </w:r>
      <w:r w:rsidR="00E800A7">
        <w:rPr>
          <w:rFonts w:ascii="Book Antiqua" w:hAnsi="Book Antiqua" w:cs="Arial"/>
        </w:rPr>
        <w:t xml:space="preserve"> </w:t>
      </w:r>
      <w:r w:rsidR="00D26635">
        <w:rPr>
          <w:rFonts w:ascii="Book Antiqua" w:hAnsi="Book Antiqua" w:cs="Arial"/>
        </w:rPr>
        <w:t xml:space="preserve"> This failure</w:t>
      </w:r>
      <w:r w:rsidR="00E800A7">
        <w:rPr>
          <w:rFonts w:ascii="Book Antiqua" w:hAnsi="Book Antiqua" w:cs="Arial"/>
        </w:rPr>
        <w:t xml:space="preserve"> went to the materiality of the decision.  </w:t>
      </w:r>
    </w:p>
    <w:p w:rsidR="00666F37" w:rsidRDefault="00666F37" w:rsidP="006841BA">
      <w:pPr>
        <w:numPr>
          <w:ilvl w:val="0"/>
          <w:numId w:val="3"/>
        </w:numPr>
        <w:spacing w:before="240"/>
        <w:jc w:val="both"/>
        <w:rPr>
          <w:rFonts w:ascii="Book Antiqua" w:hAnsi="Book Antiqua" w:cs="Arial"/>
        </w:rPr>
      </w:pPr>
      <w:r>
        <w:rPr>
          <w:rFonts w:ascii="Book Antiqua" w:hAnsi="Book Antiqua" w:cs="Arial"/>
        </w:rPr>
        <w:lastRenderedPageBreak/>
        <w:t xml:space="preserve">The </w:t>
      </w:r>
      <w:r w:rsidR="00F42348">
        <w:rPr>
          <w:rFonts w:ascii="Book Antiqua" w:hAnsi="Book Antiqua" w:cs="Arial"/>
        </w:rPr>
        <w:t>final</w:t>
      </w:r>
      <w:r>
        <w:rPr>
          <w:rFonts w:ascii="Book Antiqua" w:hAnsi="Book Antiqua" w:cs="Arial"/>
        </w:rPr>
        <w:t xml:space="preserve"> factor </w:t>
      </w:r>
      <w:r w:rsidR="00F42348">
        <w:rPr>
          <w:rFonts w:ascii="Book Antiqua" w:hAnsi="Book Antiqua" w:cs="Arial"/>
        </w:rPr>
        <w:t>that</w:t>
      </w:r>
      <w:r>
        <w:rPr>
          <w:rFonts w:ascii="Book Antiqua" w:hAnsi="Book Antiqua" w:cs="Arial"/>
        </w:rPr>
        <w:t xml:space="preserve"> </w:t>
      </w:r>
      <w:r w:rsidR="00E800A7">
        <w:rPr>
          <w:rFonts w:ascii="Book Antiqua" w:hAnsi="Book Antiqua" w:cs="Arial"/>
        </w:rPr>
        <w:t>he wished to em</w:t>
      </w:r>
      <w:r>
        <w:rPr>
          <w:rFonts w:ascii="Book Antiqua" w:hAnsi="Book Antiqua" w:cs="Arial"/>
        </w:rPr>
        <w:t>phasised related</w:t>
      </w:r>
      <w:r w:rsidR="00E800A7">
        <w:rPr>
          <w:rFonts w:ascii="Book Antiqua" w:hAnsi="Book Antiqua" w:cs="Arial"/>
        </w:rPr>
        <w:t xml:space="preserve"> to Ground 5</w:t>
      </w:r>
      <w:r>
        <w:rPr>
          <w:rFonts w:ascii="Book Antiqua" w:hAnsi="Book Antiqua" w:cs="Arial"/>
        </w:rPr>
        <w:t xml:space="preserve">. </w:t>
      </w:r>
      <w:r w:rsidR="00F42348">
        <w:rPr>
          <w:rFonts w:ascii="Book Antiqua" w:hAnsi="Book Antiqua" w:cs="Arial"/>
        </w:rPr>
        <w:t xml:space="preserve"> </w:t>
      </w:r>
      <w:r>
        <w:rPr>
          <w:rFonts w:ascii="Book Antiqua" w:hAnsi="Book Antiqua" w:cs="Arial"/>
        </w:rPr>
        <w:t>I</w:t>
      </w:r>
      <w:r w:rsidR="00B32D43">
        <w:rPr>
          <w:rFonts w:ascii="Book Antiqua" w:hAnsi="Book Antiqua" w:cs="Arial"/>
        </w:rPr>
        <w:t>t is asserted that the Ft</w:t>
      </w:r>
      <w:r w:rsidR="00E800A7">
        <w:rPr>
          <w:rFonts w:ascii="Book Antiqua" w:hAnsi="Book Antiqua" w:cs="Arial"/>
        </w:rPr>
        <w:t>TJ materially misdirected herself in departing from the findings made by a previous</w:t>
      </w:r>
      <w:r>
        <w:rPr>
          <w:rFonts w:ascii="Book Antiqua" w:hAnsi="Book Antiqua" w:cs="Arial"/>
        </w:rPr>
        <w:t xml:space="preserve"> judge in a hearing</w:t>
      </w:r>
      <w:r w:rsidR="00E800A7">
        <w:rPr>
          <w:rFonts w:ascii="Book Antiqua" w:hAnsi="Book Antiqua" w:cs="Arial"/>
        </w:rPr>
        <w:t xml:space="preserve"> on 12</w:t>
      </w:r>
      <w:r w:rsidR="00E800A7" w:rsidRPr="00E800A7">
        <w:rPr>
          <w:rFonts w:ascii="Book Antiqua" w:hAnsi="Book Antiqua" w:cs="Arial"/>
          <w:vertAlign w:val="superscript"/>
        </w:rPr>
        <w:t>th</w:t>
      </w:r>
      <w:r w:rsidR="00E800A7">
        <w:rPr>
          <w:rFonts w:ascii="Book Antiqua" w:hAnsi="Book Antiqua" w:cs="Arial"/>
        </w:rPr>
        <w:t xml:space="preserve"> December </w:t>
      </w:r>
      <w:r>
        <w:rPr>
          <w:rFonts w:ascii="Book Antiqua" w:hAnsi="Book Antiqua" w:cs="Arial"/>
        </w:rPr>
        <w:t xml:space="preserve">2011.  The Appellant </w:t>
      </w:r>
      <w:r w:rsidR="00E800A7">
        <w:rPr>
          <w:rFonts w:ascii="Book Antiqua" w:hAnsi="Book Antiqua" w:cs="Arial"/>
        </w:rPr>
        <w:t>had a previous ap</w:t>
      </w:r>
      <w:r>
        <w:rPr>
          <w:rFonts w:ascii="Book Antiqua" w:hAnsi="Book Antiqua" w:cs="Arial"/>
        </w:rPr>
        <w:t xml:space="preserve">peal before </w:t>
      </w:r>
      <w:proofErr w:type="spellStart"/>
      <w:r>
        <w:rPr>
          <w:rFonts w:ascii="Book Antiqua" w:hAnsi="Book Antiqua" w:cs="Arial"/>
        </w:rPr>
        <w:t>FtTJ</w:t>
      </w:r>
      <w:proofErr w:type="spellEnd"/>
      <w:r>
        <w:rPr>
          <w:rFonts w:ascii="Book Antiqua" w:hAnsi="Book Antiqua" w:cs="Arial"/>
        </w:rPr>
        <w:t xml:space="preserve"> </w:t>
      </w:r>
      <w:proofErr w:type="spellStart"/>
      <w:r>
        <w:rPr>
          <w:rFonts w:ascii="Book Antiqua" w:hAnsi="Book Antiqua" w:cs="Arial"/>
        </w:rPr>
        <w:t>Eban</w:t>
      </w:r>
      <w:proofErr w:type="spellEnd"/>
      <w:r>
        <w:rPr>
          <w:rFonts w:ascii="Book Antiqua" w:hAnsi="Book Antiqua" w:cs="Arial"/>
        </w:rPr>
        <w:t>.</w:t>
      </w:r>
      <w:r w:rsidR="00B32D43">
        <w:rPr>
          <w:rFonts w:ascii="Book Antiqua" w:hAnsi="Book Antiqua" w:cs="Arial"/>
        </w:rPr>
        <w:t xml:space="preserve"> </w:t>
      </w:r>
      <w:r>
        <w:rPr>
          <w:rFonts w:ascii="Book Antiqua" w:hAnsi="Book Antiqua" w:cs="Arial"/>
        </w:rPr>
        <w:t xml:space="preserve"> This appeal dealt</w:t>
      </w:r>
      <w:r w:rsidR="00E800A7">
        <w:rPr>
          <w:rFonts w:ascii="Book Antiqua" w:hAnsi="Book Antiqua" w:cs="Arial"/>
        </w:rPr>
        <w:t xml:space="preserve"> with the question of whether the relationship between the Appellant and Spo</w:t>
      </w:r>
      <w:r>
        <w:rPr>
          <w:rFonts w:ascii="Book Antiqua" w:hAnsi="Book Antiqua" w:cs="Arial"/>
        </w:rPr>
        <w:t xml:space="preserve">nsor was one of convenience.  </w:t>
      </w:r>
      <w:proofErr w:type="spellStart"/>
      <w:r>
        <w:rPr>
          <w:rFonts w:ascii="Book Antiqua" w:hAnsi="Book Antiqua" w:cs="Arial"/>
        </w:rPr>
        <w:t>Ft</w:t>
      </w:r>
      <w:r w:rsidR="00E800A7">
        <w:rPr>
          <w:rFonts w:ascii="Book Antiqua" w:hAnsi="Book Antiqua" w:cs="Arial"/>
        </w:rPr>
        <w:t>TJ</w:t>
      </w:r>
      <w:proofErr w:type="spellEnd"/>
      <w:r w:rsidR="00E800A7">
        <w:rPr>
          <w:rFonts w:ascii="Book Antiqua" w:hAnsi="Book Antiqua" w:cs="Arial"/>
        </w:rPr>
        <w:t xml:space="preserve"> </w:t>
      </w:r>
      <w:proofErr w:type="spellStart"/>
      <w:r w:rsidR="00E800A7">
        <w:rPr>
          <w:rFonts w:ascii="Book Antiqua" w:hAnsi="Book Antiqua" w:cs="Arial"/>
        </w:rPr>
        <w:t>Eban</w:t>
      </w:r>
      <w:proofErr w:type="spellEnd"/>
      <w:r w:rsidR="00E800A7">
        <w:rPr>
          <w:rFonts w:ascii="Book Antiqua" w:hAnsi="Book Antiqua" w:cs="Arial"/>
        </w:rPr>
        <w:t xml:space="preserve"> found that the Appellant’s relationship with the Sponsor was not one of convenience, that the Sponsor was exercising treaty rights in the United Kingdom</w:t>
      </w:r>
      <w:r w:rsidR="00B32D43">
        <w:rPr>
          <w:rFonts w:ascii="Book Antiqua" w:hAnsi="Book Antiqua" w:cs="Arial"/>
        </w:rPr>
        <w:t>,</w:t>
      </w:r>
      <w:r w:rsidR="00E800A7">
        <w:rPr>
          <w:rFonts w:ascii="Book Antiqua" w:hAnsi="Book Antiqua" w:cs="Arial"/>
        </w:rPr>
        <w:t xml:space="preserve"> and that the couple we</w:t>
      </w:r>
      <w:r>
        <w:rPr>
          <w:rFonts w:ascii="Book Antiqua" w:hAnsi="Book Antiqua" w:cs="Arial"/>
        </w:rPr>
        <w:t xml:space="preserve">re expecting a baby. </w:t>
      </w:r>
    </w:p>
    <w:p w:rsidR="00E800A7" w:rsidRDefault="00666F37" w:rsidP="006841BA">
      <w:pPr>
        <w:numPr>
          <w:ilvl w:val="0"/>
          <w:numId w:val="3"/>
        </w:numPr>
        <w:spacing w:before="240"/>
        <w:jc w:val="both"/>
        <w:rPr>
          <w:rFonts w:ascii="Book Antiqua" w:hAnsi="Book Antiqua" w:cs="Arial"/>
        </w:rPr>
      </w:pPr>
      <w:r>
        <w:rPr>
          <w:rFonts w:ascii="Book Antiqua" w:hAnsi="Book Antiqua" w:cs="Arial"/>
        </w:rPr>
        <w:t>Ft</w:t>
      </w:r>
      <w:r w:rsidR="00E800A7">
        <w:rPr>
          <w:rFonts w:ascii="Book Antiqua" w:hAnsi="Book Antiqua" w:cs="Arial"/>
        </w:rPr>
        <w:t>TJ Watson</w:t>
      </w:r>
      <w:r w:rsidR="00B32D43">
        <w:rPr>
          <w:rFonts w:ascii="Book Antiqua" w:hAnsi="Book Antiqua" w:cs="Arial"/>
        </w:rPr>
        <w:t xml:space="preserve"> in her decision at [3</w:t>
      </w:r>
      <w:r w:rsidR="00683E48">
        <w:rPr>
          <w:rFonts w:ascii="Book Antiqua" w:hAnsi="Book Antiqua" w:cs="Arial"/>
        </w:rPr>
        <w:t>0]</w:t>
      </w:r>
      <w:r w:rsidR="00E800A7">
        <w:rPr>
          <w:rFonts w:ascii="Book Antiqua" w:hAnsi="Book Antiqua" w:cs="Arial"/>
        </w:rPr>
        <w:t xml:space="preserve"> effectively departed from the findings</w:t>
      </w:r>
      <w:r w:rsidR="00683E48">
        <w:rPr>
          <w:rFonts w:ascii="Book Antiqua" w:hAnsi="Book Antiqua" w:cs="Arial"/>
        </w:rPr>
        <w:t xml:space="preserve"> made by</w:t>
      </w:r>
      <w:r w:rsidR="00E800A7">
        <w:rPr>
          <w:rFonts w:ascii="Book Antiqua" w:hAnsi="Book Antiqua" w:cs="Arial"/>
        </w:rPr>
        <w:t xml:space="preserve"> </w:t>
      </w:r>
      <w:proofErr w:type="spellStart"/>
      <w:r w:rsidR="00E800A7">
        <w:rPr>
          <w:rFonts w:ascii="Book Antiqua" w:hAnsi="Book Antiqua" w:cs="Arial"/>
        </w:rPr>
        <w:t>F</w:t>
      </w:r>
      <w:r w:rsidR="00D9702E">
        <w:rPr>
          <w:rFonts w:ascii="Book Antiqua" w:hAnsi="Book Antiqua" w:cs="Arial"/>
        </w:rPr>
        <w:t>t</w:t>
      </w:r>
      <w:r w:rsidR="00E800A7">
        <w:rPr>
          <w:rFonts w:ascii="Book Antiqua" w:hAnsi="Book Antiqua" w:cs="Arial"/>
        </w:rPr>
        <w:t>TJ</w:t>
      </w:r>
      <w:proofErr w:type="spellEnd"/>
      <w:r w:rsidR="00E800A7">
        <w:rPr>
          <w:rFonts w:ascii="Book Antiqua" w:hAnsi="Book Antiqua" w:cs="Arial"/>
        </w:rPr>
        <w:t xml:space="preserve"> </w:t>
      </w:r>
      <w:proofErr w:type="spellStart"/>
      <w:r w:rsidR="00E800A7">
        <w:rPr>
          <w:rFonts w:ascii="Book Antiqua" w:hAnsi="Book Antiqua" w:cs="Arial"/>
        </w:rPr>
        <w:t>Eban</w:t>
      </w:r>
      <w:proofErr w:type="spellEnd"/>
      <w:r w:rsidR="00683E48">
        <w:rPr>
          <w:rFonts w:ascii="Book Antiqua" w:hAnsi="Book Antiqua" w:cs="Arial"/>
        </w:rPr>
        <w:t xml:space="preserve">. </w:t>
      </w:r>
      <w:r w:rsidR="00D9702E">
        <w:rPr>
          <w:rFonts w:ascii="Book Antiqua" w:hAnsi="Book Antiqua" w:cs="Arial"/>
        </w:rPr>
        <w:t xml:space="preserve"> </w:t>
      </w:r>
      <w:r w:rsidR="00683E48">
        <w:rPr>
          <w:rFonts w:ascii="Book Antiqua" w:hAnsi="Book Antiqua" w:cs="Arial"/>
        </w:rPr>
        <w:t>T</w:t>
      </w:r>
      <w:r w:rsidR="00E800A7">
        <w:rPr>
          <w:rFonts w:ascii="Book Antiqua" w:hAnsi="Book Antiqua" w:cs="Arial"/>
        </w:rPr>
        <w:t>he complaint raised is that s</w:t>
      </w:r>
      <w:r w:rsidR="00683E48">
        <w:rPr>
          <w:rFonts w:ascii="Book Antiqua" w:hAnsi="Book Antiqua" w:cs="Arial"/>
        </w:rPr>
        <w:t>he did so without good reason.  I</w:t>
      </w:r>
      <w:r w:rsidR="00993648">
        <w:rPr>
          <w:rFonts w:ascii="Book Antiqua" w:hAnsi="Book Antiqua" w:cs="Arial"/>
        </w:rPr>
        <w:t>t is accepted that a judge is entitled to depart from findings made in a previous de</w:t>
      </w:r>
      <w:r w:rsidR="00683E48">
        <w:rPr>
          <w:rFonts w:ascii="Book Antiqua" w:hAnsi="Book Antiqua" w:cs="Arial"/>
        </w:rPr>
        <w:t>cision, provided</w:t>
      </w:r>
      <w:r w:rsidR="00993648">
        <w:rPr>
          <w:rFonts w:ascii="Book Antiqua" w:hAnsi="Book Antiqua" w:cs="Arial"/>
        </w:rPr>
        <w:t xml:space="preserve"> there is good reason</w:t>
      </w:r>
      <w:r w:rsidR="00683E48">
        <w:rPr>
          <w:rFonts w:ascii="Book Antiqua" w:hAnsi="Book Antiqua" w:cs="Arial"/>
        </w:rPr>
        <w:t xml:space="preserve"> to do so.  The difficulty in the present matter is that the reason given for </w:t>
      </w:r>
      <w:r w:rsidR="00B32D43">
        <w:rPr>
          <w:rFonts w:ascii="Book Antiqua" w:hAnsi="Book Antiqua" w:cs="Arial"/>
        </w:rPr>
        <w:t xml:space="preserve">FtTJ </w:t>
      </w:r>
      <w:r w:rsidR="00683E48">
        <w:rPr>
          <w:rFonts w:ascii="Book Antiqua" w:hAnsi="Book Antiqua" w:cs="Arial"/>
        </w:rPr>
        <w:t xml:space="preserve">Watson departing </w:t>
      </w:r>
      <w:r w:rsidR="00993648">
        <w:rPr>
          <w:rFonts w:ascii="Book Antiqua" w:hAnsi="Book Antiqua" w:cs="Arial"/>
        </w:rPr>
        <w:t xml:space="preserve">from the findings of </w:t>
      </w:r>
      <w:proofErr w:type="spellStart"/>
      <w:r w:rsidR="00B32D43">
        <w:rPr>
          <w:rFonts w:ascii="Book Antiqua" w:hAnsi="Book Antiqua" w:cs="Arial"/>
        </w:rPr>
        <w:t>FtTJ</w:t>
      </w:r>
      <w:proofErr w:type="spellEnd"/>
      <w:r w:rsidR="00B32D43">
        <w:rPr>
          <w:rFonts w:ascii="Book Antiqua" w:hAnsi="Book Antiqua" w:cs="Arial"/>
        </w:rPr>
        <w:t xml:space="preserve"> </w:t>
      </w:r>
      <w:proofErr w:type="spellStart"/>
      <w:r w:rsidR="00993648">
        <w:rPr>
          <w:rFonts w:ascii="Book Antiqua" w:hAnsi="Book Antiqua" w:cs="Arial"/>
        </w:rPr>
        <w:t>Eban</w:t>
      </w:r>
      <w:proofErr w:type="spellEnd"/>
      <w:r w:rsidR="00993648">
        <w:rPr>
          <w:rFonts w:ascii="Book Antiqua" w:hAnsi="Book Antiqua" w:cs="Arial"/>
        </w:rPr>
        <w:t xml:space="preserve"> was on the basis of the adverse findings that she had made, concerning the apparent discrepant email evidence.  Mr </w:t>
      </w:r>
      <w:proofErr w:type="spellStart"/>
      <w:r w:rsidR="00993648">
        <w:rPr>
          <w:rFonts w:ascii="Book Antiqua" w:hAnsi="Book Antiqua" w:cs="Arial"/>
        </w:rPr>
        <w:t>Gajjar</w:t>
      </w:r>
      <w:proofErr w:type="spellEnd"/>
      <w:r w:rsidR="00993648">
        <w:rPr>
          <w:rFonts w:ascii="Book Antiqua" w:hAnsi="Book Antiqua" w:cs="Arial"/>
        </w:rPr>
        <w:t xml:space="preserve"> submitted</w:t>
      </w:r>
      <w:r w:rsidR="00683E48">
        <w:rPr>
          <w:rFonts w:ascii="Book Antiqua" w:hAnsi="Book Antiqua" w:cs="Arial"/>
        </w:rPr>
        <w:t xml:space="preserve"> therefore</w:t>
      </w:r>
      <w:r w:rsidR="00993648">
        <w:rPr>
          <w:rFonts w:ascii="Book Antiqua" w:hAnsi="Book Antiqua" w:cs="Arial"/>
        </w:rPr>
        <w:t xml:space="preserve"> that taking these matters cumulatively</w:t>
      </w:r>
      <w:r w:rsidR="00683E48">
        <w:rPr>
          <w:rFonts w:ascii="Book Antiqua" w:hAnsi="Book Antiqua" w:cs="Arial"/>
        </w:rPr>
        <w:t>,</w:t>
      </w:r>
      <w:r w:rsidR="00993648">
        <w:rPr>
          <w:rFonts w:ascii="Book Antiqua" w:hAnsi="Book Antiqua" w:cs="Arial"/>
        </w:rPr>
        <w:t xml:space="preserve"> it is clear that the</w:t>
      </w:r>
      <w:r w:rsidR="00683E48">
        <w:rPr>
          <w:rFonts w:ascii="Book Antiqua" w:hAnsi="Book Antiqua" w:cs="Arial"/>
        </w:rPr>
        <w:t xml:space="preserve"> wrongly considered</w:t>
      </w:r>
      <w:r w:rsidR="00993648">
        <w:rPr>
          <w:rFonts w:ascii="Book Antiqua" w:hAnsi="Book Antiqua" w:cs="Arial"/>
        </w:rPr>
        <w:t xml:space="preserve"> email evidence acts as a thread throughout the appeal and accordingly the decision was tainted thro</w:t>
      </w:r>
      <w:r w:rsidR="00683E48">
        <w:rPr>
          <w:rFonts w:ascii="Book Antiqua" w:hAnsi="Book Antiqua" w:cs="Arial"/>
        </w:rPr>
        <w:t>ughout and should be set aside and remade.</w:t>
      </w:r>
      <w:r w:rsidR="00993648">
        <w:rPr>
          <w:rFonts w:ascii="Book Antiqua" w:hAnsi="Book Antiqua" w:cs="Arial"/>
        </w:rPr>
        <w:t xml:space="preserve"> </w:t>
      </w:r>
    </w:p>
    <w:p w:rsidR="006815FC" w:rsidRDefault="006815FC" w:rsidP="00E943B7">
      <w:pPr>
        <w:numPr>
          <w:ilvl w:val="0"/>
          <w:numId w:val="3"/>
        </w:numPr>
        <w:spacing w:before="240"/>
        <w:jc w:val="both"/>
        <w:rPr>
          <w:rFonts w:ascii="Book Antiqua" w:hAnsi="Book Antiqua" w:cs="Arial"/>
        </w:rPr>
      </w:pPr>
      <w:r>
        <w:rPr>
          <w:rFonts w:ascii="Book Antiqua" w:hAnsi="Book Antiqua" w:cs="Arial"/>
        </w:rPr>
        <w:t>Ms Pal on behalf of the Respondent served a Rule 24 response.  The Rule 24 response opposed the grounds seeking permission saying</w:t>
      </w:r>
      <w:r w:rsidR="00205D3D">
        <w:rPr>
          <w:rFonts w:ascii="Book Antiqua" w:hAnsi="Book Antiqua" w:cs="Arial"/>
        </w:rPr>
        <w:t>:</w:t>
      </w:r>
    </w:p>
    <w:p w:rsidR="00205D3D" w:rsidRDefault="00205D3D" w:rsidP="00205D3D">
      <w:pPr>
        <w:spacing w:before="240"/>
        <w:ind w:left="1134"/>
        <w:jc w:val="both"/>
        <w:rPr>
          <w:rFonts w:ascii="Book Antiqua" w:hAnsi="Book Antiqua" w:cs="Arial"/>
        </w:rPr>
      </w:pPr>
      <w:r>
        <w:rPr>
          <w:rFonts w:ascii="Book Antiqua" w:hAnsi="Book Antiqua" w:cs="Arial"/>
        </w:rPr>
        <w:t>“The gr</w:t>
      </w:r>
      <w:r w:rsidR="00C05813">
        <w:rPr>
          <w:rFonts w:ascii="Book Antiqua" w:hAnsi="Book Antiqua" w:cs="Arial"/>
        </w:rPr>
        <w:t>ounds do not indicate what the a</w:t>
      </w:r>
      <w:r>
        <w:rPr>
          <w:rFonts w:ascii="Book Antiqua" w:hAnsi="Book Antiqua" w:cs="Arial"/>
        </w:rPr>
        <w:t>ppellant’s explanation for the email discrepancy would have been had he been given the opportunity, so it has not been shown that the error, if there was one, was material.  This discrepancy was, in any event, just one of a n</w:t>
      </w:r>
      <w:r w:rsidR="00C05813">
        <w:rPr>
          <w:rFonts w:ascii="Book Antiqua" w:hAnsi="Book Antiqua" w:cs="Arial"/>
        </w:rPr>
        <w:t>umber of factors which led the J</w:t>
      </w:r>
      <w:r>
        <w:rPr>
          <w:rFonts w:ascii="Book Antiqua" w:hAnsi="Book Antiqua" w:cs="Arial"/>
        </w:rPr>
        <w:t>udge to find ag</w:t>
      </w:r>
      <w:r w:rsidR="00C05813">
        <w:rPr>
          <w:rFonts w:ascii="Book Antiqua" w:hAnsi="Book Antiqua" w:cs="Arial"/>
        </w:rPr>
        <w:t>ainst the a</w:t>
      </w:r>
      <w:r>
        <w:rPr>
          <w:rFonts w:ascii="Book Antiqua" w:hAnsi="Book Antiqua" w:cs="Arial"/>
        </w:rPr>
        <w:t>ppellant.”</w:t>
      </w:r>
    </w:p>
    <w:p w:rsidR="00205D3D" w:rsidRDefault="00205D3D" w:rsidP="00E943B7">
      <w:pPr>
        <w:numPr>
          <w:ilvl w:val="0"/>
          <w:numId w:val="3"/>
        </w:numPr>
        <w:spacing w:before="240"/>
        <w:jc w:val="both"/>
        <w:rPr>
          <w:rFonts w:ascii="Book Antiqua" w:hAnsi="Book Antiqua" w:cs="Arial"/>
        </w:rPr>
      </w:pPr>
      <w:r>
        <w:rPr>
          <w:rFonts w:ascii="Book Antiqua" w:hAnsi="Book Antiqua" w:cs="Arial"/>
        </w:rPr>
        <w:t>Ms Pal drew my attention to [29] and drawing on what was set out in the Rule 24 response</w:t>
      </w:r>
      <w:r w:rsidR="00683E48">
        <w:rPr>
          <w:rFonts w:ascii="Book Antiqua" w:hAnsi="Book Antiqua" w:cs="Arial"/>
        </w:rPr>
        <w:t>, said that there was evidence of</w:t>
      </w:r>
      <w:r>
        <w:rPr>
          <w:rFonts w:ascii="Book Antiqua" w:hAnsi="Book Antiqua" w:cs="Arial"/>
        </w:rPr>
        <w:t xml:space="preserve"> other factors which</w:t>
      </w:r>
      <w:r w:rsidR="00683E48">
        <w:rPr>
          <w:rFonts w:ascii="Book Antiqua" w:hAnsi="Book Antiqua" w:cs="Arial"/>
        </w:rPr>
        <w:t xml:space="preserve"> had</w:t>
      </w:r>
      <w:r>
        <w:rPr>
          <w:rFonts w:ascii="Book Antiqua" w:hAnsi="Book Antiqua" w:cs="Arial"/>
        </w:rPr>
        <w:t xml:space="preserve"> led the judge to find against the Appellant.  She submitted that the judge had noted at </w:t>
      </w:r>
      <w:r w:rsidR="00683E48">
        <w:rPr>
          <w:rFonts w:ascii="Book Antiqua" w:hAnsi="Book Antiqua" w:cs="Arial"/>
        </w:rPr>
        <w:t>[</w:t>
      </w:r>
      <w:r>
        <w:rPr>
          <w:rFonts w:ascii="Book Antiqua" w:hAnsi="Book Antiqua" w:cs="Arial"/>
        </w:rPr>
        <w:t>29</w:t>
      </w:r>
      <w:r w:rsidR="00683E48">
        <w:rPr>
          <w:rFonts w:ascii="Book Antiqua" w:hAnsi="Book Antiqua" w:cs="Arial"/>
        </w:rPr>
        <w:t>]</w:t>
      </w:r>
      <w:r>
        <w:rPr>
          <w:rFonts w:ascii="Book Antiqua" w:hAnsi="Book Antiqua" w:cs="Arial"/>
        </w:rPr>
        <w:t xml:space="preserve"> that there was a </w:t>
      </w:r>
      <w:r w:rsidR="00961159">
        <w:rPr>
          <w:rFonts w:ascii="Book Antiqua" w:hAnsi="Book Antiqua" w:cs="Arial"/>
        </w:rPr>
        <w:t>“</w:t>
      </w:r>
      <w:r>
        <w:rPr>
          <w:rFonts w:ascii="Book Antiqua" w:hAnsi="Book Antiqua" w:cs="Arial"/>
        </w:rPr>
        <w:t xml:space="preserve">lack of any entries in the bank statements produced in the name of the </w:t>
      </w:r>
      <w:r w:rsidR="00961159">
        <w:rPr>
          <w:rFonts w:ascii="Book Antiqua" w:hAnsi="Book Antiqua" w:cs="Arial"/>
        </w:rPr>
        <w:t>EEA national</w:t>
      </w:r>
      <w:r w:rsidR="00280689">
        <w:rPr>
          <w:rFonts w:ascii="Book Antiqua" w:hAnsi="Book Antiqua" w:cs="Arial"/>
        </w:rPr>
        <w:t>.</w:t>
      </w:r>
      <w:r w:rsidR="00961159">
        <w:rPr>
          <w:rFonts w:ascii="Book Antiqua" w:hAnsi="Book Antiqua" w:cs="Arial"/>
        </w:rPr>
        <w:t>”</w:t>
      </w:r>
      <w:r>
        <w:rPr>
          <w:rFonts w:ascii="Book Antiqua" w:hAnsi="Book Antiqua" w:cs="Arial"/>
        </w:rPr>
        <w:t xml:space="preserve"> </w:t>
      </w:r>
      <w:r w:rsidR="00280689">
        <w:rPr>
          <w:rFonts w:ascii="Book Antiqua" w:hAnsi="Book Antiqua" w:cs="Arial"/>
        </w:rPr>
        <w:t xml:space="preserve"> </w:t>
      </w:r>
      <w:r w:rsidR="00961159">
        <w:rPr>
          <w:rFonts w:ascii="Book Antiqua" w:hAnsi="Book Antiqua" w:cs="Arial"/>
        </w:rPr>
        <w:t>Furthermore</w:t>
      </w:r>
      <w:r>
        <w:rPr>
          <w:rFonts w:ascii="Book Antiqua" w:hAnsi="Book Antiqua" w:cs="Arial"/>
        </w:rPr>
        <w:t xml:space="preserve"> the national insurance payments apparently made by the Sponsor had </w:t>
      </w:r>
      <w:r w:rsidR="00683E48">
        <w:rPr>
          <w:rFonts w:ascii="Book Antiqua" w:hAnsi="Book Antiqua" w:cs="Arial"/>
        </w:rPr>
        <w:t xml:space="preserve">in fact </w:t>
      </w:r>
      <w:r>
        <w:rPr>
          <w:rFonts w:ascii="Book Antiqua" w:hAnsi="Book Antiqua" w:cs="Arial"/>
        </w:rPr>
        <w:t>been paid by the Appellant himself.  She also noted that no accounts</w:t>
      </w:r>
      <w:r w:rsidR="00683E48">
        <w:rPr>
          <w:rFonts w:ascii="Book Antiqua" w:hAnsi="Book Antiqua" w:cs="Arial"/>
        </w:rPr>
        <w:t xml:space="preserve"> for the business</w:t>
      </w:r>
      <w:r>
        <w:rPr>
          <w:rFonts w:ascii="Book Antiqua" w:hAnsi="Book Antiqua" w:cs="Arial"/>
        </w:rPr>
        <w:t xml:space="preserve"> had been produced.  </w:t>
      </w:r>
    </w:p>
    <w:p w:rsidR="00683E48" w:rsidRDefault="00205D3D" w:rsidP="00E943B7">
      <w:pPr>
        <w:numPr>
          <w:ilvl w:val="0"/>
          <w:numId w:val="3"/>
        </w:numPr>
        <w:spacing w:before="240"/>
        <w:jc w:val="both"/>
        <w:rPr>
          <w:rFonts w:ascii="Book Antiqua" w:hAnsi="Book Antiqua" w:cs="Arial"/>
        </w:rPr>
      </w:pPr>
      <w:r>
        <w:rPr>
          <w:rFonts w:ascii="Book Antiqua" w:hAnsi="Book Antiqua" w:cs="Arial"/>
        </w:rPr>
        <w:t>She then r</w:t>
      </w:r>
      <w:r w:rsidR="00683E48">
        <w:rPr>
          <w:rFonts w:ascii="Book Antiqua" w:hAnsi="Book Antiqua" w:cs="Arial"/>
        </w:rPr>
        <w:t>eferred me to [26] and said</w:t>
      </w:r>
      <w:r>
        <w:rPr>
          <w:rFonts w:ascii="Book Antiqua" w:hAnsi="Book Antiqua" w:cs="Arial"/>
        </w:rPr>
        <w:t xml:space="preserve"> that the judge had made a finding that the Appellant was evasive when questioned in detai</w:t>
      </w:r>
      <w:r w:rsidR="00683E48">
        <w:rPr>
          <w:rFonts w:ascii="Book Antiqua" w:hAnsi="Book Antiqua" w:cs="Arial"/>
        </w:rPr>
        <w:t>l about the various addresses in</w:t>
      </w:r>
      <w:r>
        <w:rPr>
          <w:rFonts w:ascii="Book Antiqua" w:hAnsi="Book Antiqua" w:cs="Arial"/>
        </w:rPr>
        <w:t xml:space="preserve"> which it</w:t>
      </w:r>
      <w:r w:rsidR="00683E48">
        <w:rPr>
          <w:rFonts w:ascii="Book Antiqua" w:hAnsi="Book Antiqua" w:cs="Arial"/>
        </w:rPr>
        <w:t xml:space="preserve"> was claimed that he and the Sponsor resided.  Those findings</w:t>
      </w:r>
      <w:r>
        <w:rPr>
          <w:rFonts w:ascii="Book Antiqua" w:hAnsi="Book Antiqua" w:cs="Arial"/>
        </w:rPr>
        <w:t xml:space="preserve"> were sufficient to render the decision sustainable. </w:t>
      </w:r>
    </w:p>
    <w:p w:rsidR="00205D3D" w:rsidRDefault="00205D3D" w:rsidP="00E943B7">
      <w:pPr>
        <w:numPr>
          <w:ilvl w:val="0"/>
          <w:numId w:val="3"/>
        </w:numPr>
        <w:spacing w:before="240"/>
        <w:jc w:val="both"/>
        <w:rPr>
          <w:rFonts w:ascii="Book Antiqua" w:hAnsi="Book Antiqua" w:cs="Arial"/>
        </w:rPr>
      </w:pPr>
      <w:r>
        <w:rPr>
          <w:rFonts w:ascii="Book Antiqua" w:hAnsi="Book Antiqua" w:cs="Arial"/>
        </w:rPr>
        <w:t>At the end of submissions I indicated to the parties that I was satisfied that the deci</w:t>
      </w:r>
      <w:r w:rsidR="00683E48">
        <w:rPr>
          <w:rFonts w:ascii="Book Antiqua" w:hAnsi="Book Antiqua" w:cs="Arial"/>
        </w:rPr>
        <w:t>sion must be set aside for material</w:t>
      </w:r>
      <w:r>
        <w:rPr>
          <w:rFonts w:ascii="Book Antiqua" w:hAnsi="Book Antiqua" w:cs="Arial"/>
        </w:rPr>
        <w:t xml:space="preserve"> error and I now give my reasons for this finding.</w:t>
      </w:r>
    </w:p>
    <w:p w:rsidR="00280689" w:rsidRDefault="00280689">
      <w:pPr>
        <w:rPr>
          <w:rFonts w:ascii="Book Antiqua" w:hAnsi="Book Antiqua" w:cs="Arial"/>
          <w:b/>
          <w:u w:val="single"/>
        </w:rPr>
      </w:pPr>
      <w:r>
        <w:rPr>
          <w:rFonts w:ascii="Book Antiqua" w:hAnsi="Book Antiqua" w:cs="Arial"/>
          <w:b/>
          <w:u w:val="single"/>
        </w:rPr>
        <w:br w:type="page"/>
      </w:r>
    </w:p>
    <w:p w:rsidR="007A2AFD" w:rsidRPr="007A2AFD" w:rsidRDefault="007A2AFD" w:rsidP="007A2AFD">
      <w:pPr>
        <w:spacing w:before="240"/>
        <w:jc w:val="both"/>
        <w:rPr>
          <w:rFonts w:ascii="Book Antiqua" w:hAnsi="Book Antiqua" w:cs="Arial"/>
          <w:b/>
          <w:u w:val="single"/>
        </w:rPr>
      </w:pPr>
      <w:r>
        <w:rPr>
          <w:rFonts w:ascii="Book Antiqua" w:hAnsi="Book Antiqua" w:cs="Arial"/>
          <w:b/>
          <w:u w:val="single"/>
        </w:rPr>
        <w:lastRenderedPageBreak/>
        <w:t>Consideration</w:t>
      </w:r>
    </w:p>
    <w:p w:rsidR="007A2AFD" w:rsidRDefault="00F01BA1" w:rsidP="00E943B7">
      <w:pPr>
        <w:numPr>
          <w:ilvl w:val="0"/>
          <w:numId w:val="3"/>
        </w:numPr>
        <w:spacing w:before="240"/>
        <w:jc w:val="both"/>
        <w:rPr>
          <w:rFonts w:ascii="Book Antiqua" w:hAnsi="Book Antiqua" w:cs="Arial"/>
        </w:rPr>
      </w:pPr>
      <w:r>
        <w:rPr>
          <w:rFonts w:ascii="Book Antiqua" w:hAnsi="Book Antiqua" w:cs="Arial"/>
        </w:rPr>
        <w:t xml:space="preserve">I find </w:t>
      </w:r>
      <w:r w:rsidR="00881EA2">
        <w:rPr>
          <w:rFonts w:ascii="Book Antiqua" w:hAnsi="Book Antiqua" w:cs="Arial"/>
        </w:rPr>
        <w:t xml:space="preserve">that </w:t>
      </w:r>
      <w:r>
        <w:rPr>
          <w:rFonts w:ascii="Book Antiqua" w:hAnsi="Book Antiqua" w:cs="Arial"/>
        </w:rPr>
        <w:t>I agree with Mr</w:t>
      </w:r>
      <w:r w:rsidR="00127592">
        <w:rPr>
          <w:rFonts w:ascii="Book Antiqua" w:hAnsi="Book Antiqua" w:cs="Arial"/>
        </w:rPr>
        <w:t xml:space="preserve"> </w:t>
      </w:r>
      <w:proofErr w:type="spellStart"/>
      <w:r w:rsidR="00127592">
        <w:rPr>
          <w:rFonts w:ascii="Book Antiqua" w:hAnsi="Book Antiqua" w:cs="Arial"/>
        </w:rPr>
        <w:t>Gajjar’s</w:t>
      </w:r>
      <w:proofErr w:type="spellEnd"/>
      <w:r w:rsidR="00127592">
        <w:rPr>
          <w:rFonts w:ascii="Book Antiqua" w:hAnsi="Book Antiqua" w:cs="Arial"/>
        </w:rPr>
        <w:t xml:space="preserve"> submission that the Ft</w:t>
      </w:r>
      <w:r>
        <w:rPr>
          <w:rFonts w:ascii="Book Antiqua" w:hAnsi="Book Antiqua" w:cs="Arial"/>
        </w:rPr>
        <w:t xml:space="preserve">TJ has </w:t>
      </w:r>
      <w:r w:rsidR="00881EA2">
        <w:rPr>
          <w:rFonts w:ascii="Book Antiqua" w:hAnsi="Book Antiqua" w:cs="Arial"/>
        </w:rPr>
        <w:t>built</w:t>
      </w:r>
      <w:r>
        <w:rPr>
          <w:rFonts w:ascii="Book Antiqua" w:hAnsi="Book Antiqua" w:cs="Arial"/>
        </w:rPr>
        <w:t xml:space="preserve"> h</w:t>
      </w:r>
      <w:r w:rsidR="00127592">
        <w:rPr>
          <w:rFonts w:ascii="Book Antiqua" w:hAnsi="Book Antiqua" w:cs="Arial"/>
        </w:rPr>
        <w:t>er decision on making a</w:t>
      </w:r>
      <w:r>
        <w:rPr>
          <w:rFonts w:ascii="Book Antiqua" w:hAnsi="Book Antiqua" w:cs="Arial"/>
        </w:rPr>
        <w:t xml:space="preserve"> key finding</w:t>
      </w:r>
      <w:r w:rsidR="00127592">
        <w:rPr>
          <w:rFonts w:ascii="Book Antiqua" w:hAnsi="Book Antiqua" w:cs="Arial"/>
        </w:rPr>
        <w:t xml:space="preserve"> which had not been raised and</w:t>
      </w:r>
      <w:r>
        <w:rPr>
          <w:rFonts w:ascii="Book Antiqua" w:hAnsi="Book Antiqua" w:cs="Arial"/>
        </w:rPr>
        <w:t xml:space="preserve"> </w:t>
      </w:r>
      <w:r w:rsidR="00683E48">
        <w:rPr>
          <w:rFonts w:ascii="Book Antiqua" w:hAnsi="Book Antiqua" w:cs="Arial"/>
        </w:rPr>
        <w:t xml:space="preserve">to </w:t>
      </w:r>
      <w:r>
        <w:rPr>
          <w:rFonts w:ascii="Book Antiqua" w:hAnsi="Book Antiqua" w:cs="Arial"/>
        </w:rPr>
        <w:t>whic</w:t>
      </w:r>
      <w:r w:rsidR="00683E48">
        <w:rPr>
          <w:rFonts w:ascii="Book Antiqua" w:hAnsi="Book Antiqua" w:cs="Arial"/>
        </w:rPr>
        <w:t>h the Appellant did not have an opportunity to respond.</w:t>
      </w:r>
      <w:r w:rsidR="00127592">
        <w:rPr>
          <w:rFonts w:ascii="Book Antiqua" w:hAnsi="Book Antiqua" w:cs="Arial"/>
        </w:rPr>
        <w:t xml:space="preserve"> This relates to the evidence of the different email addresses.</w:t>
      </w:r>
      <w:r w:rsidR="00683E48">
        <w:rPr>
          <w:rFonts w:ascii="Book Antiqua" w:hAnsi="Book Antiqua" w:cs="Arial"/>
        </w:rPr>
        <w:t xml:space="preserve">   </w:t>
      </w:r>
    </w:p>
    <w:p w:rsidR="00F01BA1" w:rsidRDefault="00F01BA1" w:rsidP="00E943B7">
      <w:pPr>
        <w:numPr>
          <w:ilvl w:val="0"/>
          <w:numId w:val="3"/>
        </w:numPr>
        <w:spacing w:before="240"/>
        <w:jc w:val="both"/>
        <w:rPr>
          <w:rFonts w:ascii="Book Antiqua" w:hAnsi="Book Antiqua" w:cs="Arial"/>
        </w:rPr>
      </w:pPr>
      <w:r>
        <w:rPr>
          <w:rFonts w:ascii="Book Antiqua" w:hAnsi="Book Antiqua" w:cs="Arial"/>
        </w:rPr>
        <w:t>A full reading of the</w:t>
      </w:r>
      <w:r w:rsidR="00127592">
        <w:rPr>
          <w:rFonts w:ascii="Book Antiqua" w:hAnsi="Book Antiqua" w:cs="Arial"/>
        </w:rPr>
        <w:t xml:space="preserve"> decision shows that the Ft</w:t>
      </w:r>
      <w:r>
        <w:rPr>
          <w:rFonts w:ascii="Book Antiqua" w:hAnsi="Book Antiqua" w:cs="Arial"/>
        </w:rPr>
        <w:t>TJ made this adverse finding, the starting point in h</w:t>
      </w:r>
      <w:r w:rsidR="00127592">
        <w:rPr>
          <w:rFonts w:ascii="Book Antiqua" w:hAnsi="Book Antiqua" w:cs="Arial"/>
        </w:rPr>
        <w:t xml:space="preserve">er consideration </w:t>
      </w:r>
      <w:r>
        <w:rPr>
          <w:rFonts w:ascii="Book Antiqua" w:hAnsi="Book Antiqua" w:cs="Arial"/>
        </w:rPr>
        <w:t>[29].  I find she followed this through in [30] using the apparent discrepancy to draw an adverse inference on the question of whether the Appellant and Sponsor had resided together fo</w:t>
      </w:r>
      <w:r w:rsidR="00127592">
        <w:rPr>
          <w:rFonts w:ascii="Book Antiqua" w:hAnsi="Book Antiqua" w:cs="Arial"/>
        </w:rPr>
        <w:t>r a period of one year</w:t>
      </w:r>
      <w:r w:rsidR="00881EA2">
        <w:rPr>
          <w:rFonts w:ascii="Book Antiqua" w:hAnsi="Book Antiqua" w:cs="Arial"/>
        </w:rPr>
        <w:t>,</w:t>
      </w:r>
      <w:r w:rsidR="00127592">
        <w:rPr>
          <w:rFonts w:ascii="Book Antiqua" w:hAnsi="Book Antiqua" w:cs="Arial"/>
        </w:rPr>
        <w:t xml:space="preserve"> without taking into account the evidence of the signed lodgings agreement.</w:t>
      </w:r>
      <w:r>
        <w:rPr>
          <w:rFonts w:ascii="Book Antiqua" w:hAnsi="Book Antiqua" w:cs="Arial"/>
        </w:rPr>
        <w:t xml:space="preserve"> That issue of course was also a key issue in the Appellant’s case.  Therefore to make adverse findings on evidence which has never been put to the Appellant amounts to procedural unfairness.  </w:t>
      </w:r>
    </w:p>
    <w:p w:rsidR="00F01BA1" w:rsidRDefault="00F01BA1" w:rsidP="00E943B7">
      <w:pPr>
        <w:numPr>
          <w:ilvl w:val="0"/>
          <w:numId w:val="3"/>
        </w:numPr>
        <w:spacing w:before="240"/>
        <w:jc w:val="both"/>
        <w:rPr>
          <w:rFonts w:ascii="Book Antiqua" w:hAnsi="Book Antiqua" w:cs="Arial"/>
        </w:rPr>
      </w:pPr>
      <w:r>
        <w:rPr>
          <w:rFonts w:ascii="Book Antiqua" w:hAnsi="Book Antiqua" w:cs="Arial"/>
        </w:rPr>
        <w:t>Ms Pal’s submissions were that other factors were available which led the F</w:t>
      </w:r>
      <w:r w:rsidR="00881EA2">
        <w:rPr>
          <w:rFonts w:ascii="Book Antiqua" w:hAnsi="Book Antiqua" w:cs="Arial"/>
        </w:rPr>
        <w:t>t</w:t>
      </w:r>
      <w:r>
        <w:rPr>
          <w:rFonts w:ascii="Book Antiqua" w:hAnsi="Book Antiqua" w:cs="Arial"/>
        </w:rPr>
        <w:t>TJ to find against the Appellant.  Whilst that submission is correct on the face of it, nevertheless it is clear that the finding which the F</w:t>
      </w:r>
      <w:r w:rsidR="00881EA2">
        <w:rPr>
          <w:rFonts w:ascii="Book Antiqua" w:hAnsi="Book Antiqua" w:cs="Arial"/>
        </w:rPr>
        <w:t>t</w:t>
      </w:r>
      <w:r>
        <w:rPr>
          <w:rFonts w:ascii="Book Antiqua" w:hAnsi="Book Antiqua" w:cs="Arial"/>
        </w:rPr>
        <w:t>TJ made on the apparent discrepancie</w:t>
      </w:r>
      <w:r w:rsidR="0064274F">
        <w:rPr>
          <w:rFonts w:ascii="Book Antiqua" w:hAnsi="Book Antiqua" w:cs="Arial"/>
        </w:rPr>
        <w:t xml:space="preserve">s in the email accounts </w:t>
      </w:r>
      <w:r>
        <w:rPr>
          <w:rFonts w:ascii="Book Antiqua" w:hAnsi="Book Antiqua" w:cs="Arial"/>
        </w:rPr>
        <w:t xml:space="preserve">forms a </w:t>
      </w:r>
      <w:r w:rsidR="005419C9">
        <w:rPr>
          <w:rFonts w:ascii="Book Antiqua" w:hAnsi="Book Antiqua" w:cs="Arial"/>
        </w:rPr>
        <w:t>significant</w:t>
      </w:r>
      <w:r>
        <w:rPr>
          <w:rFonts w:ascii="Book Antiqua" w:hAnsi="Book Antiqua" w:cs="Arial"/>
        </w:rPr>
        <w:t xml:space="preserve"> part of her reasoning as to why she found against the Appellant.  </w:t>
      </w:r>
    </w:p>
    <w:p w:rsidR="00F01BA1" w:rsidRDefault="00F01BA1" w:rsidP="00E943B7">
      <w:pPr>
        <w:numPr>
          <w:ilvl w:val="0"/>
          <w:numId w:val="3"/>
        </w:numPr>
        <w:spacing w:before="240"/>
        <w:jc w:val="both"/>
        <w:rPr>
          <w:rFonts w:ascii="Book Antiqua" w:hAnsi="Book Antiqua" w:cs="Arial"/>
        </w:rPr>
      </w:pPr>
      <w:r>
        <w:rPr>
          <w:rFonts w:ascii="Book Antiqua" w:hAnsi="Book Antiqua" w:cs="Arial"/>
        </w:rPr>
        <w:t xml:space="preserve">I find therefore that this renders the decision tainted to the extent that there is no alternative </w:t>
      </w:r>
      <w:r w:rsidR="00681324">
        <w:rPr>
          <w:rFonts w:ascii="Book Antiqua" w:hAnsi="Book Antiqua" w:cs="Arial"/>
        </w:rPr>
        <w:t xml:space="preserve">other than to set the decision aside in its entirety.  The decision will need to be remade.  </w:t>
      </w:r>
    </w:p>
    <w:p w:rsidR="00447863" w:rsidRPr="00832D3F" w:rsidRDefault="00681324" w:rsidP="00832D3F">
      <w:pPr>
        <w:numPr>
          <w:ilvl w:val="0"/>
          <w:numId w:val="3"/>
        </w:numPr>
        <w:spacing w:before="240"/>
        <w:jc w:val="both"/>
        <w:rPr>
          <w:rFonts w:ascii="Book Antiqua" w:hAnsi="Book Antiqua" w:cs="Arial"/>
        </w:rPr>
      </w:pPr>
      <w:r>
        <w:rPr>
          <w:rFonts w:ascii="Book Antiqua" w:hAnsi="Book Antiqua" w:cs="Arial"/>
        </w:rPr>
        <w:t xml:space="preserve">In the light of the Presidential Practice Statements, I take into account that the effect of the error identified has been to deprive the </w:t>
      </w:r>
      <w:r w:rsidR="00756C89">
        <w:rPr>
          <w:rFonts w:ascii="Book Antiqua" w:hAnsi="Book Antiqua" w:cs="Arial"/>
        </w:rPr>
        <w:t xml:space="preserve">Appellant </w:t>
      </w:r>
      <w:r>
        <w:rPr>
          <w:rFonts w:ascii="Book Antiqua" w:hAnsi="Book Antiqua" w:cs="Arial"/>
        </w:rPr>
        <w:t xml:space="preserve">of the opportunity for his case to be considered </w:t>
      </w:r>
      <w:r w:rsidR="005419C9">
        <w:rPr>
          <w:rFonts w:ascii="Book Antiqua" w:hAnsi="Book Antiqua" w:cs="Arial"/>
        </w:rPr>
        <w:t>fully</w:t>
      </w:r>
      <w:r>
        <w:rPr>
          <w:rFonts w:ascii="Book Antiqua" w:hAnsi="Book Antiqua" w:cs="Arial"/>
        </w:rPr>
        <w:t xml:space="preserve"> by the First-tier Tribunal</w:t>
      </w:r>
      <w:r w:rsidR="005419C9">
        <w:rPr>
          <w:rFonts w:ascii="Book Antiqua" w:hAnsi="Book Antiqua" w:cs="Arial"/>
        </w:rPr>
        <w:t>.</w:t>
      </w:r>
      <w:r>
        <w:rPr>
          <w:rFonts w:ascii="Book Antiqua" w:hAnsi="Book Antiqua" w:cs="Arial"/>
        </w:rPr>
        <w:t xml:space="preserve">  </w:t>
      </w:r>
      <w:r w:rsidR="005419C9">
        <w:rPr>
          <w:rFonts w:ascii="Book Antiqua" w:hAnsi="Book Antiqua" w:cs="Arial"/>
        </w:rPr>
        <w:t>I</w:t>
      </w:r>
      <w:r>
        <w:rPr>
          <w:rFonts w:ascii="Book Antiqua" w:hAnsi="Book Antiqua" w:cs="Arial"/>
        </w:rPr>
        <w:t>n view of the nature and extent of the judicial fact-finding which is necessary for the decision in the appeal to be remade, I find that it is appropriate to remit this case to the First-tier Tribunal for the decisio</w:t>
      </w:r>
      <w:r w:rsidR="00832D3F">
        <w:rPr>
          <w:rFonts w:ascii="Book Antiqua" w:hAnsi="Book Antiqua" w:cs="Arial"/>
        </w:rPr>
        <w:t>n to be remade in that Tribunal.</w:t>
      </w:r>
    </w:p>
    <w:p w:rsidR="00E76309" w:rsidRPr="00C01D77" w:rsidRDefault="00E76309"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The</w:t>
      </w:r>
      <w:r w:rsidR="00832D3F">
        <w:rPr>
          <w:rFonts w:ascii="Book Antiqua" w:hAnsi="Book Antiqua" w:cs="Arial"/>
        </w:rPr>
        <w:t xml:space="preserve"> decision of the First-tier Tribunal contains material errors of law.  I set aside the decision.  The</w:t>
      </w:r>
      <w:r w:rsidRPr="00073E80">
        <w:rPr>
          <w:rFonts w:ascii="Book Antiqua" w:hAnsi="Book Antiqua" w:cs="Arial"/>
        </w:rPr>
        <w:t xml:space="preserve"> appeal is </w:t>
      </w:r>
      <w:r w:rsidR="00832D3F">
        <w:rPr>
          <w:rFonts w:ascii="Book Antiqua" w:hAnsi="Book Antiqua" w:cs="Arial"/>
        </w:rPr>
        <w:t xml:space="preserve">remitted to the First-tier Tribunal </w:t>
      </w:r>
      <w:r w:rsidR="005419C9">
        <w:rPr>
          <w:rFonts w:ascii="Book Antiqua" w:hAnsi="Book Antiqua" w:cs="Arial"/>
        </w:rPr>
        <w:t xml:space="preserve">(not Judge Watson or Judge </w:t>
      </w:r>
      <w:proofErr w:type="spellStart"/>
      <w:r w:rsidR="005419C9">
        <w:rPr>
          <w:rFonts w:ascii="Book Antiqua" w:hAnsi="Book Antiqua" w:cs="Arial"/>
        </w:rPr>
        <w:t>Eban</w:t>
      </w:r>
      <w:proofErr w:type="spellEnd"/>
      <w:r w:rsidR="005419C9">
        <w:rPr>
          <w:rFonts w:ascii="Book Antiqua" w:hAnsi="Book Antiqua" w:cs="Arial"/>
        </w:rPr>
        <w:t xml:space="preserve">) </w:t>
      </w:r>
      <w:r w:rsidR="00832D3F">
        <w:rPr>
          <w:rFonts w:ascii="Book Antiqua" w:hAnsi="Book Antiqua" w:cs="Arial"/>
        </w:rPr>
        <w:t>for a fresh hearing.</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rsidR="00073E80" w:rsidRPr="00073E80" w:rsidRDefault="00073E80" w:rsidP="00073E80">
      <w:pPr>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5419C9">
        <w:rPr>
          <w:rFonts w:ascii="Book Antiqua" w:hAnsi="Book Antiqua" w:cs="Arial"/>
        </w:rPr>
        <w:t>C E Roberts</w:t>
      </w:r>
      <w:r w:rsidR="005419C9">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5419C9">
        <w:rPr>
          <w:rFonts w:ascii="Book Antiqua" w:hAnsi="Book Antiqua" w:cs="Arial"/>
        </w:rPr>
        <w:tab/>
      </w:r>
      <w:r w:rsidR="005419C9">
        <w:rPr>
          <w:rFonts w:ascii="Book Antiqua" w:hAnsi="Book Antiqua" w:cs="Arial"/>
        </w:rPr>
        <w:tab/>
        <w:t>21 May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Pr="00C01D77" w:rsidRDefault="00635C47" w:rsidP="0034348A">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sectPr w:rsidR="005B7789" w:rsidRPr="00C01D7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4E3" w:rsidRDefault="001474E3">
      <w:r>
        <w:separator/>
      </w:r>
    </w:p>
  </w:endnote>
  <w:endnote w:type="continuationSeparator" w:id="0">
    <w:p w:rsidR="001474E3" w:rsidRDefault="0014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3B2FBD"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500629">
      <w:rPr>
        <w:rStyle w:val="PageNumber"/>
        <w:rFonts w:ascii="Book Antiqua" w:hAnsi="Book Antiqua" w:cs="Arial"/>
        <w:noProof/>
        <w:sz w:val="16"/>
        <w:szCs w:val="16"/>
      </w:rPr>
      <w:t>4</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4E3" w:rsidRDefault="001474E3">
      <w:r>
        <w:separator/>
      </w:r>
    </w:p>
  </w:footnote>
  <w:footnote w:type="continuationSeparator" w:id="0">
    <w:p w:rsidR="001474E3" w:rsidRDefault="00147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447863">
      <w:rPr>
        <w:rFonts w:ascii="Book Antiqua" w:hAnsi="Book Antiqua" w:cs="Arial"/>
        <w:sz w:val="16"/>
        <w:szCs w:val="16"/>
      </w:rPr>
      <w:t>EA/07538/2017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94"/>
    <w:rsid w:val="00000621"/>
    <w:rsid w:val="000036C2"/>
    <w:rsid w:val="00021BDB"/>
    <w:rsid w:val="00033D3D"/>
    <w:rsid w:val="00036669"/>
    <w:rsid w:val="000369F5"/>
    <w:rsid w:val="00045030"/>
    <w:rsid w:val="00071A7E"/>
    <w:rsid w:val="00073E80"/>
    <w:rsid w:val="000746C0"/>
    <w:rsid w:val="00074D1D"/>
    <w:rsid w:val="00076E2B"/>
    <w:rsid w:val="00092580"/>
    <w:rsid w:val="000B3B14"/>
    <w:rsid w:val="000B4B02"/>
    <w:rsid w:val="000C7BD4"/>
    <w:rsid w:val="000D2872"/>
    <w:rsid w:val="000D5D94"/>
    <w:rsid w:val="001102AE"/>
    <w:rsid w:val="001165A7"/>
    <w:rsid w:val="00122BC1"/>
    <w:rsid w:val="00127592"/>
    <w:rsid w:val="001474E3"/>
    <w:rsid w:val="00151BB7"/>
    <w:rsid w:val="00167D3A"/>
    <w:rsid w:val="001D7D80"/>
    <w:rsid w:val="001F2716"/>
    <w:rsid w:val="0020133A"/>
    <w:rsid w:val="00205D3D"/>
    <w:rsid w:val="00207229"/>
    <w:rsid w:val="00207617"/>
    <w:rsid w:val="00215199"/>
    <w:rsid w:val="00220DCC"/>
    <w:rsid w:val="00261413"/>
    <w:rsid w:val="00280689"/>
    <w:rsid w:val="00283659"/>
    <w:rsid w:val="0029282D"/>
    <w:rsid w:val="002B7E5C"/>
    <w:rsid w:val="002C4E73"/>
    <w:rsid w:val="002D68BF"/>
    <w:rsid w:val="00336CBF"/>
    <w:rsid w:val="0034348A"/>
    <w:rsid w:val="003546C8"/>
    <w:rsid w:val="003648C0"/>
    <w:rsid w:val="003A7CF2"/>
    <w:rsid w:val="003B2FBD"/>
    <w:rsid w:val="003C5CE5"/>
    <w:rsid w:val="003E267B"/>
    <w:rsid w:val="003E7CD1"/>
    <w:rsid w:val="00402B9E"/>
    <w:rsid w:val="004067C4"/>
    <w:rsid w:val="00423932"/>
    <w:rsid w:val="004249CB"/>
    <w:rsid w:val="0044127D"/>
    <w:rsid w:val="004448DB"/>
    <w:rsid w:val="00446C9A"/>
    <w:rsid w:val="00447863"/>
    <w:rsid w:val="0047262D"/>
    <w:rsid w:val="00477193"/>
    <w:rsid w:val="004A1848"/>
    <w:rsid w:val="00500629"/>
    <w:rsid w:val="00507FEC"/>
    <w:rsid w:val="00510F0E"/>
    <w:rsid w:val="005419C9"/>
    <w:rsid w:val="005479E1"/>
    <w:rsid w:val="00551122"/>
    <w:rsid w:val="005570FD"/>
    <w:rsid w:val="005575EA"/>
    <w:rsid w:val="00573039"/>
    <w:rsid w:val="0057790C"/>
    <w:rsid w:val="00593795"/>
    <w:rsid w:val="005A75FF"/>
    <w:rsid w:val="005B7789"/>
    <w:rsid w:val="005D6B48"/>
    <w:rsid w:val="005D6C37"/>
    <w:rsid w:val="00635C47"/>
    <w:rsid w:val="0064274F"/>
    <w:rsid w:val="0065791C"/>
    <w:rsid w:val="00666F37"/>
    <w:rsid w:val="00681324"/>
    <w:rsid w:val="006815FC"/>
    <w:rsid w:val="00683E48"/>
    <w:rsid w:val="006841BA"/>
    <w:rsid w:val="00690B8A"/>
    <w:rsid w:val="006B6451"/>
    <w:rsid w:val="006D1DFA"/>
    <w:rsid w:val="006D506B"/>
    <w:rsid w:val="006D5EEF"/>
    <w:rsid w:val="006E3C90"/>
    <w:rsid w:val="00704B61"/>
    <w:rsid w:val="0072401A"/>
    <w:rsid w:val="007419A9"/>
    <w:rsid w:val="007421B9"/>
    <w:rsid w:val="00742A8D"/>
    <w:rsid w:val="0074504A"/>
    <w:rsid w:val="0075478F"/>
    <w:rsid w:val="007552A9"/>
    <w:rsid w:val="00756C89"/>
    <w:rsid w:val="00761858"/>
    <w:rsid w:val="00767D59"/>
    <w:rsid w:val="00776E97"/>
    <w:rsid w:val="00780FD7"/>
    <w:rsid w:val="007912AD"/>
    <w:rsid w:val="007A2AFD"/>
    <w:rsid w:val="007A6AED"/>
    <w:rsid w:val="007B0824"/>
    <w:rsid w:val="007B6BD8"/>
    <w:rsid w:val="007D1C7D"/>
    <w:rsid w:val="00825478"/>
    <w:rsid w:val="008303B8"/>
    <w:rsid w:val="00832D3F"/>
    <w:rsid w:val="00833DCE"/>
    <w:rsid w:val="00871D34"/>
    <w:rsid w:val="00881EA2"/>
    <w:rsid w:val="008B270C"/>
    <w:rsid w:val="008C3D3D"/>
    <w:rsid w:val="008C3F45"/>
    <w:rsid w:val="008D4131"/>
    <w:rsid w:val="008F1932"/>
    <w:rsid w:val="008F294D"/>
    <w:rsid w:val="00921062"/>
    <w:rsid w:val="00961159"/>
    <w:rsid w:val="00966ECF"/>
    <w:rsid w:val="009727A3"/>
    <w:rsid w:val="00973661"/>
    <w:rsid w:val="00974AE3"/>
    <w:rsid w:val="00987774"/>
    <w:rsid w:val="00993648"/>
    <w:rsid w:val="009A11E8"/>
    <w:rsid w:val="009E57CE"/>
    <w:rsid w:val="009F5220"/>
    <w:rsid w:val="009F7C4D"/>
    <w:rsid w:val="00A12991"/>
    <w:rsid w:val="00A15234"/>
    <w:rsid w:val="00A201AB"/>
    <w:rsid w:val="00A31C8B"/>
    <w:rsid w:val="00A40D60"/>
    <w:rsid w:val="00A438D0"/>
    <w:rsid w:val="00A53CEB"/>
    <w:rsid w:val="00A62E4B"/>
    <w:rsid w:val="00A845DC"/>
    <w:rsid w:val="00A97AEE"/>
    <w:rsid w:val="00AC5CF6"/>
    <w:rsid w:val="00AD7A85"/>
    <w:rsid w:val="00AE7547"/>
    <w:rsid w:val="00B02D2F"/>
    <w:rsid w:val="00B144FA"/>
    <w:rsid w:val="00B30648"/>
    <w:rsid w:val="00B32D43"/>
    <w:rsid w:val="00B3524D"/>
    <w:rsid w:val="00B370C1"/>
    <w:rsid w:val="00B40F69"/>
    <w:rsid w:val="00B46616"/>
    <w:rsid w:val="00B61205"/>
    <w:rsid w:val="00B617C4"/>
    <w:rsid w:val="00B626FA"/>
    <w:rsid w:val="00B7040A"/>
    <w:rsid w:val="00B830F9"/>
    <w:rsid w:val="00B86C3D"/>
    <w:rsid w:val="00BD4196"/>
    <w:rsid w:val="00BE5B04"/>
    <w:rsid w:val="00BE6907"/>
    <w:rsid w:val="00BF22CA"/>
    <w:rsid w:val="00C01D77"/>
    <w:rsid w:val="00C05813"/>
    <w:rsid w:val="00C22723"/>
    <w:rsid w:val="00C26032"/>
    <w:rsid w:val="00C265B0"/>
    <w:rsid w:val="00C345E1"/>
    <w:rsid w:val="00C61C08"/>
    <w:rsid w:val="00C91DD1"/>
    <w:rsid w:val="00CB6E35"/>
    <w:rsid w:val="00CE1A46"/>
    <w:rsid w:val="00CF253F"/>
    <w:rsid w:val="00CF56B4"/>
    <w:rsid w:val="00D20F09"/>
    <w:rsid w:val="00D22636"/>
    <w:rsid w:val="00D26635"/>
    <w:rsid w:val="00D40FD9"/>
    <w:rsid w:val="00D53769"/>
    <w:rsid w:val="00D74AFC"/>
    <w:rsid w:val="00D85C13"/>
    <w:rsid w:val="00D91BE3"/>
    <w:rsid w:val="00D94AFC"/>
    <w:rsid w:val="00D9702E"/>
    <w:rsid w:val="00DB70AE"/>
    <w:rsid w:val="00DB7231"/>
    <w:rsid w:val="00DD5071"/>
    <w:rsid w:val="00DD5C39"/>
    <w:rsid w:val="00DE26AF"/>
    <w:rsid w:val="00DE7DB7"/>
    <w:rsid w:val="00DF0231"/>
    <w:rsid w:val="00E00A0A"/>
    <w:rsid w:val="00E00A58"/>
    <w:rsid w:val="00E07F57"/>
    <w:rsid w:val="00E129F8"/>
    <w:rsid w:val="00E333C1"/>
    <w:rsid w:val="00E40C94"/>
    <w:rsid w:val="00E50BCE"/>
    <w:rsid w:val="00E51376"/>
    <w:rsid w:val="00E61292"/>
    <w:rsid w:val="00E76309"/>
    <w:rsid w:val="00E77C4D"/>
    <w:rsid w:val="00E800A7"/>
    <w:rsid w:val="00E81D01"/>
    <w:rsid w:val="00E943B7"/>
    <w:rsid w:val="00EE30E5"/>
    <w:rsid w:val="00EE45D8"/>
    <w:rsid w:val="00F004CD"/>
    <w:rsid w:val="00F01BA1"/>
    <w:rsid w:val="00F12FED"/>
    <w:rsid w:val="00F22EDA"/>
    <w:rsid w:val="00F33E0E"/>
    <w:rsid w:val="00F41153"/>
    <w:rsid w:val="00F42348"/>
    <w:rsid w:val="00F44EF3"/>
    <w:rsid w:val="00F92C21"/>
    <w:rsid w:val="00FB1B1D"/>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B2FB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F3A86-6810-4B93-9474-BC5E9527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1538</Words>
  <Characters>7650</Characters>
  <Application>Microsoft Office Word</Application>
  <DocSecurity>0</DocSecurity>
  <Lines>63</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2018-06-13T14:43:00Z</dcterms:created>
  <dcterms:modified xsi:type="dcterms:W3CDTF">2018-06-13T14:44:00Z</dcterms:modified>
</cp:coreProperties>
</file>