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0134E0"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395009"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395009">
        <w:rPr>
          <w:rFonts w:ascii="Book Antiqua" w:hAnsi="Book Antiqua" w:cs="Arial"/>
          <w:b/>
          <w:color w:val="000000"/>
        </w:rPr>
        <w:t xml:space="preserve">   </w:t>
      </w:r>
      <w:proofErr w:type="gramEnd"/>
      <w:r w:rsidR="00395009">
        <w:rPr>
          <w:rFonts w:ascii="Book Antiqua" w:hAnsi="Book Antiqua" w:cs="Arial"/>
          <w:b/>
          <w:color w:val="000000"/>
        </w:rPr>
        <w:t xml:space="preserve">                     </w:t>
      </w:r>
      <w:r w:rsidRPr="00395009">
        <w:rPr>
          <w:rFonts w:ascii="Book Antiqua" w:hAnsi="Book Antiqua" w:cs="Arial"/>
          <w:b/>
          <w:color w:val="000000"/>
        </w:rPr>
        <w:t xml:space="preserve">Appeal Number: </w:t>
      </w:r>
      <w:r w:rsidR="009A3C36" w:rsidRPr="00395009">
        <w:rPr>
          <w:rFonts w:ascii="Book Antiqua" w:hAnsi="Book Antiqua" w:cs="Arial"/>
          <w:b/>
          <w:color w:val="000000"/>
        </w:rPr>
        <w:t>EA/07824/2016</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Pr="00F97703" w:rsidRDefault="00405694" w:rsidP="00405694">
      <w:pPr>
        <w:jc w:val="center"/>
        <w:rPr>
          <w:rFonts w:ascii="Book Antiqua" w:hAnsi="Book Antiqua" w:cs="Arial"/>
          <w:b/>
          <w:u w:val="single"/>
        </w:rPr>
      </w:pPr>
    </w:p>
    <w:tbl>
      <w:tblPr>
        <w:tblW w:w="10500" w:type="dxa"/>
        <w:tblLook w:val="01E0" w:firstRow="1" w:lastRow="1" w:firstColumn="1" w:lastColumn="1" w:noHBand="0" w:noVBand="0"/>
      </w:tblPr>
      <w:tblGrid>
        <w:gridCol w:w="5245"/>
        <w:gridCol w:w="5255"/>
      </w:tblGrid>
      <w:tr w:rsidR="00405694" w:rsidRPr="00AB1DC6" w:rsidTr="00395009">
        <w:trPr>
          <w:trHeight w:val="623"/>
        </w:trPr>
        <w:tc>
          <w:tcPr>
            <w:tcW w:w="5245" w:type="dxa"/>
            <w:shd w:val="clear" w:color="auto" w:fill="auto"/>
          </w:tcPr>
          <w:p w:rsidR="00395009" w:rsidRDefault="00405694" w:rsidP="00AB1DC6">
            <w:pPr>
              <w:jc w:val="both"/>
              <w:rPr>
                <w:rFonts w:ascii="Book Antiqua" w:hAnsi="Book Antiqua" w:cs="Arial"/>
                <w:b/>
              </w:rPr>
            </w:pPr>
            <w:r w:rsidRPr="00AB1DC6">
              <w:rPr>
                <w:rFonts w:ascii="Book Antiqua" w:hAnsi="Book Antiqua" w:cs="Arial"/>
                <w:b/>
              </w:rPr>
              <w:t>Heard at Field House</w:t>
            </w:r>
          </w:p>
          <w:p w:rsidR="00405694" w:rsidRPr="00AB1DC6" w:rsidRDefault="00395009" w:rsidP="00AB1DC6">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03 July 2018</w:t>
            </w:r>
          </w:p>
        </w:tc>
        <w:tc>
          <w:tcPr>
            <w:tcW w:w="5255" w:type="dxa"/>
            <w:shd w:val="clear" w:color="auto" w:fill="auto"/>
          </w:tcPr>
          <w:p w:rsidR="00395009" w:rsidRDefault="00395009" w:rsidP="00AB1DC6">
            <w:pPr>
              <w:jc w:val="both"/>
              <w:rPr>
                <w:rFonts w:ascii="Book Antiqua" w:hAnsi="Book Antiqua" w:cs="Arial"/>
                <w:b/>
              </w:rPr>
            </w:pPr>
            <w:r>
              <w:rPr>
                <w:rFonts w:ascii="Book Antiqua" w:hAnsi="Book Antiqua" w:cs="Arial"/>
                <w:b/>
              </w:rPr>
              <w:t xml:space="preserve">  </w:t>
            </w:r>
            <w:r w:rsidR="0020576B">
              <w:rPr>
                <w:rFonts w:ascii="Book Antiqua" w:hAnsi="Book Antiqua" w:cs="Arial"/>
                <w:b/>
              </w:rPr>
              <w:t>Decision &amp; Reasons</w:t>
            </w:r>
            <w:r w:rsidR="0020576B" w:rsidRPr="00CE6902">
              <w:rPr>
                <w:rFonts w:ascii="Book Antiqua" w:hAnsi="Book Antiqua" w:cs="Arial"/>
                <w:b/>
              </w:rPr>
              <w:t xml:space="preserve"> Promulgated</w:t>
            </w:r>
            <w:r>
              <w:rPr>
                <w:rFonts w:ascii="Book Antiqua" w:hAnsi="Book Antiqua" w:cs="Arial"/>
                <w:b/>
              </w:rPr>
              <w:t xml:space="preserve"> </w:t>
            </w:r>
          </w:p>
          <w:p w:rsidR="00405694" w:rsidRPr="00AB1DC6" w:rsidRDefault="00395009" w:rsidP="00AB1DC6">
            <w:pPr>
              <w:jc w:val="both"/>
              <w:rPr>
                <w:rFonts w:ascii="Book Antiqua" w:hAnsi="Book Antiqua" w:cs="Arial"/>
                <w:b/>
                <w:color w:val="000000"/>
              </w:rPr>
            </w:pPr>
            <w:r>
              <w:rPr>
                <w:rFonts w:ascii="Book Antiqua" w:hAnsi="Book Antiqua" w:cs="Arial"/>
                <w:b/>
              </w:rPr>
              <w:t xml:space="preserve">  </w:t>
            </w:r>
            <w:r>
              <w:rPr>
                <w:rFonts w:ascii="Book Antiqua" w:hAnsi="Book Antiqua" w:cs="Arial"/>
                <w:b/>
              </w:rPr>
              <w:t>On 7 September 2018</w:t>
            </w:r>
          </w:p>
        </w:tc>
      </w:tr>
      <w:tr w:rsidR="00405694" w:rsidRPr="00AB1DC6" w:rsidTr="00395009">
        <w:trPr>
          <w:trHeight w:val="311"/>
        </w:trPr>
        <w:tc>
          <w:tcPr>
            <w:tcW w:w="5245" w:type="dxa"/>
            <w:shd w:val="clear" w:color="auto" w:fill="auto"/>
          </w:tcPr>
          <w:p w:rsidR="00405694" w:rsidRPr="00AB1DC6" w:rsidRDefault="00405694" w:rsidP="00AB1DC6">
            <w:pPr>
              <w:jc w:val="both"/>
              <w:rPr>
                <w:rFonts w:ascii="Book Antiqua" w:hAnsi="Book Antiqua" w:cs="Arial"/>
                <w:b/>
              </w:rPr>
            </w:pPr>
          </w:p>
        </w:tc>
        <w:tc>
          <w:tcPr>
            <w:tcW w:w="5255"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9A3C36" w:rsidP="00933B65">
      <w:pPr>
        <w:jc w:val="center"/>
        <w:rPr>
          <w:rFonts w:ascii="Book Antiqua" w:hAnsi="Book Antiqua" w:cs="Arial"/>
          <w:b/>
        </w:rPr>
      </w:pPr>
      <w:r>
        <w:rPr>
          <w:rFonts w:ascii="Book Antiqua" w:hAnsi="Book Antiqua" w:cs="Arial"/>
          <w:b/>
        </w:rPr>
        <w:t>CHINONSO NKEM</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294F41" w:rsidRPr="00F97703" w:rsidRDefault="00294F41" w:rsidP="00933B65">
      <w:pPr>
        <w:jc w:val="right"/>
        <w:rPr>
          <w:rFonts w:ascii="Book Antiqua" w:hAnsi="Book Antiqua" w:cs="Arial"/>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294F41" w:rsidRPr="00F97703" w:rsidRDefault="00395009"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sidR="009A3C36">
        <w:rPr>
          <w:rFonts w:ascii="Book Antiqua" w:hAnsi="Book Antiqua" w:cs="Arial"/>
        </w:rPr>
        <w:tab/>
        <w:t xml:space="preserve">Mr S. </w:t>
      </w:r>
      <w:proofErr w:type="spellStart"/>
      <w:r w:rsidR="009A3C36">
        <w:rPr>
          <w:rFonts w:ascii="Book Antiqua" w:hAnsi="Book Antiqua" w:cs="Arial"/>
        </w:rPr>
        <w:t>Nwaekwu</w:t>
      </w:r>
      <w:proofErr w:type="spellEnd"/>
      <w:r w:rsidR="009A3C36">
        <w:rPr>
          <w:rFonts w:ascii="Book Antiqua" w:hAnsi="Book Antiqua" w:cs="Arial"/>
        </w:rPr>
        <w:t xml:space="preserve"> of </w:t>
      </w:r>
      <w:proofErr w:type="spellStart"/>
      <w:r w:rsidR="009A3C36">
        <w:rPr>
          <w:rFonts w:ascii="Book Antiqua" w:hAnsi="Book Antiqua" w:cs="Arial"/>
        </w:rPr>
        <w:t>Moorehouse</w:t>
      </w:r>
      <w:proofErr w:type="spellEnd"/>
      <w:r w:rsidR="009A3C36">
        <w:rPr>
          <w:rFonts w:ascii="Book Antiqua" w:hAnsi="Book Antiqua" w:cs="Arial"/>
        </w:rPr>
        <w:t xml:space="preserve"> Solicitors</w:t>
      </w:r>
      <w:r>
        <w:rPr>
          <w:rFonts w:ascii="Book Antiqua" w:hAnsi="Book Antiqua" w:cs="Arial"/>
        </w:rPr>
        <w:tab/>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9A3C36">
        <w:rPr>
          <w:rFonts w:ascii="Book Antiqua" w:hAnsi="Book Antiqua" w:cs="Arial"/>
        </w:rPr>
        <w:t>Ms A. Everett, Senior Home Office Presenting Officer</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405694" w:rsidRDefault="00C829E8" w:rsidP="00C829E8">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The appellant appealed the respondent’s decision dated 16 June 2016 to refuse to issue a residence card recognising a right of residence as the family member (spouse) of an EE</w:t>
      </w:r>
      <w:r w:rsidR="00EC0B4A">
        <w:rPr>
          <w:rFonts w:ascii="Book Antiqua" w:hAnsi="Book Antiqua" w:cs="Arial"/>
        </w:rPr>
        <w:t xml:space="preserve">A national </w:t>
      </w:r>
      <w:proofErr w:type="gramStart"/>
      <w:r w:rsidR="00EC0B4A">
        <w:rPr>
          <w:rFonts w:ascii="Book Antiqua" w:hAnsi="Book Antiqua" w:cs="Arial"/>
        </w:rPr>
        <w:t>on the ground that</w:t>
      </w:r>
      <w:proofErr w:type="gramEnd"/>
      <w:r w:rsidR="00EC0B4A">
        <w:rPr>
          <w:rFonts w:ascii="Book Antiqua" w:hAnsi="Book Antiqua" w:cs="Arial"/>
        </w:rPr>
        <w:t xml:space="preserve"> the marriage</w:t>
      </w:r>
      <w:r>
        <w:rPr>
          <w:rFonts w:ascii="Book Antiqua" w:hAnsi="Book Antiqua" w:cs="Arial"/>
        </w:rPr>
        <w:t xml:space="preserve"> was considered to be a marriage of convenience contracted </w:t>
      </w:r>
      <w:r w:rsidR="00141ADD">
        <w:rPr>
          <w:rFonts w:ascii="Book Antiqua" w:hAnsi="Book Antiqua" w:cs="Arial"/>
        </w:rPr>
        <w:t xml:space="preserve">for the predominant purpose of securing residence rights. </w:t>
      </w:r>
      <w:r>
        <w:rPr>
          <w:rFonts w:ascii="Book Antiqua" w:hAnsi="Book Antiqua" w:cs="Arial"/>
        </w:rPr>
        <w:t xml:space="preserve"> </w:t>
      </w:r>
    </w:p>
    <w:p w:rsidR="00405694" w:rsidRDefault="00405694" w:rsidP="00933B65">
      <w:pPr>
        <w:tabs>
          <w:tab w:val="left" w:pos="567"/>
        </w:tabs>
        <w:jc w:val="both"/>
        <w:rPr>
          <w:rFonts w:ascii="Book Antiqua" w:hAnsi="Book Antiqua" w:cs="Arial"/>
        </w:rPr>
      </w:pPr>
    </w:p>
    <w:p w:rsidR="00405694" w:rsidRDefault="00C829E8" w:rsidP="002859E3">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Cameron (“the judge”) dismissed the appeal in a decision promulgated on </w:t>
      </w:r>
      <w:r w:rsidR="001005B1">
        <w:rPr>
          <w:rFonts w:ascii="Book Antiqua" w:hAnsi="Book Antiqua" w:cs="Arial"/>
        </w:rPr>
        <w:t xml:space="preserve">04 January 2018. </w:t>
      </w:r>
      <w:r w:rsidR="004F56BD">
        <w:rPr>
          <w:rFonts w:ascii="Book Antiqua" w:hAnsi="Book Antiqua" w:cs="Arial"/>
        </w:rPr>
        <w:t>The judge outlined the respondent’s reasons for refusing the application, which were based on the outcome of a visit to the appellant’s home by immigration officers</w:t>
      </w:r>
      <w:r w:rsidR="00EC0B4A">
        <w:rPr>
          <w:rFonts w:ascii="Book Antiqua" w:hAnsi="Book Antiqua" w:cs="Arial"/>
        </w:rPr>
        <w:t xml:space="preserve"> on 24 October 2015 [7-10]. He recognised</w:t>
      </w:r>
      <w:r w:rsidR="004F56BD">
        <w:rPr>
          <w:rFonts w:ascii="Book Antiqua" w:hAnsi="Book Antiqua" w:cs="Arial"/>
        </w:rPr>
        <w:t xml:space="preserve"> that the burden of proof is initially on the respondent to show </w:t>
      </w:r>
      <w:r w:rsidR="002859E3">
        <w:rPr>
          <w:rFonts w:ascii="Book Antiqua" w:hAnsi="Book Antiqua" w:cs="Arial"/>
        </w:rPr>
        <w:t xml:space="preserve">that the marriage is one of convenience [5]. The judge went on to outline the submissions made by both parties at the hearing [14-32]. He noted that the appellant’s representative stated that the respondent “must </w:t>
      </w:r>
      <w:r w:rsidR="002859E3">
        <w:rPr>
          <w:rFonts w:ascii="Book Antiqua" w:hAnsi="Book Antiqua" w:cs="Arial"/>
        </w:rPr>
        <w:lastRenderedPageBreak/>
        <w:t>show evidence of a reasonable suspicion and the burden is on the respondent. The evidence in relation to the visit is insufficient and the respondent has not produced the interview record.” [23]. He also noted that the appellant’s legal representative accepted that they had not asked for a copy of the interview record [23].</w:t>
      </w:r>
      <w:r w:rsidR="00230F03">
        <w:rPr>
          <w:rFonts w:ascii="Book Antiqua" w:hAnsi="Book Antiqua" w:cs="Arial"/>
        </w:rPr>
        <w:t xml:space="preserve"> The judge directed himself to the relevant principles outlined in </w:t>
      </w:r>
      <w:proofErr w:type="spellStart"/>
      <w:r w:rsidR="00230F03" w:rsidRPr="00230F03">
        <w:rPr>
          <w:rFonts w:ascii="Book Antiqua" w:hAnsi="Book Antiqua" w:cs="Arial"/>
          <w:i/>
        </w:rPr>
        <w:t>Papajorgji</w:t>
      </w:r>
      <w:proofErr w:type="spellEnd"/>
      <w:r w:rsidR="00230F03" w:rsidRPr="00230F03">
        <w:rPr>
          <w:rFonts w:ascii="Book Antiqua" w:hAnsi="Book Antiqua" w:cs="Arial"/>
          <w:i/>
        </w:rPr>
        <w:t xml:space="preserve"> (EEA spouse – marriage of convenience) Greece</w:t>
      </w:r>
      <w:r w:rsidR="00230F03">
        <w:rPr>
          <w:rFonts w:ascii="Book Antiqua" w:hAnsi="Book Antiqua" w:cs="Arial"/>
        </w:rPr>
        <w:t xml:space="preserve"> [2012] UKUT 00038, </w:t>
      </w:r>
      <w:r w:rsidR="00230F03" w:rsidRPr="00230F03">
        <w:rPr>
          <w:rFonts w:ascii="Book Antiqua" w:hAnsi="Book Antiqua" w:cs="Arial"/>
          <w:i/>
        </w:rPr>
        <w:t>Rosa v SSHD</w:t>
      </w:r>
      <w:r w:rsidR="00230F03">
        <w:rPr>
          <w:rFonts w:ascii="Book Antiqua" w:hAnsi="Book Antiqua" w:cs="Arial"/>
        </w:rPr>
        <w:t xml:space="preserve"> [2016] EWCA </w:t>
      </w:r>
      <w:proofErr w:type="spellStart"/>
      <w:r w:rsidR="00230F03">
        <w:rPr>
          <w:rFonts w:ascii="Book Antiqua" w:hAnsi="Book Antiqua" w:cs="Arial"/>
        </w:rPr>
        <w:t>Civ</w:t>
      </w:r>
      <w:proofErr w:type="spellEnd"/>
      <w:r w:rsidR="00230F03">
        <w:rPr>
          <w:rFonts w:ascii="Book Antiqua" w:hAnsi="Book Antiqua" w:cs="Arial"/>
        </w:rPr>
        <w:t xml:space="preserve"> 14 and </w:t>
      </w:r>
      <w:proofErr w:type="spellStart"/>
      <w:r w:rsidR="00230F03" w:rsidRPr="00230F03">
        <w:rPr>
          <w:rFonts w:ascii="Book Antiqua" w:hAnsi="Book Antiqua" w:cs="Arial"/>
          <w:i/>
        </w:rPr>
        <w:t>Sadovska</w:t>
      </w:r>
      <w:proofErr w:type="spellEnd"/>
      <w:r w:rsidR="00230F03" w:rsidRPr="00230F03">
        <w:rPr>
          <w:rFonts w:ascii="Book Antiqua" w:hAnsi="Book Antiqua" w:cs="Arial"/>
          <w:i/>
        </w:rPr>
        <w:t xml:space="preserve"> v SSHD</w:t>
      </w:r>
      <w:r w:rsidR="006B6D20">
        <w:rPr>
          <w:rFonts w:ascii="Book Antiqua" w:hAnsi="Book Antiqua" w:cs="Arial"/>
        </w:rPr>
        <w:t xml:space="preserve"> [2017] UKSC 54 [34-38]. </w:t>
      </w:r>
    </w:p>
    <w:p w:rsidR="002859E3" w:rsidRDefault="002859E3" w:rsidP="002859E3">
      <w:pPr>
        <w:tabs>
          <w:tab w:val="left" w:pos="567"/>
        </w:tabs>
        <w:ind w:left="564" w:hanging="564"/>
        <w:jc w:val="both"/>
        <w:rPr>
          <w:rFonts w:ascii="Book Antiqua" w:hAnsi="Book Antiqua" w:cs="Arial"/>
        </w:rPr>
      </w:pPr>
    </w:p>
    <w:p w:rsidR="001005B1" w:rsidRDefault="001005B1" w:rsidP="00C9581A">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r>
      <w:r w:rsidR="00C9581A">
        <w:rPr>
          <w:rFonts w:ascii="Book Antiqua" w:hAnsi="Book Antiqua" w:cs="Arial"/>
        </w:rPr>
        <w:t xml:space="preserve">The judge summarised the evidence relied upon by the </w:t>
      </w:r>
      <w:r w:rsidR="002461AC">
        <w:rPr>
          <w:rFonts w:ascii="Book Antiqua" w:hAnsi="Book Antiqua" w:cs="Arial"/>
        </w:rPr>
        <w:t>Home Office as follows</w:t>
      </w:r>
      <w:r w:rsidR="00C9581A">
        <w:rPr>
          <w:rFonts w:ascii="Book Antiqua" w:hAnsi="Book Antiqua" w:cs="Arial"/>
        </w:rPr>
        <w:t>:</w:t>
      </w:r>
    </w:p>
    <w:p w:rsidR="00405694" w:rsidRDefault="00405694" w:rsidP="00933B65">
      <w:pPr>
        <w:tabs>
          <w:tab w:val="left" w:pos="567"/>
        </w:tabs>
        <w:jc w:val="both"/>
        <w:rPr>
          <w:rFonts w:ascii="Book Antiqua" w:hAnsi="Book Antiqua" w:cs="Arial"/>
        </w:rPr>
      </w:pPr>
    </w:p>
    <w:p w:rsidR="00C9581A" w:rsidRPr="002461AC" w:rsidRDefault="00C9581A" w:rsidP="00C9581A">
      <w:pPr>
        <w:tabs>
          <w:tab w:val="left" w:pos="567"/>
        </w:tabs>
        <w:ind w:left="2160" w:hanging="2160"/>
        <w:jc w:val="both"/>
        <w:rPr>
          <w:rFonts w:ascii="Book Antiqua" w:hAnsi="Book Antiqua" w:cs="Arial"/>
          <w:sz w:val="20"/>
          <w:szCs w:val="20"/>
        </w:rPr>
      </w:pPr>
      <w:r>
        <w:rPr>
          <w:rFonts w:ascii="Book Antiqua" w:hAnsi="Book Antiqua" w:cs="Arial"/>
        </w:rPr>
        <w:tab/>
      </w:r>
      <w:r w:rsidRPr="002461AC">
        <w:rPr>
          <w:rFonts w:ascii="Book Antiqua" w:hAnsi="Book Antiqua" w:cs="Arial"/>
          <w:sz w:val="20"/>
          <w:szCs w:val="20"/>
        </w:rPr>
        <w:t xml:space="preserve">              “39.</w:t>
      </w:r>
      <w:r w:rsidRPr="002461AC">
        <w:rPr>
          <w:rFonts w:ascii="Book Antiqua" w:hAnsi="Book Antiqua" w:cs="Arial"/>
          <w:sz w:val="20"/>
          <w:szCs w:val="20"/>
        </w:rPr>
        <w:tab/>
        <w:t xml:space="preserve">The respondent has relied principally on a visit by immigration officers to the appellants address which took place on 24 October 2015. The respondent has not provided in full the interview which took place during that visit although there is a minute provided by IO </w:t>
      </w:r>
      <w:proofErr w:type="spellStart"/>
      <w:r w:rsidRPr="002461AC">
        <w:rPr>
          <w:rFonts w:ascii="Book Antiqua" w:hAnsi="Book Antiqua" w:cs="Arial"/>
          <w:sz w:val="20"/>
          <w:szCs w:val="20"/>
        </w:rPr>
        <w:t>Dismore</w:t>
      </w:r>
      <w:proofErr w:type="spellEnd"/>
      <w:r w:rsidRPr="002461AC">
        <w:rPr>
          <w:rFonts w:ascii="Book Antiqua" w:hAnsi="Book Antiqua" w:cs="Arial"/>
          <w:sz w:val="20"/>
          <w:szCs w:val="20"/>
        </w:rPr>
        <w:t>. This appears at document K1 of the respondent’s bundle.</w:t>
      </w:r>
    </w:p>
    <w:p w:rsidR="00C9581A" w:rsidRPr="002461AC" w:rsidRDefault="00C9581A" w:rsidP="00C9581A">
      <w:pPr>
        <w:tabs>
          <w:tab w:val="left" w:pos="567"/>
        </w:tabs>
        <w:ind w:left="2160" w:hanging="2160"/>
        <w:jc w:val="both"/>
        <w:rPr>
          <w:rFonts w:ascii="Book Antiqua" w:hAnsi="Book Antiqua" w:cs="Arial"/>
          <w:sz w:val="20"/>
          <w:szCs w:val="20"/>
        </w:rPr>
      </w:pPr>
    </w:p>
    <w:p w:rsidR="00C9581A" w:rsidRPr="002461AC" w:rsidRDefault="00C9581A" w:rsidP="00C9581A">
      <w:pPr>
        <w:tabs>
          <w:tab w:val="left" w:pos="567"/>
        </w:tabs>
        <w:ind w:left="2160" w:hanging="2160"/>
        <w:jc w:val="both"/>
        <w:rPr>
          <w:rFonts w:ascii="Book Antiqua" w:hAnsi="Book Antiqua" w:cs="Arial"/>
          <w:sz w:val="20"/>
          <w:szCs w:val="20"/>
        </w:rPr>
      </w:pPr>
      <w:r w:rsidRPr="002461AC">
        <w:rPr>
          <w:rFonts w:ascii="Book Antiqua" w:hAnsi="Book Antiqua" w:cs="Arial"/>
          <w:sz w:val="20"/>
          <w:szCs w:val="20"/>
        </w:rPr>
        <w:tab/>
        <w:t xml:space="preserve">              </w:t>
      </w:r>
      <w:r w:rsidR="002461AC">
        <w:rPr>
          <w:rFonts w:ascii="Book Antiqua" w:hAnsi="Book Antiqua" w:cs="Arial"/>
          <w:sz w:val="20"/>
          <w:szCs w:val="20"/>
        </w:rPr>
        <w:t xml:space="preserve"> </w:t>
      </w:r>
      <w:r w:rsidRPr="002461AC">
        <w:rPr>
          <w:rFonts w:ascii="Book Antiqua" w:hAnsi="Book Antiqua" w:cs="Arial"/>
          <w:sz w:val="20"/>
          <w:szCs w:val="20"/>
        </w:rPr>
        <w:t>40.</w:t>
      </w:r>
      <w:r w:rsidRPr="002461AC">
        <w:rPr>
          <w:rFonts w:ascii="Book Antiqua" w:hAnsi="Book Antiqua" w:cs="Arial"/>
          <w:sz w:val="20"/>
          <w:szCs w:val="20"/>
        </w:rPr>
        <w:tab/>
        <w:t xml:space="preserve">The minute states that the officers obtained entry by consent and that an officer spoke to Mr </w:t>
      </w:r>
      <w:proofErr w:type="spellStart"/>
      <w:r w:rsidRPr="002461AC">
        <w:rPr>
          <w:rFonts w:ascii="Book Antiqua" w:hAnsi="Book Antiqua" w:cs="Arial"/>
          <w:sz w:val="20"/>
          <w:szCs w:val="20"/>
        </w:rPr>
        <w:t>Halilu</w:t>
      </w:r>
      <w:proofErr w:type="spellEnd"/>
      <w:r w:rsidRPr="002461AC">
        <w:rPr>
          <w:rFonts w:ascii="Book Antiqua" w:hAnsi="Book Antiqua" w:cs="Arial"/>
          <w:sz w:val="20"/>
          <w:szCs w:val="20"/>
        </w:rPr>
        <w:t xml:space="preserve"> in his room. It notes that he was very nervous and advised that the appellant was on her way to work but phoned her to come back to the house. </w:t>
      </w:r>
    </w:p>
    <w:p w:rsidR="00C9581A" w:rsidRPr="002461AC" w:rsidRDefault="00C9581A" w:rsidP="00C9581A">
      <w:pPr>
        <w:tabs>
          <w:tab w:val="left" w:pos="567"/>
        </w:tabs>
        <w:ind w:left="2160" w:hanging="2160"/>
        <w:jc w:val="both"/>
        <w:rPr>
          <w:rFonts w:ascii="Book Antiqua" w:hAnsi="Book Antiqua" w:cs="Arial"/>
          <w:sz w:val="20"/>
          <w:szCs w:val="20"/>
        </w:rPr>
      </w:pPr>
    </w:p>
    <w:p w:rsidR="00C9581A" w:rsidRPr="002461AC" w:rsidRDefault="00C9581A" w:rsidP="00C9581A">
      <w:pPr>
        <w:tabs>
          <w:tab w:val="left" w:pos="567"/>
        </w:tabs>
        <w:ind w:left="2160" w:hanging="2160"/>
        <w:jc w:val="both"/>
        <w:rPr>
          <w:rFonts w:ascii="Book Antiqua" w:hAnsi="Book Antiqua" w:cs="Arial"/>
          <w:sz w:val="20"/>
          <w:szCs w:val="20"/>
        </w:rPr>
      </w:pPr>
      <w:r w:rsidRPr="002461AC">
        <w:rPr>
          <w:rFonts w:ascii="Book Antiqua" w:hAnsi="Book Antiqua" w:cs="Arial"/>
          <w:sz w:val="20"/>
          <w:szCs w:val="20"/>
        </w:rPr>
        <w:t xml:space="preserve">                        </w:t>
      </w:r>
      <w:r w:rsidR="002461AC">
        <w:rPr>
          <w:rFonts w:ascii="Book Antiqua" w:hAnsi="Book Antiqua" w:cs="Arial"/>
          <w:sz w:val="20"/>
          <w:szCs w:val="20"/>
        </w:rPr>
        <w:t xml:space="preserve">  </w:t>
      </w:r>
      <w:r w:rsidRPr="002461AC">
        <w:rPr>
          <w:rFonts w:ascii="Book Antiqua" w:hAnsi="Book Antiqua" w:cs="Arial"/>
          <w:sz w:val="20"/>
          <w:szCs w:val="20"/>
        </w:rPr>
        <w:t>41.</w:t>
      </w:r>
      <w:r w:rsidRPr="002461AC">
        <w:rPr>
          <w:rFonts w:ascii="Book Antiqua" w:hAnsi="Book Antiqua" w:cs="Arial"/>
          <w:sz w:val="20"/>
          <w:szCs w:val="20"/>
        </w:rPr>
        <w:tab/>
        <w:t xml:space="preserve">It is stated that the appellant took the officer to her room which was separate to that of Mr </w:t>
      </w:r>
      <w:proofErr w:type="spellStart"/>
      <w:r w:rsidRPr="002461AC">
        <w:rPr>
          <w:rFonts w:ascii="Book Antiqua" w:hAnsi="Book Antiqua" w:cs="Arial"/>
          <w:sz w:val="20"/>
          <w:szCs w:val="20"/>
        </w:rPr>
        <w:t>Halilu</w:t>
      </w:r>
      <w:proofErr w:type="spellEnd"/>
      <w:r w:rsidRPr="002461AC">
        <w:rPr>
          <w:rFonts w:ascii="Book Antiqua" w:hAnsi="Book Antiqua" w:cs="Arial"/>
          <w:sz w:val="20"/>
          <w:szCs w:val="20"/>
        </w:rPr>
        <w:t>. It is stated that there was no evidence to suggest that they sleep in the same room as all their belongings were in separate rooms.</w:t>
      </w:r>
    </w:p>
    <w:p w:rsidR="00C9581A" w:rsidRPr="002461AC" w:rsidRDefault="00C9581A" w:rsidP="00C9581A">
      <w:pPr>
        <w:tabs>
          <w:tab w:val="left" w:pos="567"/>
        </w:tabs>
        <w:ind w:left="2160" w:hanging="2160"/>
        <w:jc w:val="both"/>
        <w:rPr>
          <w:rFonts w:ascii="Book Antiqua" w:hAnsi="Book Antiqua" w:cs="Arial"/>
          <w:sz w:val="20"/>
          <w:szCs w:val="20"/>
        </w:rPr>
      </w:pPr>
    </w:p>
    <w:p w:rsidR="00C9581A" w:rsidRPr="002461AC" w:rsidRDefault="00C9581A" w:rsidP="00C9581A">
      <w:pPr>
        <w:tabs>
          <w:tab w:val="left" w:pos="567"/>
        </w:tabs>
        <w:ind w:left="2160" w:hanging="2160"/>
        <w:jc w:val="both"/>
        <w:rPr>
          <w:rFonts w:ascii="Book Antiqua" w:hAnsi="Book Antiqua" w:cs="Arial"/>
          <w:sz w:val="20"/>
          <w:szCs w:val="20"/>
        </w:rPr>
      </w:pPr>
      <w:r w:rsidRPr="002461AC">
        <w:rPr>
          <w:rFonts w:ascii="Book Antiqua" w:hAnsi="Book Antiqua" w:cs="Arial"/>
          <w:sz w:val="20"/>
          <w:szCs w:val="20"/>
        </w:rPr>
        <w:t xml:space="preserve">                        </w:t>
      </w:r>
      <w:r w:rsidR="002461AC">
        <w:rPr>
          <w:rFonts w:ascii="Book Antiqua" w:hAnsi="Book Antiqua" w:cs="Arial"/>
          <w:sz w:val="20"/>
          <w:szCs w:val="20"/>
        </w:rPr>
        <w:t xml:space="preserve">  </w:t>
      </w:r>
      <w:r w:rsidRPr="002461AC">
        <w:rPr>
          <w:rFonts w:ascii="Book Antiqua" w:hAnsi="Book Antiqua" w:cs="Arial"/>
          <w:sz w:val="20"/>
          <w:szCs w:val="20"/>
        </w:rPr>
        <w:t>42.</w:t>
      </w:r>
      <w:r w:rsidRPr="002461AC">
        <w:rPr>
          <w:rFonts w:ascii="Book Antiqua" w:hAnsi="Book Antiqua" w:cs="Arial"/>
          <w:sz w:val="20"/>
          <w:szCs w:val="20"/>
        </w:rPr>
        <w:tab/>
        <w:t>It is also n</w:t>
      </w:r>
      <w:r w:rsidR="002461AC" w:rsidRPr="002461AC">
        <w:rPr>
          <w:rFonts w:ascii="Book Antiqua" w:hAnsi="Book Antiqua" w:cs="Arial"/>
          <w:sz w:val="20"/>
          <w:szCs w:val="20"/>
        </w:rPr>
        <w:t>o</w:t>
      </w:r>
      <w:r w:rsidRPr="002461AC">
        <w:rPr>
          <w:rFonts w:ascii="Book Antiqua" w:hAnsi="Book Antiqua" w:cs="Arial"/>
          <w:sz w:val="20"/>
          <w:szCs w:val="20"/>
        </w:rPr>
        <w:t xml:space="preserve">ted that some of the answers from the appellant did not match those given by Mr </w:t>
      </w:r>
      <w:proofErr w:type="spellStart"/>
      <w:r w:rsidRPr="002461AC">
        <w:rPr>
          <w:rFonts w:ascii="Book Antiqua" w:hAnsi="Book Antiqua" w:cs="Arial"/>
          <w:sz w:val="20"/>
          <w:szCs w:val="20"/>
        </w:rPr>
        <w:t>Halilu</w:t>
      </w:r>
      <w:proofErr w:type="spellEnd"/>
      <w:r w:rsidRPr="002461AC">
        <w:rPr>
          <w:rFonts w:ascii="Book Antiqua" w:hAnsi="Book Antiqua" w:cs="Arial"/>
          <w:sz w:val="20"/>
          <w:szCs w:val="20"/>
        </w:rPr>
        <w:t xml:space="preserve"> </w:t>
      </w:r>
      <w:proofErr w:type="gramStart"/>
      <w:r w:rsidRPr="002461AC">
        <w:rPr>
          <w:rFonts w:ascii="Book Antiqua" w:hAnsi="Book Antiqua" w:cs="Arial"/>
          <w:sz w:val="20"/>
          <w:szCs w:val="20"/>
        </w:rPr>
        <w:t>in particular there</w:t>
      </w:r>
      <w:proofErr w:type="gramEnd"/>
      <w:r w:rsidRPr="002461AC">
        <w:rPr>
          <w:rFonts w:ascii="Book Antiqua" w:hAnsi="Book Antiqua" w:cs="Arial"/>
          <w:sz w:val="20"/>
          <w:szCs w:val="20"/>
        </w:rPr>
        <w:t xml:space="preserve"> were two discrepancies in relation to who paid the rent with the appellant stating that Mr </w:t>
      </w:r>
      <w:proofErr w:type="spellStart"/>
      <w:r w:rsidRPr="002461AC">
        <w:rPr>
          <w:rFonts w:ascii="Book Antiqua" w:hAnsi="Book Antiqua" w:cs="Arial"/>
          <w:sz w:val="20"/>
          <w:szCs w:val="20"/>
        </w:rPr>
        <w:t>Halilu</w:t>
      </w:r>
      <w:proofErr w:type="spellEnd"/>
      <w:r w:rsidRPr="002461AC">
        <w:rPr>
          <w:rFonts w:ascii="Book Antiqua" w:hAnsi="Book Antiqua" w:cs="Arial"/>
          <w:sz w:val="20"/>
          <w:szCs w:val="20"/>
        </w:rPr>
        <w:t xml:space="preserve"> paid it, but he stated that she paid her own </w:t>
      </w:r>
      <w:r w:rsidR="002461AC" w:rsidRPr="002461AC">
        <w:rPr>
          <w:rFonts w:ascii="Book Antiqua" w:hAnsi="Book Antiqua" w:cs="Arial"/>
          <w:sz w:val="20"/>
          <w:szCs w:val="20"/>
        </w:rPr>
        <w:t xml:space="preserve">rent. Mr </w:t>
      </w:r>
      <w:proofErr w:type="spellStart"/>
      <w:r w:rsidR="002461AC" w:rsidRPr="002461AC">
        <w:rPr>
          <w:rFonts w:ascii="Book Antiqua" w:hAnsi="Book Antiqua" w:cs="Arial"/>
          <w:sz w:val="20"/>
          <w:szCs w:val="20"/>
        </w:rPr>
        <w:t>Halilu</w:t>
      </w:r>
      <w:proofErr w:type="spellEnd"/>
      <w:r w:rsidR="002461AC" w:rsidRPr="002461AC">
        <w:rPr>
          <w:rFonts w:ascii="Book Antiqua" w:hAnsi="Book Antiqua" w:cs="Arial"/>
          <w:sz w:val="20"/>
          <w:szCs w:val="20"/>
        </w:rPr>
        <w:t xml:space="preserve"> stated that the appellant worked weekends and studied during the week, but she stated that she had finished her studies and was awaiting her results. </w:t>
      </w:r>
    </w:p>
    <w:p w:rsidR="002461AC" w:rsidRPr="002461AC" w:rsidRDefault="002461AC" w:rsidP="00C9581A">
      <w:pPr>
        <w:tabs>
          <w:tab w:val="left" w:pos="567"/>
        </w:tabs>
        <w:ind w:left="2160" w:hanging="2160"/>
        <w:jc w:val="both"/>
        <w:rPr>
          <w:rFonts w:ascii="Book Antiqua" w:hAnsi="Book Antiqua" w:cs="Arial"/>
          <w:sz w:val="20"/>
          <w:szCs w:val="20"/>
        </w:rPr>
      </w:pPr>
    </w:p>
    <w:p w:rsidR="002461AC" w:rsidRPr="002461AC" w:rsidRDefault="002461AC" w:rsidP="00C9581A">
      <w:pPr>
        <w:tabs>
          <w:tab w:val="left" w:pos="567"/>
        </w:tabs>
        <w:ind w:left="2160" w:hanging="2160"/>
        <w:jc w:val="both"/>
        <w:rPr>
          <w:rFonts w:ascii="Book Antiqua" w:hAnsi="Book Antiqua" w:cs="Arial"/>
          <w:sz w:val="20"/>
          <w:szCs w:val="20"/>
        </w:rPr>
      </w:pPr>
      <w:r>
        <w:rPr>
          <w:rFonts w:ascii="Book Antiqua" w:hAnsi="Book Antiqua" w:cs="Arial"/>
          <w:sz w:val="20"/>
          <w:szCs w:val="20"/>
        </w:rPr>
        <w:tab/>
        <w:t xml:space="preserve">               </w:t>
      </w:r>
      <w:r w:rsidRPr="002461AC">
        <w:rPr>
          <w:rFonts w:ascii="Book Antiqua" w:hAnsi="Book Antiqua" w:cs="Arial"/>
          <w:sz w:val="20"/>
          <w:szCs w:val="20"/>
        </w:rPr>
        <w:t>43.</w:t>
      </w:r>
      <w:r w:rsidRPr="002461AC">
        <w:rPr>
          <w:rFonts w:ascii="Book Antiqua" w:hAnsi="Book Antiqua" w:cs="Arial"/>
          <w:sz w:val="20"/>
          <w:szCs w:val="20"/>
        </w:rPr>
        <w:tab/>
        <w:t>There is also reference to questions about a previous relationship however the immigration officer then refers to additional notes which have not been provided.</w:t>
      </w:r>
    </w:p>
    <w:p w:rsidR="002461AC" w:rsidRPr="002461AC" w:rsidRDefault="002461AC" w:rsidP="00C9581A">
      <w:pPr>
        <w:tabs>
          <w:tab w:val="left" w:pos="567"/>
        </w:tabs>
        <w:ind w:left="2160" w:hanging="2160"/>
        <w:jc w:val="both"/>
        <w:rPr>
          <w:rFonts w:ascii="Book Antiqua" w:hAnsi="Book Antiqua" w:cs="Arial"/>
          <w:sz w:val="20"/>
          <w:szCs w:val="20"/>
        </w:rPr>
      </w:pPr>
    </w:p>
    <w:p w:rsidR="002461AC" w:rsidRPr="002461AC" w:rsidRDefault="002461AC" w:rsidP="00C9581A">
      <w:pPr>
        <w:tabs>
          <w:tab w:val="left" w:pos="567"/>
        </w:tabs>
        <w:ind w:left="2160" w:hanging="2160"/>
        <w:jc w:val="both"/>
        <w:rPr>
          <w:rFonts w:ascii="Book Antiqua" w:hAnsi="Book Antiqua" w:cs="Arial"/>
          <w:sz w:val="20"/>
          <w:szCs w:val="20"/>
        </w:rPr>
      </w:pPr>
      <w:r w:rsidRPr="002461AC">
        <w:rPr>
          <w:rFonts w:ascii="Book Antiqua" w:hAnsi="Book Antiqua" w:cs="Arial"/>
          <w:sz w:val="20"/>
          <w:szCs w:val="20"/>
        </w:rPr>
        <w:tab/>
        <w:t xml:space="preserve">               44.</w:t>
      </w:r>
      <w:r w:rsidRPr="002461AC">
        <w:rPr>
          <w:rFonts w:ascii="Book Antiqua" w:hAnsi="Book Antiqua" w:cs="Arial"/>
          <w:sz w:val="20"/>
          <w:szCs w:val="20"/>
        </w:rPr>
        <w:tab/>
      </w:r>
      <w:r>
        <w:rPr>
          <w:rFonts w:ascii="Book Antiqua" w:hAnsi="Book Antiqua" w:cs="Arial"/>
          <w:sz w:val="20"/>
          <w:szCs w:val="20"/>
        </w:rPr>
        <w:t>I</w:t>
      </w:r>
      <w:r w:rsidR="00F54D20">
        <w:rPr>
          <w:rFonts w:ascii="Book Antiqua" w:hAnsi="Book Antiqua" w:cs="Arial"/>
          <w:sz w:val="20"/>
          <w:szCs w:val="20"/>
        </w:rPr>
        <w:t>t is however clear fro</w:t>
      </w:r>
      <w:r w:rsidRPr="002461AC">
        <w:rPr>
          <w:rFonts w:ascii="Book Antiqua" w:hAnsi="Book Antiqua" w:cs="Arial"/>
          <w:sz w:val="20"/>
          <w:szCs w:val="20"/>
        </w:rPr>
        <w:t xml:space="preserve">m the minute that the appellant and Mr </w:t>
      </w:r>
      <w:proofErr w:type="spellStart"/>
      <w:r w:rsidRPr="002461AC">
        <w:rPr>
          <w:rFonts w:ascii="Book Antiqua" w:hAnsi="Book Antiqua" w:cs="Arial"/>
          <w:sz w:val="20"/>
          <w:szCs w:val="20"/>
        </w:rPr>
        <w:t>Halilu</w:t>
      </w:r>
      <w:proofErr w:type="spellEnd"/>
      <w:r w:rsidRPr="002461AC">
        <w:rPr>
          <w:rFonts w:ascii="Book Antiqua" w:hAnsi="Book Antiqua" w:cs="Arial"/>
          <w:sz w:val="20"/>
          <w:szCs w:val="20"/>
        </w:rPr>
        <w:t xml:space="preserve"> </w:t>
      </w:r>
      <w:proofErr w:type="gramStart"/>
      <w:r w:rsidRPr="002461AC">
        <w:rPr>
          <w:rFonts w:ascii="Book Antiqua" w:hAnsi="Book Antiqua" w:cs="Arial"/>
          <w:sz w:val="20"/>
          <w:szCs w:val="20"/>
        </w:rPr>
        <w:t>were able to</w:t>
      </w:r>
      <w:proofErr w:type="gramEnd"/>
      <w:r w:rsidRPr="002461AC">
        <w:rPr>
          <w:rFonts w:ascii="Book Antiqua" w:hAnsi="Book Antiqua" w:cs="Arial"/>
          <w:sz w:val="20"/>
          <w:szCs w:val="20"/>
        </w:rPr>
        <w:t xml:space="preserve"> provide a number of answers which were consistent in particular where they met and how long they had known each other and where he had proposed. </w:t>
      </w:r>
    </w:p>
    <w:p w:rsidR="002461AC" w:rsidRPr="002461AC" w:rsidRDefault="002461AC" w:rsidP="00C9581A">
      <w:pPr>
        <w:tabs>
          <w:tab w:val="left" w:pos="567"/>
        </w:tabs>
        <w:ind w:left="2160" w:hanging="2160"/>
        <w:jc w:val="both"/>
        <w:rPr>
          <w:rFonts w:ascii="Book Antiqua" w:hAnsi="Book Antiqua" w:cs="Arial"/>
          <w:sz w:val="20"/>
          <w:szCs w:val="20"/>
        </w:rPr>
      </w:pPr>
    </w:p>
    <w:p w:rsidR="002461AC" w:rsidRPr="002461AC" w:rsidRDefault="002461AC" w:rsidP="00C9581A">
      <w:pPr>
        <w:tabs>
          <w:tab w:val="left" w:pos="567"/>
        </w:tabs>
        <w:ind w:left="2160" w:hanging="2160"/>
        <w:jc w:val="both"/>
        <w:rPr>
          <w:rFonts w:ascii="Book Antiqua" w:hAnsi="Book Antiqua" w:cs="Arial"/>
          <w:sz w:val="20"/>
          <w:szCs w:val="20"/>
        </w:rPr>
      </w:pPr>
      <w:r w:rsidRPr="002461AC">
        <w:rPr>
          <w:rFonts w:ascii="Book Antiqua" w:hAnsi="Book Antiqua" w:cs="Arial"/>
          <w:sz w:val="20"/>
          <w:szCs w:val="20"/>
        </w:rPr>
        <w:t xml:space="preserve"> </w:t>
      </w:r>
      <w:r w:rsidRPr="002461AC">
        <w:rPr>
          <w:rFonts w:ascii="Book Antiqua" w:hAnsi="Book Antiqua" w:cs="Arial"/>
          <w:sz w:val="20"/>
          <w:szCs w:val="20"/>
        </w:rPr>
        <w:tab/>
        <w:t xml:space="preserve">               45.</w:t>
      </w:r>
      <w:r w:rsidRPr="002461AC">
        <w:rPr>
          <w:rFonts w:ascii="Book Antiqua" w:hAnsi="Book Antiqua" w:cs="Arial"/>
          <w:sz w:val="20"/>
          <w:szCs w:val="20"/>
        </w:rPr>
        <w:tab/>
        <w:t xml:space="preserve">It would therefore appear from the respondent’s own minute of the visit that the decision was </w:t>
      </w:r>
      <w:proofErr w:type="gramStart"/>
      <w:r w:rsidRPr="002461AC">
        <w:rPr>
          <w:rFonts w:ascii="Book Antiqua" w:hAnsi="Book Antiqua" w:cs="Arial"/>
          <w:sz w:val="20"/>
          <w:szCs w:val="20"/>
        </w:rPr>
        <w:t>based on the fact that</w:t>
      </w:r>
      <w:proofErr w:type="gramEnd"/>
      <w:r w:rsidRPr="002461AC">
        <w:rPr>
          <w:rFonts w:ascii="Book Antiqua" w:hAnsi="Book Antiqua" w:cs="Arial"/>
          <w:sz w:val="20"/>
          <w:szCs w:val="20"/>
        </w:rPr>
        <w:t xml:space="preserve"> the officers state they were shown to separate rooms and that there were two discrepancies in relation to the rent and also her work and studies.”</w:t>
      </w:r>
    </w:p>
    <w:p w:rsidR="00C51876" w:rsidRDefault="00C51876" w:rsidP="00C51876">
      <w:pPr>
        <w:tabs>
          <w:tab w:val="left" w:pos="567"/>
        </w:tabs>
        <w:jc w:val="both"/>
        <w:rPr>
          <w:rFonts w:ascii="Book Antiqua" w:hAnsi="Book Antiqua" w:cs="Arial"/>
        </w:rPr>
      </w:pPr>
    </w:p>
    <w:p w:rsidR="002461AC" w:rsidRDefault="00C51876" w:rsidP="00C51876">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The judge went on to consider the evidence given by the appellant and the EEA sponsor at the hearing. He noted several inconsist</w:t>
      </w:r>
      <w:r w:rsidR="00BC1C2A">
        <w:rPr>
          <w:rFonts w:ascii="Book Antiqua" w:hAnsi="Book Antiqua" w:cs="Arial"/>
        </w:rPr>
        <w:t xml:space="preserve">encies in their evidence, which he outlined in the decision [46-52]. </w:t>
      </w:r>
      <w:r w:rsidR="008122EC">
        <w:rPr>
          <w:rFonts w:ascii="Book Antiqua" w:hAnsi="Book Antiqua" w:cs="Arial"/>
        </w:rPr>
        <w:t>The judge then made the following finding relating to the respondent’s evidential burden of proof:</w:t>
      </w:r>
    </w:p>
    <w:p w:rsidR="008122EC" w:rsidRDefault="008122EC" w:rsidP="00C51876">
      <w:pPr>
        <w:tabs>
          <w:tab w:val="left" w:pos="567"/>
        </w:tabs>
        <w:ind w:left="564" w:hanging="564"/>
        <w:jc w:val="both"/>
        <w:rPr>
          <w:rFonts w:ascii="Book Antiqua" w:hAnsi="Book Antiqua" w:cs="Arial"/>
        </w:rPr>
      </w:pPr>
    </w:p>
    <w:p w:rsidR="008122EC" w:rsidRPr="008122EC" w:rsidRDefault="008122EC" w:rsidP="008122EC">
      <w:pPr>
        <w:tabs>
          <w:tab w:val="left" w:pos="567"/>
        </w:tabs>
        <w:ind w:left="2160" w:hanging="1440"/>
        <w:jc w:val="both"/>
        <w:rPr>
          <w:rFonts w:ascii="Book Antiqua" w:hAnsi="Book Antiqua" w:cs="Arial"/>
          <w:sz w:val="20"/>
          <w:szCs w:val="20"/>
        </w:rPr>
      </w:pPr>
      <w:r>
        <w:rPr>
          <w:rFonts w:ascii="Book Antiqua" w:hAnsi="Book Antiqua" w:cs="Arial"/>
        </w:rPr>
        <w:t xml:space="preserve">          </w:t>
      </w:r>
      <w:r w:rsidRPr="008122EC">
        <w:rPr>
          <w:rFonts w:ascii="Book Antiqua" w:hAnsi="Book Antiqua" w:cs="Arial"/>
          <w:sz w:val="20"/>
          <w:szCs w:val="20"/>
        </w:rPr>
        <w:t>“53.</w:t>
      </w:r>
      <w:r w:rsidRPr="008122EC">
        <w:rPr>
          <w:rFonts w:ascii="Book Antiqua" w:hAnsi="Book Antiqua" w:cs="Arial"/>
          <w:sz w:val="20"/>
          <w:szCs w:val="20"/>
        </w:rPr>
        <w:tab/>
        <w:t xml:space="preserve">As indicated above it is for the respondent to show on a balance of probabilities that there is sufficient evidence to raise an issue as to the genuineness of the marriage. The respondent has been able to point to inconsistencies </w:t>
      </w:r>
      <w:proofErr w:type="gramStart"/>
      <w:r w:rsidRPr="008122EC">
        <w:rPr>
          <w:rFonts w:ascii="Book Antiqua" w:hAnsi="Book Antiqua" w:cs="Arial"/>
          <w:sz w:val="20"/>
          <w:szCs w:val="20"/>
        </w:rPr>
        <w:t>with regard to</w:t>
      </w:r>
      <w:proofErr w:type="gramEnd"/>
      <w:r w:rsidRPr="008122EC">
        <w:rPr>
          <w:rFonts w:ascii="Book Antiqua" w:hAnsi="Book Antiqua" w:cs="Arial"/>
          <w:sz w:val="20"/>
          <w:szCs w:val="20"/>
        </w:rPr>
        <w:t xml:space="preserve"> both the visit and in oral evidence. I am satisfied on a balance of</w:t>
      </w:r>
      <w:r w:rsidR="00F67B43">
        <w:rPr>
          <w:rFonts w:ascii="Book Antiqua" w:hAnsi="Book Antiqua" w:cs="Arial"/>
          <w:sz w:val="20"/>
          <w:szCs w:val="20"/>
        </w:rPr>
        <w:t xml:space="preserve"> probabilities when </w:t>
      </w:r>
      <w:proofErr w:type="gramStart"/>
      <w:r w:rsidR="00F67B43">
        <w:rPr>
          <w:rFonts w:ascii="Book Antiqua" w:hAnsi="Book Antiqua" w:cs="Arial"/>
          <w:sz w:val="20"/>
          <w:szCs w:val="20"/>
        </w:rPr>
        <w:t xml:space="preserve">taking into </w:t>
      </w:r>
      <w:r w:rsidRPr="008122EC">
        <w:rPr>
          <w:rFonts w:ascii="Book Antiqua" w:hAnsi="Book Antiqua" w:cs="Arial"/>
          <w:sz w:val="20"/>
          <w:szCs w:val="20"/>
        </w:rPr>
        <w:t>account</w:t>
      </w:r>
      <w:proofErr w:type="gramEnd"/>
      <w:r w:rsidRPr="008122EC">
        <w:rPr>
          <w:rFonts w:ascii="Book Antiqua" w:hAnsi="Book Antiqua" w:cs="Arial"/>
          <w:sz w:val="20"/>
          <w:szCs w:val="20"/>
        </w:rPr>
        <w:t xml:space="preserve"> the inconsistencies within the evidence that the respondent has discharged their </w:t>
      </w:r>
      <w:r w:rsidRPr="008122EC">
        <w:rPr>
          <w:rFonts w:ascii="Book Antiqua" w:hAnsi="Book Antiqua" w:cs="Arial"/>
          <w:sz w:val="20"/>
          <w:szCs w:val="20"/>
        </w:rPr>
        <w:lastRenderedPageBreak/>
        <w:t>burden of proof and that the burden therefore shifts on to the appellant to provide a reasonable explanation for those inconsistencies.”</w:t>
      </w:r>
    </w:p>
    <w:p w:rsidR="002461AC" w:rsidRDefault="002461AC" w:rsidP="00C9581A">
      <w:pPr>
        <w:tabs>
          <w:tab w:val="left" w:pos="567"/>
        </w:tabs>
        <w:ind w:left="2160" w:hanging="2160"/>
        <w:jc w:val="both"/>
        <w:rPr>
          <w:rFonts w:ascii="Book Antiqua" w:hAnsi="Book Antiqua" w:cs="Arial"/>
        </w:rPr>
      </w:pPr>
    </w:p>
    <w:p w:rsidR="008122EC" w:rsidRDefault="008122EC" w:rsidP="008122EC">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The</w:t>
      </w:r>
      <w:r w:rsidR="00F67B43">
        <w:rPr>
          <w:rFonts w:ascii="Book Antiqua" w:hAnsi="Book Antiqua" w:cs="Arial"/>
        </w:rPr>
        <w:t xml:space="preserve"> judge then went on to conduct</w:t>
      </w:r>
      <w:r>
        <w:rPr>
          <w:rFonts w:ascii="Book Antiqua" w:hAnsi="Book Antiqua" w:cs="Arial"/>
        </w:rPr>
        <w:t xml:space="preserve"> further analysis of the evidence, including the witness statements prepared by the appella</w:t>
      </w:r>
      <w:r w:rsidR="00803CD0">
        <w:rPr>
          <w:rFonts w:ascii="Book Antiqua" w:hAnsi="Book Antiqua" w:cs="Arial"/>
        </w:rPr>
        <w:t xml:space="preserve">nt and the EEA sponsor in response to the points outlined in the minute of the immigration officers’ visit [54-57]. He also </w:t>
      </w:r>
      <w:proofErr w:type="gramStart"/>
      <w:r w:rsidR="00803CD0">
        <w:rPr>
          <w:rFonts w:ascii="Book Antiqua" w:hAnsi="Book Antiqua" w:cs="Arial"/>
        </w:rPr>
        <w:t>took into account</w:t>
      </w:r>
      <w:proofErr w:type="gramEnd"/>
      <w:r w:rsidR="00803CD0">
        <w:rPr>
          <w:rFonts w:ascii="Book Antiqua" w:hAnsi="Book Antiqua" w:cs="Arial"/>
        </w:rPr>
        <w:t xml:space="preserve"> the evidence produced by the appellant to show that she lived at the same address as the EEA sponsor and the evidence of a witness, Mr Y A</w:t>
      </w:r>
      <w:bookmarkStart w:id="0" w:name="_GoBack"/>
      <w:bookmarkEnd w:id="0"/>
      <w:r w:rsidR="00803CD0">
        <w:rPr>
          <w:rFonts w:ascii="Book Antiqua" w:hAnsi="Book Antiqua" w:cs="Arial"/>
        </w:rPr>
        <w:t xml:space="preserve"> [59-62]. Having considered the evidence for and against the appellant, and having heard and assessed the evidence of the witnesses at the hearing, the judge concluded that the evidence produced by the appellant was not sufficiently reliable to show that the marria</w:t>
      </w:r>
      <w:r w:rsidR="00283720">
        <w:rPr>
          <w:rFonts w:ascii="Book Antiqua" w:hAnsi="Book Antiqua" w:cs="Arial"/>
        </w:rPr>
        <w:t>ge was genuine [63-69].</w:t>
      </w:r>
    </w:p>
    <w:p w:rsidR="002461AC" w:rsidRDefault="002461AC" w:rsidP="00C9581A">
      <w:pPr>
        <w:tabs>
          <w:tab w:val="left" w:pos="567"/>
        </w:tabs>
        <w:ind w:left="2160" w:hanging="2160"/>
        <w:jc w:val="both"/>
        <w:rPr>
          <w:rFonts w:ascii="Book Antiqua" w:hAnsi="Book Antiqua" w:cs="Arial"/>
        </w:rPr>
      </w:pPr>
      <w:r>
        <w:rPr>
          <w:rFonts w:ascii="Book Antiqua" w:hAnsi="Book Antiqua" w:cs="Arial"/>
        </w:rPr>
        <w:tab/>
        <w:t xml:space="preserve">               </w:t>
      </w:r>
    </w:p>
    <w:p w:rsidR="00C9581A" w:rsidRDefault="00283720" w:rsidP="00283720">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t xml:space="preserve">The appellant’s grounds of appeal </w:t>
      </w:r>
      <w:r w:rsidR="00455881">
        <w:rPr>
          <w:rFonts w:ascii="Book Antiqua" w:hAnsi="Book Antiqua" w:cs="Arial"/>
        </w:rPr>
        <w:t xml:space="preserve">essentially argue a single point. It is argued that the respondent’s failure to produce a copy of the </w:t>
      </w:r>
      <w:r w:rsidR="00B866B0">
        <w:rPr>
          <w:rFonts w:ascii="Book Antiqua" w:hAnsi="Book Antiqua" w:cs="Arial"/>
        </w:rPr>
        <w:t>‘</w:t>
      </w:r>
      <w:r w:rsidR="00455881">
        <w:rPr>
          <w:rFonts w:ascii="Book Antiqua" w:hAnsi="Book Antiqua" w:cs="Arial"/>
        </w:rPr>
        <w:t>notes of the interview</w:t>
      </w:r>
      <w:r w:rsidR="00B866B0">
        <w:rPr>
          <w:rFonts w:ascii="Book Antiqua" w:hAnsi="Book Antiqua" w:cs="Arial"/>
        </w:rPr>
        <w:t>’</w:t>
      </w:r>
      <w:r w:rsidR="00455881">
        <w:rPr>
          <w:rFonts w:ascii="Book Antiqua" w:hAnsi="Book Antiqua" w:cs="Arial"/>
        </w:rPr>
        <w:t xml:space="preserve"> that took place during the visit to the appellant’s home </w:t>
      </w:r>
      <w:r w:rsidR="00554E23">
        <w:rPr>
          <w:rFonts w:ascii="Book Antiqua" w:hAnsi="Book Antiqua" w:cs="Arial"/>
        </w:rPr>
        <w:t xml:space="preserve">was unfair. The appellant </w:t>
      </w:r>
      <w:r w:rsidR="00455881">
        <w:rPr>
          <w:rFonts w:ascii="Book Antiqua" w:hAnsi="Book Antiqua" w:cs="Arial"/>
        </w:rPr>
        <w:t xml:space="preserve">relied upon the decision in </w:t>
      </w:r>
      <w:r w:rsidR="00455881" w:rsidRPr="00455881">
        <w:rPr>
          <w:rFonts w:ascii="Book Antiqua" w:hAnsi="Book Antiqua" w:cs="Arial"/>
          <w:i/>
        </w:rPr>
        <w:t xml:space="preserve">Miah (interviewer’s comments’ disclosure; fairness) </w:t>
      </w:r>
      <w:r w:rsidR="00455881">
        <w:rPr>
          <w:rFonts w:ascii="Book Antiqua" w:hAnsi="Book Antiqua" w:cs="Arial"/>
        </w:rPr>
        <w:t xml:space="preserve">[2014] UKUT 515. The First-tier Tribunal erred in finding that the respondent had discharged the initial burden of proof to show that there were reasonable grounds for suspecting that it was a marriage of convenience in the absence of a copy of the interview record. </w:t>
      </w:r>
    </w:p>
    <w:p w:rsidR="00C9581A" w:rsidRDefault="00C9581A" w:rsidP="00933B65">
      <w:pPr>
        <w:tabs>
          <w:tab w:val="left" w:pos="567"/>
        </w:tabs>
        <w:jc w:val="both"/>
        <w:rPr>
          <w:rFonts w:ascii="Book Antiqua" w:hAnsi="Book Antiqua" w:cs="Arial"/>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405694" w:rsidRDefault="00B866B0" w:rsidP="00B866B0">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t xml:space="preserve">In </w:t>
      </w:r>
      <w:r w:rsidRPr="00B866B0">
        <w:rPr>
          <w:rFonts w:ascii="Book Antiqua" w:hAnsi="Book Antiqua" w:cs="Arial"/>
          <w:i/>
        </w:rPr>
        <w:t>Miah</w:t>
      </w:r>
      <w:r>
        <w:rPr>
          <w:rFonts w:ascii="Book Antiqua" w:hAnsi="Book Antiqua" w:cs="Arial"/>
        </w:rPr>
        <w:t>, the decision also involved an allegation that the marriage was one of convenience. However, in that case the appellant and the EEA sponsor were asked to attend a formal interview. The record of the interview was</w:t>
      </w:r>
      <w:r w:rsidR="003012C3">
        <w:rPr>
          <w:rFonts w:ascii="Book Antiqua" w:hAnsi="Book Antiqua" w:cs="Arial"/>
        </w:rPr>
        <w:t xml:space="preserve"> disclosed, </w:t>
      </w:r>
      <w:r>
        <w:rPr>
          <w:rFonts w:ascii="Book Antiqua" w:hAnsi="Book Antiqua" w:cs="Arial"/>
        </w:rPr>
        <w:t>but the issue before the Upper Tribunal was whether the respondent’s failure to disclose the interviewing officer’s notes and comments was unfair. The central plank of the decision was firmly rooted in the principles of procedural fairness:</w:t>
      </w:r>
    </w:p>
    <w:p w:rsidR="009346E4" w:rsidRDefault="009346E4" w:rsidP="009346E4">
      <w:pPr>
        <w:jc w:val="both"/>
        <w:rPr>
          <w:rFonts w:ascii="Book Antiqua" w:hAnsi="Book Antiqua" w:cs="Arial"/>
        </w:rPr>
      </w:pPr>
    </w:p>
    <w:p w:rsidR="00057B76" w:rsidRPr="00057B76" w:rsidRDefault="00B866B0" w:rsidP="00057B76">
      <w:pPr>
        <w:ind w:left="2160" w:hanging="720"/>
        <w:jc w:val="both"/>
        <w:rPr>
          <w:rFonts w:ascii="Book Antiqua" w:hAnsi="Book Antiqua" w:cs="Arial"/>
          <w:sz w:val="20"/>
          <w:szCs w:val="20"/>
        </w:rPr>
      </w:pPr>
      <w:r w:rsidRPr="00057B76">
        <w:rPr>
          <w:rFonts w:ascii="Book Antiqua" w:hAnsi="Book Antiqua" w:cs="Arial"/>
          <w:sz w:val="20"/>
          <w:szCs w:val="20"/>
        </w:rPr>
        <w:t>“</w:t>
      </w:r>
      <w:r w:rsidR="009346E4" w:rsidRPr="00057B76">
        <w:rPr>
          <w:rFonts w:ascii="Book Antiqua" w:hAnsi="Book Antiqua" w:cs="Arial"/>
          <w:sz w:val="20"/>
          <w:szCs w:val="20"/>
        </w:rPr>
        <w:t>15.</w:t>
      </w:r>
      <w:r w:rsidR="009346E4" w:rsidRPr="00057B76">
        <w:rPr>
          <w:rFonts w:ascii="Book Antiqua" w:hAnsi="Book Antiqua" w:cs="Arial"/>
          <w:sz w:val="20"/>
          <w:szCs w:val="20"/>
        </w:rPr>
        <w:tab/>
        <w:t xml:space="preserve">The analysis above demonstrates that, in the context of a marriage of convenience enquiry under the 2006 Regulations, the key requirement of a fair </w:t>
      </w:r>
      <w:proofErr w:type="gramStart"/>
      <w:r w:rsidR="009346E4" w:rsidRPr="00057B76">
        <w:rPr>
          <w:rFonts w:ascii="Book Antiqua" w:hAnsi="Book Antiqua" w:cs="Arial"/>
          <w:sz w:val="20"/>
          <w:szCs w:val="20"/>
        </w:rPr>
        <w:t>decision making</w:t>
      </w:r>
      <w:proofErr w:type="gramEnd"/>
      <w:r w:rsidR="009346E4" w:rsidRPr="00057B76">
        <w:rPr>
          <w:rFonts w:ascii="Book Antiqua" w:hAnsi="Book Antiqua" w:cs="Arial"/>
          <w:sz w:val="20"/>
          <w:szCs w:val="20"/>
        </w:rPr>
        <w:t xml:space="preserve"> process is disclosure to the “suspect” of the substance of the case against him.  This means, in practice, that the interview will invariably occupy a position of pivotal importance in the process.</w:t>
      </w:r>
    </w:p>
    <w:p w:rsidR="00057B76" w:rsidRPr="00057B76" w:rsidRDefault="00057B76" w:rsidP="00057B76">
      <w:pPr>
        <w:ind w:left="2160" w:hanging="720"/>
        <w:jc w:val="both"/>
        <w:rPr>
          <w:rFonts w:ascii="Book Antiqua" w:hAnsi="Book Antiqua" w:cs="Arial"/>
          <w:sz w:val="20"/>
          <w:szCs w:val="20"/>
        </w:rPr>
      </w:pPr>
    </w:p>
    <w:p w:rsidR="00057B76" w:rsidRPr="00057B76" w:rsidRDefault="00057B76" w:rsidP="00057B76">
      <w:pPr>
        <w:ind w:left="2160" w:hanging="720"/>
        <w:jc w:val="both"/>
        <w:rPr>
          <w:rFonts w:ascii="Book Antiqua" w:hAnsi="Book Antiqua" w:cs="Arial"/>
          <w:sz w:val="20"/>
          <w:szCs w:val="20"/>
        </w:rPr>
      </w:pPr>
      <w:r w:rsidRPr="00057B76">
        <w:rPr>
          <w:rFonts w:ascii="Book Antiqua" w:hAnsi="Book Antiqua" w:cs="Arial"/>
          <w:sz w:val="20"/>
          <w:szCs w:val="20"/>
        </w:rPr>
        <w:t>16.</w:t>
      </w:r>
      <w:r w:rsidRPr="00057B76">
        <w:rPr>
          <w:rFonts w:ascii="Book Antiqua" w:hAnsi="Book Antiqua" w:cs="Arial"/>
          <w:sz w:val="20"/>
          <w:szCs w:val="20"/>
        </w:rPr>
        <w:tab/>
        <w:t xml:space="preserve">In the present case, there is no complaint about disclosure.  It is not argued that, when interviewed, the substance of the case against the Respondent was not put to him.  Rather, the complaint is that the interviewer’s comments and opinions, which were critical of and adverse to the Respondent, should not have been conveyed to the decision maker.  I consider that the merits of this contention are to be evaluated by applying the test of whether this rendered the </w:t>
      </w:r>
      <w:proofErr w:type="gramStart"/>
      <w:r w:rsidRPr="00057B76">
        <w:rPr>
          <w:rFonts w:ascii="Book Antiqua" w:hAnsi="Book Antiqua" w:cs="Arial"/>
          <w:sz w:val="20"/>
          <w:szCs w:val="20"/>
        </w:rPr>
        <w:t>decision making</w:t>
      </w:r>
      <w:proofErr w:type="gramEnd"/>
      <w:r w:rsidRPr="00057B76">
        <w:rPr>
          <w:rFonts w:ascii="Book Antiqua" w:hAnsi="Book Antiqua" w:cs="Arial"/>
          <w:sz w:val="20"/>
          <w:szCs w:val="20"/>
        </w:rPr>
        <w:t xml:space="preserve"> process procedurally unfair.  In the abstract, one can conceive of cases where comments of this kind might distort what had been transacted during the interview.  For example, the Respondent’s responses might not be </w:t>
      </w:r>
      <w:proofErr w:type="gramStart"/>
      <w:r w:rsidRPr="00057B76">
        <w:rPr>
          <w:rFonts w:ascii="Book Antiqua" w:hAnsi="Book Antiqua" w:cs="Arial"/>
          <w:sz w:val="20"/>
          <w:szCs w:val="20"/>
        </w:rPr>
        <w:t>fairly summarised</w:t>
      </w:r>
      <w:proofErr w:type="gramEnd"/>
      <w:r w:rsidRPr="00057B76">
        <w:rPr>
          <w:rFonts w:ascii="Book Antiqua" w:hAnsi="Book Antiqua" w:cs="Arial"/>
          <w:sz w:val="20"/>
          <w:szCs w:val="20"/>
        </w:rPr>
        <w:t xml:space="preserve">.  Alternatively, the comments might relate to some information or evidence adverse to the Respondent but not brought to his attention.  In each of these illustrations, the safeguard for the Respondent is that it will be possible to demonstrate subsequently to a tribunal, on appeal, that the misdemeanour in question occurred and there will be independent judicial adjudication of whether the </w:t>
      </w:r>
      <w:proofErr w:type="gramStart"/>
      <w:r w:rsidRPr="00057B76">
        <w:rPr>
          <w:rFonts w:ascii="Book Antiqua" w:hAnsi="Book Antiqua" w:cs="Arial"/>
          <w:sz w:val="20"/>
          <w:szCs w:val="20"/>
        </w:rPr>
        <w:t>decision making</w:t>
      </w:r>
      <w:proofErr w:type="gramEnd"/>
      <w:r w:rsidRPr="00057B76">
        <w:rPr>
          <w:rFonts w:ascii="Book Antiqua" w:hAnsi="Book Antiqua" w:cs="Arial"/>
          <w:sz w:val="20"/>
          <w:szCs w:val="20"/>
        </w:rPr>
        <w:t xml:space="preserve"> process was fair and, hence, lawful.  None of these illustrations applies in the present case.</w:t>
      </w:r>
    </w:p>
    <w:p w:rsidR="00057B76" w:rsidRPr="00057B76" w:rsidRDefault="00057B76" w:rsidP="00057B76">
      <w:pPr>
        <w:ind w:left="2160" w:hanging="720"/>
        <w:jc w:val="both"/>
        <w:rPr>
          <w:rFonts w:ascii="Book Antiqua" w:hAnsi="Book Antiqua" w:cs="Arial"/>
          <w:sz w:val="20"/>
          <w:szCs w:val="20"/>
        </w:rPr>
      </w:pPr>
    </w:p>
    <w:p w:rsidR="00057B76" w:rsidRPr="00057B76" w:rsidRDefault="00057B76" w:rsidP="00057B76">
      <w:pPr>
        <w:ind w:left="2160" w:hanging="720"/>
        <w:jc w:val="both"/>
        <w:rPr>
          <w:rFonts w:ascii="Book Antiqua" w:hAnsi="Book Antiqua" w:cs="Arial"/>
          <w:sz w:val="20"/>
          <w:szCs w:val="20"/>
        </w:rPr>
      </w:pPr>
      <w:r w:rsidRPr="00057B76">
        <w:rPr>
          <w:rFonts w:ascii="Book Antiqua" w:hAnsi="Book Antiqua" w:cs="Arial"/>
          <w:sz w:val="20"/>
          <w:szCs w:val="20"/>
        </w:rPr>
        <w:t>17.</w:t>
      </w:r>
      <w:r w:rsidRPr="00057B76">
        <w:rPr>
          <w:rFonts w:ascii="Book Antiqua" w:hAnsi="Book Antiqua" w:cs="Arial"/>
          <w:sz w:val="20"/>
          <w:szCs w:val="20"/>
        </w:rPr>
        <w:tab/>
        <w:t>Insofar as Mr Ahmed submitted that the comments and opinions of the interviewing officer should never be considered by the decision maker, I cannot agree.  The interviewer will normally be well equipped and placed to express relevant views, particularly where the same person has, separately, interviewed the two parties to the marriage.  More specifically, the interviewer will be uniquely placed to comment on the subject’s presentation, reactions and demeanour generally.  This is illustrated in the present case, in the interviewing officer’s description of his “</w:t>
      </w:r>
      <w:r w:rsidRPr="00057B76">
        <w:rPr>
          <w:rFonts w:ascii="Book Antiqua" w:hAnsi="Book Antiqua" w:cs="Arial"/>
          <w:i/>
          <w:sz w:val="20"/>
          <w:szCs w:val="20"/>
        </w:rPr>
        <w:t>impression</w:t>
      </w:r>
      <w:r w:rsidRPr="00057B76">
        <w:rPr>
          <w:rFonts w:ascii="Book Antiqua" w:hAnsi="Book Antiqua" w:cs="Arial"/>
          <w:sz w:val="20"/>
          <w:szCs w:val="20"/>
        </w:rPr>
        <w:t xml:space="preserve">” that the wife was evading certain critical questions.  There is no challenge to the </w:t>
      </w:r>
      <w:r w:rsidRPr="00057B76">
        <w:rPr>
          <w:rFonts w:ascii="Book Antiqua" w:hAnsi="Book Antiqua" w:cs="Arial"/>
          <w:i/>
          <w:sz w:val="20"/>
          <w:szCs w:val="20"/>
        </w:rPr>
        <w:t>bona fides</w:t>
      </w:r>
      <w:r w:rsidRPr="00057B76">
        <w:rPr>
          <w:rFonts w:ascii="Book Antiqua" w:hAnsi="Book Antiqua" w:cs="Arial"/>
          <w:sz w:val="20"/>
          <w:szCs w:val="20"/>
        </w:rPr>
        <w:t xml:space="preserve"> of the interviewer.  Where the interviewer elects to include comments and/or opinions in the materials conveyed to the decision maker, the latter will not, of course, be bound by them.  I consider that the duty on the decision maker is to approach and consider </w:t>
      </w:r>
      <w:proofErr w:type="gramStart"/>
      <w:r w:rsidRPr="00057B76">
        <w:rPr>
          <w:rFonts w:ascii="Book Antiqua" w:hAnsi="Book Antiqua" w:cs="Arial"/>
          <w:sz w:val="20"/>
          <w:szCs w:val="20"/>
        </w:rPr>
        <w:t>all of</w:t>
      </w:r>
      <w:proofErr w:type="gramEnd"/>
      <w:r w:rsidRPr="00057B76">
        <w:rPr>
          <w:rFonts w:ascii="Book Antiqua" w:hAnsi="Book Antiqua" w:cs="Arial"/>
          <w:sz w:val="20"/>
          <w:szCs w:val="20"/>
        </w:rPr>
        <w:t xml:space="preserve"> the materials with an open mind and with circumspection.  The due discharge of this duty, coupled with the statutory right of appeal, will provide the subject with adequate protection.</w:t>
      </w:r>
    </w:p>
    <w:p w:rsidR="00057B76" w:rsidRPr="00057B76" w:rsidRDefault="00057B76" w:rsidP="00057B76">
      <w:pPr>
        <w:ind w:left="2160" w:hanging="720"/>
        <w:jc w:val="both"/>
        <w:rPr>
          <w:rFonts w:ascii="Book Antiqua" w:hAnsi="Book Antiqua" w:cs="Arial"/>
          <w:sz w:val="20"/>
          <w:szCs w:val="20"/>
        </w:rPr>
      </w:pPr>
    </w:p>
    <w:p w:rsidR="00057B76" w:rsidRPr="00057B76" w:rsidRDefault="00057B76" w:rsidP="00057B76">
      <w:pPr>
        <w:ind w:left="2160" w:hanging="720"/>
        <w:jc w:val="both"/>
        <w:rPr>
          <w:rFonts w:ascii="Book Antiqua" w:hAnsi="Book Antiqua" w:cs="Arial"/>
          <w:sz w:val="20"/>
          <w:szCs w:val="20"/>
        </w:rPr>
      </w:pPr>
      <w:r w:rsidRPr="00057B76">
        <w:rPr>
          <w:rFonts w:ascii="Book Antiqua" w:hAnsi="Book Antiqua" w:cs="Arial"/>
          <w:sz w:val="20"/>
          <w:szCs w:val="20"/>
        </w:rPr>
        <w:t>18.</w:t>
      </w:r>
      <w:r w:rsidRPr="00057B76">
        <w:rPr>
          <w:rFonts w:ascii="Book Antiqua" w:hAnsi="Book Antiqua" w:cs="Arial"/>
          <w:sz w:val="20"/>
          <w:szCs w:val="20"/>
        </w:rPr>
        <w:tab/>
        <w:t>It is also important to recognise the public interest in play in cases of this kind.  It is contrary to the public interest that marriages of convenience should go undetected.  The public interest requires that such marriages be exposed where possible and that the parties be denied the rights flowing from genuine marriages.  The fulfilment of these public interests is promoted by ensuring that the decision maker is as fully equipped as possible. This discrete goal is, in turn, promoted by the mechanism of conveying to the decision maker the interviewer’s assessment of the interviewees.</w:t>
      </w:r>
      <w:r>
        <w:rPr>
          <w:rFonts w:ascii="Book Antiqua" w:hAnsi="Book Antiqua" w:cs="Arial"/>
          <w:sz w:val="20"/>
          <w:szCs w:val="20"/>
        </w:rPr>
        <w:t>”</w:t>
      </w:r>
      <w:r w:rsidRPr="00057B76">
        <w:rPr>
          <w:rFonts w:ascii="Book Antiqua" w:hAnsi="Book Antiqua" w:cs="Arial"/>
          <w:sz w:val="20"/>
          <w:szCs w:val="20"/>
        </w:rPr>
        <w:t xml:space="preserve"> </w:t>
      </w:r>
    </w:p>
    <w:p w:rsidR="00B87CE6" w:rsidRPr="00057B76" w:rsidRDefault="00B87CE6" w:rsidP="00933B65">
      <w:pPr>
        <w:tabs>
          <w:tab w:val="left" w:pos="567"/>
        </w:tabs>
        <w:jc w:val="both"/>
        <w:rPr>
          <w:rFonts w:ascii="Book Antiqua" w:hAnsi="Book Antiqua" w:cs="Arial"/>
        </w:rPr>
      </w:pPr>
    </w:p>
    <w:p w:rsidR="00057B76" w:rsidRDefault="00057B76" w:rsidP="00057B76">
      <w:pPr>
        <w:tabs>
          <w:tab w:val="left" w:pos="567"/>
        </w:tabs>
        <w:ind w:left="564" w:hanging="564"/>
        <w:jc w:val="both"/>
        <w:rPr>
          <w:rFonts w:ascii="Book Antiqua" w:hAnsi="Book Antiqua" w:cs="Arial"/>
        </w:rPr>
      </w:pPr>
      <w:r w:rsidRPr="00057B76">
        <w:rPr>
          <w:rFonts w:ascii="Book Antiqua" w:hAnsi="Book Antiqua" w:cs="Arial"/>
        </w:rPr>
        <w:t>8.</w:t>
      </w:r>
      <w:r w:rsidRPr="00057B76">
        <w:rPr>
          <w:rFonts w:ascii="Book Antiqua" w:hAnsi="Book Antiqua" w:cs="Arial"/>
        </w:rPr>
        <w:tab/>
        <w:t xml:space="preserve">The President of the Upper Tribunal concluded that </w:t>
      </w:r>
      <w:r>
        <w:rPr>
          <w:rFonts w:ascii="Book Antiqua" w:hAnsi="Book Antiqua" w:cs="Arial"/>
        </w:rPr>
        <w:t xml:space="preserve">it was open and indeed necessary for the decision maker to </w:t>
      </w:r>
      <w:proofErr w:type="gramStart"/>
      <w:r>
        <w:rPr>
          <w:rFonts w:ascii="Book Antiqua" w:hAnsi="Book Antiqua" w:cs="Arial"/>
        </w:rPr>
        <w:t>take into account</w:t>
      </w:r>
      <w:proofErr w:type="gramEnd"/>
      <w:r>
        <w:rPr>
          <w:rFonts w:ascii="Book Antiqua" w:hAnsi="Book Antiqua" w:cs="Arial"/>
        </w:rPr>
        <w:t xml:space="preserve"> the interviewer’s comments, but it was in the interest of a fair hearing for those comments to be disclosed in order to ensure a fair hearing at appeal stage. </w:t>
      </w:r>
    </w:p>
    <w:p w:rsidR="00057B76" w:rsidRDefault="00057B76" w:rsidP="00057B76">
      <w:pPr>
        <w:tabs>
          <w:tab w:val="left" w:pos="567"/>
        </w:tabs>
        <w:ind w:left="564" w:hanging="564"/>
        <w:jc w:val="both"/>
        <w:rPr>
          <w:rFonts w:ascii="Book Antiqua" w:hAnsi="Book Antiqua" w:cs="Arial"/>
        </w:rPr>
      </w:pPr>
    </w:p>
    <w:p w:rsidR="00057B76" w:rsidRDefault="00057B76" w:rsidP="00057B76">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r>
      <w:r w:rsidR="00180313">
        <w:rPr>
          <w:rFonts w:ascii="Book Antiqua" w:hAnsi="Book Antiqua" w:cs="Arial"/>
        </w:rPr>
        <w:t xml:space="preserve">In </w:t>
      </w:r>
      <w:r w:rsidR="00180313" w:rsidRPr="00180313">
        <w:rPr>
          <w:rFonts w:ascii="Book Antiqua" w:hAnsi="Book Antiqua" w:cs="Arial"/>
          <w:i/>
        </w:rPr>
        <w:t>Miah</w:t>
      </w:r>
      <w:r w:rsidR="00180313">
        <w:rPr>
          <w:rFonts w:ascii="Book Antiqua" w:hAnsi="Book Antiqua" w:cs="Arial"/>
        </w:rPr>
        <w:t xml:space="preserve"> a formal interview had taken place with Home Office officials. The usual format is for the Home Office official to create a record of the questions and answers during the interview. The decision maker will consider the substance of the answers given by an applicant and the EEA national sponsor and may </w:t>
      </w:r>
      <w:proofErr w:type="gramStart"/>
      <w:r w:rsidR="00180313">
        <w:rPr>
          <w:rFonts w:ascii="Book Antiqua" w:hAnsi="Book Antiqua" w:cs="Arial"/>
        </w:rPr>
        <w:t>take into account</w:t>
      </w:r>
      <w:proofErr w:type="gramEnd"/>
      <w:r w:rsidR="00180313">
        <w:rPr>
          <w:rFonts w:ascii="Book Antiqua" w:hAnsi="Book Antiqua" w:cs="Arial"/>
        </w:rPr>
        <w:t xml:space="preserve"> any comments made by the interviewing officer who was in a good position to assess the credibility and demeanour of those being interviewed. </w:t>
      </w:r>
    </w:p>
    <w:p w:rsidR="00180313" w:rsidRDefault="00180313" w:rsidP="00057B76">
      <w:pPr>
        <w:tabs>
          <w:tab w:val="left" w:pos="567"/>
        </w:tabs>
        <w:ind w:left="564" w:hanging="564"/>
        <w:jc w:val="both"/>
        <w:rPr>
          <w:rFonts w:ascii="Book Antiqua" w:hAnsi="Book Antiqua" w:cs="Arial"/>
        </w:rPr>
      </w:pPr>
    </w:p>
    <w:p w:rsidR="00180313" w:rsidRDefault="00180313" w:rsidP="00057B76">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 xml:space="preserve">The circumstances of this case are somewhat different to those in </w:t>
      </w:r>
      <w:r w:rsidRPr="00180313">
        <w:rPr>
          <w:rFonts w:ascii="Book Antiqua" w:hAnsi="Book Antiqua" w:cs="Arial"/>
          <w:i/>
        </w:rPr>
        <w:t>Miah</w:t>
      </w:r>
      <w:r w:rsidR="00F6401B">
        <w:rPr>
          <w:rFonts w:ascii="Book Antiqua" w:hAnsi="Book Antiqua" w:cs="Arial"/>
        </w:rPr>
        <w:t>. Immigration o</w:t>
      </w:r>
      <w:r w:rsidR="003627B5">
        <w:rPr>
          <w:rFonts w:ascii="Book Antiqua" w:hAnsi="Book Antiqua" w:cs="Arial"/>
        </w:rPr>
        <w:t>fficer</w:t>
      </w:r>
      <w:r>
        <w:rPr>
          <w:rFonts w:ascii="Book Antiqua" w:hAnsi="Book Antiqua" w:cs="Arial"/>
        </w:rPr>
        <w:t xml:space="preserve">s visited the appellant’s home to conduct a ‘pastoral visit’. This is a different form of assessment to a formal interview. In a formal interview the respondent is primarily exploring </w:t>
      </w:r>
      <w:r w:rsidR="001B7E94">
        <w:rPr>
          <w:rFonts w:ascii="Book Antiqua" w:hAnsi="Book Antiqua" w:cs="Arial"/>
        </w:rPr>
        <w:t xml:space="preserve">the parties’ knowledge of one another and testing the consistency of their evidence. In a ‘pastoral visit’, the respondent is primarily seeking to make observations about the applicant’s claim that they are living together with their spouse. If a marriage is one of convenience, and there is no physical evidence to suggest that the parties are living together as a married couple, it is an effective way for the respondent to test the credibility of the application. </w:t>
      </w:r>
    </w:p>
    <w:p w:rsidR="001B7E94" w:rsidRDefault="001B7E94" w:rsidP="00057B76">
      <w:pPr>
        <w:tabs>
          <w:tab w:val="left" w:pos="567"/>
        </w:tabs>
        <w:ind w:left="564" w:hanging="564"/>
        <w:jc w:val="both"/>
        <w:rPr>
          <w:rFonts w:ascii="Book Antiqua" w:hAnsi="Book Antiqua" w:cs="Arial"/>
        </w:rPr>
      </w:pPr>
    </w:p>
    <w:p w:rsidR="001B7E94" w:rsidRDefault="001B7E94" w:rsidP="00057B76">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 xml:space="preserve">In this case, the immigration officers </w:t>
      </w:r>
      <w:proofErr w:type="gramStart"/>
      <w:r>
        <w:rPr>
          <w:rFonts w:ascii="Book Antiqua" w:hAnsi="Book Antiqua" w:cs="Arial"/>
        </w:rPr>
        <w:t>were able to</w:t>
      </w:r>
      <w:proofErr w:type="gramEnd"/>
      <w:r>
        <w:rPr>
          <w:rFonts w:ascii="Book Antiqua" w:hAnsi="Book Antiqua" w:cs="Arial"/>
        </w:rPr>
        <w:t xml:space="preserve"> speak to the appellant and her sponsor. Although they were inevitably asked some question, the purpose of the visit was primarily to make observations about their domestic circumstances. Mr </w:t>
      </w:r>
      <w:proofErr w:type="spellStart"/>
      <w:r>
        <w:rPr>
          <w:rFonts w:ascii="Book Antiqua" w:hAnsi="Book Antiqua" w:cs="Arial"/>
        </w:rPr>
        <w:t>Nwaekwu</w:t>
      </w:r>
      <w:proofErr w:type="spellEnd"/>
      <w:r w:rsidR="008C020A">
        <w:rPr>
          <w:rFonts w:ascii="Book Antiqua" w:hAnsi="Book Antiqua" w:cs="Arial"/>
        </w:rPr>
        <w:t xml:space="preserve"> asserts that process has been unfair because the respondent has not disclosed the interview notes; yet admitted at the First-tier Tribunal hearing that no </w:t>
      </w:r>
      <w:r w:rsidR="008C020A">
        <w:rPr>
          <w:rFonts w:ascii="Book Antiqua" w:hAnsi="Book Antiqua" w:cs="Arial"/>
        </w:rPr>
        <w:lastRenderedPageBreak/>
        <w:t xml:space="preserve">steps had been taken to ask for copies of the notes or even to establish if any existed. As a judge of some years standing in an expert tribunal I take judicial notice of the fact that the records of such enforcement visits are usually produced in the same format that has been produced in this case. Although it is reasonable to assume that the immigration officers may have taken some notes, the purpose of the visit was not to conduct a formal interview of the kind that would generate a question and answer record. The usual procedure is for the immigration officer to summarise his or her observations of the visit and any other reasons to support their conclusion that the marriage is likely to be one of convenience.  </w:t>
      </w:r>
    </w:p>
    <w:p w:rsidR="001B7E94" w:rsidRDefault="001B7E94" w:rsidP="00057B76">
      <w:pPr>
        <w:tabs>
          <w:tab w:val="left" w:pos="567"/>
        </w:tabs>
        <w:ind w:left="564" w:hanging="564"/>
        <w:jc w:val="both"/>
        <w:rPr>
          <w:rFonts w:ascii="Book Antiqua" w:hAnsi="Book Antiqua" w:cs="Arial"/>
        </w:rPr>
      </w:pPr>
    </w:p>
    <w:p w:rsidR="008C020A" w:rsidRDefault="008C020A" w:rsidP="00057B76">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r>
      <w:r w:rsidR="00596EEB">
        <w:rPr>
          <w:rFonts w:ascii="Book Antiqua" w:hAnsi="Book Antiqua" w:cs="Arial"/>
        </w:rPr>
        <w:t xml:space="preserve">The notes of the ‘pastoral visit’ are in effect the summary produced by the immigration officer. In this case the summary set out the immigration officer’s observations about the appellant’s living arrangements with the EEA sponsor. He observed that they had separate rooms in a shared house. There was no evidence to suggest that they slept in the same room. All their belongings were in separate rooms. The immigration officer observed that the EEA sponsor appeared to be “very nervous”. The immigration officer noted that some of the answers to his questions were consistent and summarised the information. He went on to note that there were two discrepancies. The appellant said that she paid her own rent, while the EEA sponsor said that he paid the rent. The EEA sponsor said that the appellant works weekends and studies during the week, while the appellant said that she had completed her studies and was awaiting her results. </w:t>
      </w:r>
      <w:r w:rsidR="009F0334">
        <w:rPr>
          <w:rFonts w:ascii="Book Antiqua" w:hAnsi="Book Antiqua" w:cs="Arial"/>
        </w:rPr>
        <w:t>The summary went on to note:</w:t>
      </w:r>
    </w:p>
    <w:p w:rsidR="009F0334" w:rsidRDefault="009F0334" w:rsidP="00057B76">
      <w:pPr>
        <w:tabs>
          <w:tab w:val="left" w:pos="567"/>
        </w:tabs>
        <w:ind w:left="564" w:hanging="564"/>
        <w:jc w:val="both"/>
        <w:rPr>
          <w:rFonts w:ascii="Book Antiqua" w:hAnsi="Book Antiqua" w:cs="Arial"/>
        </w:rPr>
      </w:pPr>
    </w:p>
    <w:p w:rsidR="009F0334" w:rsidRPr="009F0334" w:rsidRDefault="009F0334" w:rsidP="009F0334">
      <w:pPr>
        <w:tabs>
          <w:tab w:val="left" w:pos="567"/>
        </w:tabs>
        <w:ind w:left="1440" w:hanging="564"/>
        <w:jc w:val="both"/>
        <w:rPr>
          <w:rFonts w:ascii="Book Antiqua" w:hAnsi="Book Antiqua" w:cs="Arial"/>
          <w:sz w:val="20"/>
          <w:szCs w:val="20"/>
        </w:rPr>
      </w:pPr>
      <w:r>
        <w:rPr>
          <w:rFonts w:ascii="Book Antiqua" w:hAnsi="Book Antiqua" w:cs="Arial"/>
        </w:rPr>
        <w:tab/>
      </w:r>
      <w:r w:rsidRPr="009F0334">
        <w:rPr>
          <w:rFonts w:ascii="Book Antiqua" w:hAnsi="Book Antiqua" w:cs="Arial"/>
          <w:sz w:val="20"/>
          <w:szCs w:val="20"/>
        </w:rPr>
        <w:t xml:space="preserve">“I asked Ms NKEM what happened </w:t>
      </w:r>
      <w:proofErr w:type="gramStart"/>
      <w:r w:rsidRPr="009F0334">
        <w:rPr>
          <w:rFonts w:ascii="Book Antiqua" w:hAnsi="Book Antiqua" w:cs="Arial"/>
          <w:sz w:val="20"/>
          <w:szCs w:val="20"/>
        </w:rPr>
        <w:t>with regard to</w:t>
      </w:r>
      <w:proofErr w:type="gramEnd"/>
      <w:r w:rsidRPr="009F0334">
        <w:rPr>
          <w:rFonts w:ascii="Book Antiqua" w:hAnsi="Book Antiqua" w:cs="Arial"/>
          <w:sz w:val="20"/>
          <w:szCs w:val="20"/>
        </w:rPr>
        <w:t xml:space="preserve"> her previous relationship. She simply </w:t>
      </w:r>
      <w:proofErr w:type="gramStart"/>
      <w:r w:rsidRPr="009F0334">
        <w:rPr>
          <w:rFonts w:ascii="Book Antiqua" w:hAnsi="Book Antiqua" w:cs="Arial"/>
          <w:sz w:val="20"/>
          <w:szCs w:val="20"/>
        </w:rPr>
        <w:t>stated</w:t>
      </w:r>
      <w:proofErr w:type="gramEnd"/>
      <w:r w:rsidRPr="009F0334">
        <w:rPr>
          <w:rFonts w:ascii="Book Antiqua" w:hAnsi="Book Antiqua" w:cs="Arial"/>
          <w:sz w:val="20"/>
          <w:szCs w:val="20"/>
        </w:rPr>
        <w:t xml:space="preserve"> “IT DIDN’T WORK OUT”. Ms NKEM appeared panicked when I asked her this question (</w:t>
      </w:r>
      <w:r>
        <w:rPr>
          <w:rFonts w:ascii="Book Antiqua" w:hAnsi="Book Antiqua" w:cs="Arial"/>
          <w:sz w:val="20"/>
          <w:szCs w:val="20"/>
        </w:rPr>
        <w:t>see notes for Admin Removal case raised 5/12/2011)</w:t>
      </w:r>
      <w:r w:rsidRPr="009F0334">
        <w:rPr>
          <w:rFonts w:ascii="Book Antiqua" w:hAnsi="Book Antiqua" w:cs="Arial"/>
          <w:sz w:val="20"/>
          <w:szCs w:val="20"/>
        </w:rPr>
        <w:t>”</w:t>
      </w:r>
    </w:p>
    <w:p w:rsidR="001B7E94" w:rsidRDefault="001B7E94" w:rsidP="00057B76">
      <w:pPr>
        <w:tabs>
          <w:tab w:val="left" w:pos="567"/>
        </w:tabs>
        <w:ind w:left="564" w:hanging="564"/>
        <w:jc w:val="both"/>
        <w:rPr>
          <w:rFonts w:ascii="Book Antiqua" w:hAnsi="Book Antiqua" w:cs="Arial"/>
        </w:rPr>
      </w:pPr>
    </w:p>
    <w:p w:rsidR="00057B76" w:rsidRDefault="009F0334" w:rsidP="009F0334">
      <w:pPr>
        <w:tabs>
          <w:tab w:val="left" w:pos="567"/>
        </w:tabs>
        <w:ind w:left="564" w:hanging="564"/>
        <w:jc w:val="both"/>
        <w:rPr>
          <w:rFonts w:ascii="Book Antiqua" w:hAnsi="Book Antiqua" w:cs="Arial"/>
        </w:rPr>
      </w:pPr>
      <w:r>
        <w:rPr>
          <w:rFonts w:ascii="Book Antiqua" w:hAnsi="Book Antiqua" w:cs="Arial"/>
        </w:rPr>
        <w:t>13.</w:t>
      </w:r>
      <w:r>
        <w:rPr>
          <w:rFonts w:ascii="Book Antiqua" w:hAnsi="Book Antiqua" w:cs="Arial"/>
        </w:rPr>
        <w:tab/>
        <w:t xml:space="preserve">The last reference appears to relate to information held on the respondent’s file about an earlier application. </w:t>
      </w:r>
      <w:r w:rsidR="009620B7">
        <w:rPr>
          <w:rFonts w:ascii="Book Antiqua" w:hAnsi="Book Antiqua" w:cs="Arial"/>
        </w:rPr>
        <w:t xml:space="preserve">Nothing seems to have turned on the comment. The decision letter does not mention it and it did not form part of the reasons for refusal. </w:t>
      </w:r>
    </w:p>
    <w:p w:rsidR="009620B7" w:rsidRDefault="009620B7" w:rsidP="009F0334">
      <w:pPr>
        <w:tabs>
          <w:tab w:val="left" w:pos="567"/>
        </w:tabs>
        <w:ind w:left="564" w:hanging="564"/>
        <w:jc w:val="both"/>
        <w:rPr>
          <w:rFonts w:ascii="Book Antiqua" w:hAnsi="Book Antiqua" w:cs="Arial"/>
        </w:rPr>
      </w:pPr>
    </w:p>
    <w:p w:rsidR="00B85A16" w:rsidRDefault="009620B7" w:rsidP="00C734AF">
      <w:pPr>
        <w:tabs>
          <w:tab w:val="left" w:pos="567"/>
        </w:tabs>
        <w:ind w:left="564" w:hanging="564"/>
        <w:jc w:val="both"/>
        <w:rPr>
          <w:rFonts w:ascii="Book Antiqua" w:hAnsi="Book Antiqua" w:cs="Arial"/>
        </w:rPr>
      </w:pPr>
      <w:r>
        <w:rPr>
          <w:rFonts w:ascii="Book Antiqua" w:hAnsi="Book Antiqua" w:cs="Arial"/>
        </w:rPr>
        <w:t>14.</w:t>
      </w:r>
      <w:r>
        <w:rPr>
          <w:rFonts w:ascii="Book Antiqua" w:hAnsi="Book Antiqua" w:cs="Arial"/>
        </w:rPr>
        <w:tab/>
        <w:t>Arguments relating to procedural fairness only gain some traction if the appellant can show that she was disadvantaged in some way by the failure o</w:t>
      </w:r>
      <w:r w:rsidR="0037635A">
        <w:rPr>
          <w:rFonts w:ascii="Book Antiqua" w:hAnsi="Book Antiqua" w:cs="Arial"/>
        </w:rPr>
        <w:t>f the respondent to disclose any</w:t>
      </w:r>
      <w:r>
        <w:rPr>
          <w:rFonts w:ascii="Book Antiqua" w:hAnsi="Book Antiqua" w:cs="Arial"/>
        </w:rPr>
        <w:t xml:space="preserve"> underlying handwritten notes. In this case the summary of the visit is the usual format in </w:t>
      </w:r>
      <w:r w:rsidR="00C734AF">
        <w:rPr>
          <w:rFonts w:ascii="Book Antiqua" w:hAnsi="Book Antiqua" w:cs="Arial"/>
        </w:rPr>
        <w:t>which the immigration officer makes his notes. It is clear from the summary that the appellant</w:t>
      </w:r>
      <w:r w:rsidR="0037635A">
        <w:rPr>
          <w:rFonts w:ascii="Book Antiqua" w:hAnsi="Book Antiqua" w:cs="Arial"/>
        </w:rPr>
        <w:t xml:space="preserve"> was informed of the substance </w:t>
      </w:r>
      <w:r w:rsidR="00C734AF">
        <w:rPr>
          <w:rFonts w:ascii="Book Antiqua" w:hAnsi="Book Antiqua" w:cs="Arial"/>
        </w:rPr>
        <w:t xml:space="preserve">of the issues that formed the basis of the respondent’s decision. She </w:t>
      </w:r>
      <w:proofErr w:type="gramStart"/>
      <w:r w:rsidR="00C734AF">
        <w:rPr>
          <w:rFonts w:ascii="Book Antiqua" w:hAnsi="Book Antiqua" w:cs="Arial"/>
        </w:rPr>
        <w:t>was able to</w:t>
      </w:r>
      <w:proofErr w:type="gramEnd"/>
      <w:r w:rsidR="00C734AF">
        <w:rPr>
          <w:rFonts w:ascii="Book Antiqua" w:hAnsi="Book Antiqua" w:cs="Arial"/>
        </w:rPr>
        <w:t xml:space="preserve"> respond to the comments and the alleged discrepancies in her witness statement. It is difficult to see what disadvantage there was to the appellant when she was clearly aware of the alleged discrepancies and the reasons </w:t>
      </w:r>
      <w:r w:rsidR="0037635A">
        <w:rPr>
          <w:rFonts w:ascii="Book Antiqua" w:hAnsi="Book Antiqua" w:cs="Arial"/>
        </w:rPr>
        <w:t>why the immigration officer had doubts about the relationship. She</w:t>
      </w:r>
      <w:r w:rsidR="00C734AF">
        <w:rPr>
          <w:rFonts w:ascii="Book Antiqua" w:hAnsi="Book Antiqua" w:cs="Arial"/>
        </w:rPr>
        <w:t xml:space="preserve"> had an opportunity to address those points before the hearing. </w:t>
      </w:r>
    </w:p>
    <w:p w:rsidR="00B85A16" w:rsidRDefault="00B85A16" w:rsidP="00C734AF">
      <w:pPr>
        <w:tabs>
          <w:tab w:val="left" w:pos="567"/>
        </w:tabs>
        <w:ind w:left="564" w:hanging="564"/>
        <w:jc w:val="both"/>
        <w:rPr>
          <w:rFonts w:ascii="Book Antiqua" w:hAnsi="Book Antiqua" w:cs="Arial"/>
        </w:rPr>
      </w:pPr>
    </w:p>
    <w:p w:rsidR="00B87CE6" w:rsidRDefault="00B85A16" w:rsidP="00C734AF">
      <w:pPr>
        <w:tabs>
          <w:tab w:val="left" w:pos="567"/>
        </w:tabs>
        <w:ind w:left="564" w:hanging="564"/>
        <w:jc w:val="both"/>
        <w:rPr>
          <w:rFonts w:ascii="Book Antiqua" w:hAnsi="Book Antiqua" w:cs="Arial"/>
        </w:rPr>
      </w:pPr>
      <w:r>
        <w:rPr>
          <w:rFonts w:ascii="Book Antiqua" w:hAnsi="Book Antiqua" w:cs="Arial"/>
        </w:rPr>
        <w:t>15.</w:t>
      </w:r>
      <w:r>
        <w:rPr>
          <w:rFonts w:ascii="Book Antiqua" w:hAnsi="Book Antiqua" w:cs="Arial"/>
        </w:rPr>
        <w:tab/>
        <w:t>The j</w:t>
      </w:r>
      <w:r w:rsidR="00B87CE6">
        <w:rPr>
          <w:rFonts w:ascii="Book Antiqua" w:hAnsi="Book Antiqua" w:cs="Arial"/>
        </w:rPr>
        <w:t xml:space="preserve">udge </w:t>
      </w:r>
      <w:r>
        <w:rPr>
          <w:rFonts w:ascii="Book Antiqua" w:hAnsi="Book Antiqua" w:cs="Arial"/>
        </w:rPr>
        <w:t>referred to the</w:t>
      </w:r>
      <w:r w:rsidR="00B87CE6">
        <w:rPr>
          <w:rFonts w:ascii="Book Antiqua" w:hAnsi="Book Antiqua" w:cs="Arial"/>
        </w:rPr>
        <w:t xml:space="preserve"> correct legal framework. </w:t>
      </w:r>
      <w:r w:rsidR="005042B8">
        <w:rPr>
          <w:rFonts w:ascii="Book Antiqua" w:hAnsi="Book Antiqua" w:cs="Arial"/>
        </w:rPr>
        <w:t xml:space="preserve">The fact that the </w:t>
      </w:r>
      <w:r>
        <w:rPr>
          <w:rFonts w:ascii="Book Antiqua" w:hAnsi="Book Antiqua" w:cs="Arial"/>
        </w:rPr>
        <w:t>respondent</w:t>
      </w:r>
      <w:r w:rsidR="005042B8">
        <w:rPr>
          <w:rFonts w:ascii="Book Antiqua" w:hAnsi="Book Antiqua" w:cs="Arial"/>
        </w:rPr>
        <w:t xml:space="preserve"> did not produce underlying notes </w:t>
      </w:r>
      <w:r>
        <w:rPr>
          <w:rFonts w:ascii="Book Antiqua" w:hAnsi="Book Antiqua" w:cs="Arial"/>
        </w:rPr>
        <w:t xml:space="preserve">(if they existed), and was never asked to, </w:t>
      </w:r>
      <w:r w:rsidR="005042B8">
        <w:rPr>
          <w:rFonts w:ascii="Book Antiqua" w:hAnsi="Book Antiqua" w:cs="Arial"/>
        </w:rPr>
        <w:t>does not obviate the need for the judge to consider whether the evidence that was produced was nevertheless sufficient to give rise to a reasonable suspicion that the marriage was one of convenience.</w:t>
      </w:r>
      <w:r w:rsidR="00FE1DF5">
        <w:rPr>
          <w:rFonts w:ascii="Book Antiqua" w:hAnsi="Book Antiqua" w:cs="Arial"/>
        </w:rPr>
        <w:t xml:space="preserve"> </w:t>
      </w:r>
      <w:r w:rsidR="005042B8">
        <w:rPr>
          <w:rFonts w:ascii="Book Antiqua" w:hAnsi="Book Antiqua" w:cs="Arial"/>
        </w:rPr>
        <w:t xml:space="preserve">The judge </w:t>
      </w:r>
      <w:proofErr w:type="gramStart"/>
      <w:r w:rsidR="005042B8">
        <w:rPr>
          <w:rFonts w:ascii="Book Antiqua" w:hAnsi="Book Antiqua" w:cs="Arial"/>
        </w:rPr>
        <w:t>took into account</w:t>
      </w:r>
      <w:proofErr w:type="gramEnd"/>
      <w:r w:rsidR="005042B8">
        <w:rPr>
          <w:rFonts w:ascii="Book Antiqua" w:hAnsi="Book Antiqua" w:cs="Arial"/>
        </w:rPr>
        <w:t xml:space="preserve"> the fact that there were no underlying </w:t>
      </w:r>
      <w:r w:rsidR="005042B8">
        <w:rPr>
          <w:rFonts w:ascii="Book Antiqua" w:hAnsi="Book Antiqua" w:cs="Arial"/>
        </w:rPr>
        <w:lastRenderedPageBreak/>
        <w:t xml:space="preserve">notes, but was entitled to consider </w:t>
      </w:r>
      <w:r>
        <w:rPr>
          <w:rFonts w:ascii="Book Antiqua" w:hAnsi="Book Antiqua" w:cs="Arial"/>
        </w:rPr>
        <w:t>what was said in the summary of the ‘pastoral visit’ prepared by the immigration officer</w:t>
      </w:r>
      <w:r w:rsidR="005042B8">
        <w:rPr>
          <w:rFonts w:ascii="Book Antiqua" w:hAnsi="Book Antiqua" w:cs="Arial"/>
        </w:rPr>
        <w:t xml:space="preserve">. </w:t>
      </w:r>
    </w:p>
    <w:p w:rsidR="005042B8" w:rsidRDefault="005042B8" w:rsidP="00933B65">
      <w:pPr>
        <w:tabs>
          <w:tab w:val="left" w:pos="567"/>
        </w:tabs>
        <w:jc w:val="both"/>
        <w:rPr>
          <w:rFonts w:ascii="Book Antiqua" w:hAnsi="Book Antiqua" w:cs="Arial"/>
        </w:rPr>
      </w:pPr>
    </w:p>
    <w:p w:rsidR="00C80124" w:rsidRDefault="00B85A16" w:rsidP="00B85A16">
      <w:pPr>
        <w:tabs>
          <w:tab w:val="left" w:pos="567"/>
        </w:tabs>
        <w:ind w:left="564" w:hanging="564"/>
        <w:jc w:val="both"/>
        <w:rPr>
          <w:rFonts w:ascii="Book Antiqua" w:hAnsi="Book Antiqua" w:cs="Arial"/>
        </w:rPr>
      </w:pPr>
      <w:r>
        <w:rPr>
          <w:rFonts w:ascii="Book Antiqua" w:hAnsi="Book Antiqua" w:cs="Arial"/>
        </w:rPr>
        <w:t>16.</w:t>
      </w:r>
      <w:r>
        <w:rPr>
          <w:rFonts w:ascii="Book Antiqua" w:hAnsi="Book Antiqua" w:cs="Arial"/>
        </w:rPr>
        <w:tab/>
      </w:r>
      <w:r w:rsidR="005042B8">
        <w:rPr>
          <w:rFonts w:ascii="Book Antiqua" w:hAnsi="Book Antiqua" w:cs="Arial"/>
        </w:rPr>
        <w:t xml:space="preserve">Once the evidential threshold giving rise to reasonable suspicion has been met it was open to the judge to consider the other evidence before him, including the oral evidence of the appellant and </w:t>
      </w:r>
      <w:r w:rsidR="003012C3">
        <w:rPr>
          <w:rFonts w:ascii="Book Antiqua" w:hAnsi="Book Antiqua" w:cs="Arial"/>
        </w:rPr>
        <w:t>the EEA sponsor</w:t>
      </w:r>
      <w:r w:rsidR="005042B8">
        <w:rPr>
          <w:rFonts w:ascii="Book Antiqua" w:hAnsi="Book Antiqua" w:cs="Arial"/>
        </w:rPr>
        <w:t>. At that point, it was open to the judge to make his own assessment of the credibility of the e</w:t>
      </w:r>
      <w:r w:rsidR="00C80124">
        <w:rPr>
          <w:rFonts w:ascii="Book Antiqua" w:hAnsi="Book Antiqua" w:cs="Arial"/>
        </w:rPr>
        <w:t>vidence given by the witnesses</w:t>
      </w:r>
      <w:r>
        <w:rPr>
          <w:rFonts w:ascii="Book Antiqua" w:hAnsi="Book Antiqua" w:cs="Arial"/>
        </w:rPr>
        <w:t xml:space="preserve"> and what weight could be placed on the other evidence produced by the appellant in support of the appeal. The grounds do not</w:t>
      </w:r>
      <w:r w:rsidR="003012C3">
        <w:rPr>
          <w:rFonts w:ascii="Book Antiqua" w:hAnsi="Book Antiqua" w:cs="Arial"/>
        </w:rPr>
        <w:t xml:space="preserve"> particularise any specific challenge to the judge’s </w:t>
      </w:r>
      <w:r w:rsidR="0077187A">
        <w:rPr>
          <w:rFonts w:ascii="Book Antiqua" w:hAnsi="Book Antiqua" w:cs="Arial"/>
        </w:rPr>
        <w:t>credibility findings</w:t>
      </w:r>
      <w:r w:rsidR="003012C3">
        <w:rPr>
          <w:rFonts w:ascii="Book Antiqua" w:hAnsi="Book Antiqua" w:cs="Arial"/>
        </w:rPr>
        <w:t xml:space="preserve">. It is understandable that the appellant disagrees with </w:t>
      </w:r>
      <w:r w:rsidR="0037635A">
        <w:rPr>
          <w:rFonts w:ascii="Book Antiqua" w:hAnsi="Book Antiqua" w:cs="Arial"/>
        </w:rPr>
        <w:t>the decision</w:t>
      </w:r>
      <w:r w:rsidR="003012C3">
        <w:rPr>
          <w:rFonts w:ascii="Book Antiqua" w:hAnsi="Book Antiqua" w:cs="Arial"/>
        </w:rPr>
        <w:t xml:space="preserve">, but </w:t>
      </w:r>
      <w:r w:rsidR="0037635A">
        <w:rPr>
          <w:rFonts w:ascii="Book Antiqua" w:hAnsi="Book Antiqua" w:cs="Arial"/>
        </w:rPr>
        <w:t xml:space="preserve">the judge’s </w:t>
      </w:r>
      <w:r w:rsidR="003012C3">
        <w:rPr>
          <w:rFonts w:ascii="Book Antiqua" w:hAnsi="Book Antiqua" w:cs="Arial"/>
        </w:rPr>
        <w:t xml:space="preserve">findings were within a range of reasonable responses to the evidence. The failure of the respondent to produce any underlying notes of the visit did not render the hearing unfair in circumstances where the appellant was fully aware of the substance of the case against her and had been given a fair opportunity to respond. </w:t>
      </w:r>
    </w:p>
    <w:p w:rsidR="003012C3" w:rsidRDefault="003012C3" w:rsidP="00B85A16">
      <w:pPr>
        <w:tabs>
          <w:tab w:val="left" w:pos="567"/>
        </w:tabs>
        <w:ind w:left="564" w:hanging="564"/>
        <w:jc w:val="both"/>
        <w:rPr>
          <w:rFonts w:ascii="Book Antiqua" w:hAnsi="Book Antiqua" w:cs="Arial"/>
        </w:rPr>
      </w:pPr>
    </w:p>
    <w:p w:rsidR="003012C3" w:rsidRDefault="003012C3" w:rsidP="00B85A16">
      <w:pPr>
        <w:tabs>
          <w:tab w:val="left" w:pos="567"/>
        </w:tabs>
        <w:ind w:left="564" w:hanging="564"/>
        <w:jc w:val="both"/>
        <w:rPr>
          <w:rFonts w:ascii="Book Antiqua" w:hAnsi="Book Antiqua" w:cs="Arial"/>
        </w:rPr>
      </w:pPr>
      <w:r>
        <w:rPr>
          <w:rFonts w:ascii="Book Antiqua" w:hAnsi="Book Antiqua" w:cs="Arial"/>
        </w:rPr>
        <w:t>17.</w:t>
      </w:r>
      <w:r>
        <w:rPr>
          <w:rFonts w:ascii="Book Antiqua" w:hAnsi="Book Antiqua" w:cs="Arial"/>
        </w:rPr>
        <w:tab/>
        <w:t xml:space="preserve">For the reasons given above, I conclude that the First-tier Tribunal decision did not involve the making of an error on a point of law. The decision shall stand. </w:t>
      </w:r>
    </w:p>
    <w:p w:rsidR="00455881" w:rsidRDefault="00455881" w:rsidP="00933B65">
      <w:pPr>
        <w:tabs>
          <w:tab w:val="left" w:pos="567"/>
        </w:tabs>
        <w:jc w:val="both"/>
        <w:rPr>
          <w:rFonts w:ascii="Book Antiqua" w:hAnsi="Book Antiqua" w:cs="Arial"/>
        </w:rPr>
      </w:pPr>
    </w:p>
    <w:p w:rsidR="00405694" w:rsidRDefault="00405694" w:rsidP="00933B65">
      <w:pPr>
        <w:tabs>
          <w:tab w:val="left" w:pos="567"/>
        </w:tabs>
        <w:jc w:val="both"/>
        <w:rPr>
          <w:rFonts w:ascii="Book Antiqua" w:hAnsi="Book Antiqua" w:cs="Arial"/>
        </w:rPr>
      </w:pPr>
    </w:p>
    <w:p w:rsidR="005042B8" w:rsidRPr="005042B8" w:rsidRDefault="005042B8" w:rsidP="00933B65">
      <w:pPr>
        <w:tabs>
          <w:tab w:val="left" w:pos="567"/>
        </w:tabs>
        <w:jc w:val="both"/>
        <w:rPr>
          <w:rFonts w:ascii="Book Antiqua" w:hAnsi="Book Antiqua" w:cs="Arial"/>
          <w:u w:val="single"/>
        </w:rPr>
      </w:pPr>
      <w:r w:rsidRPr="005042B8">
        <w:rPr>
          <w:rFonts w:ascii="Book Antiqua" w:hAnsi="Book Antiqua" w:cs="Arial"/>
          <w:u w:val="single"/>
        </w:rPr>
        <w:t>DECISION</w:t>
      </w:r>
    </w:p>
    <w:p w:rsidR="005042B8" w:rsidRDefault="005042B8" w:rsidP="00933B65">
      <w:pPr>
        <w:tabs>
          <w:tab w:val="left" w:pos="567"/>
        </w:tabs>
        <w:jc w:val="both"/>
        <w:rPr>
          <w:rFonts w:ascii="Book Antiqua" w:hAnsi="Book Antiqua" w:cs="Arial"/>
        </w:rPr>
      </w:pPr>
    </w:p>
    <w:p w:rsidR="005042B8" w:rsidRDefault="003012C3" w:rsidP="00933B65">
      <w:pPr>
        <w:tabs>
          <w:tab w:val="left" w:pos="567"/>
        </w:tabs>
        <w:jc w:val="both"/>
        <w:rPr>
          <w:rFonts w:ascii="Book Antiqua" w:hAnsi="Book Antiqua" w:cs="Arial"/>
        </w:rPr>
      </w:pPr>
      <w:r>
        <w:rPr>
          <w:rFonts w:ascii="Book Antiqua" w:hAnsi="Book Antiqua" w:cs="Arial"/>
        </w:rPr>
        <w:t>The First-tier Tribunal decision did not involve the making of an error on a point of law</w:t>
      </w:r>
    </w:p>
    <w:p w:rsidR="003012C3" w:rsidRDefault="003012C3" w:rsidP="00933B65">
      <w:pPr>
        <w:tabs>
          <w:tab w:val="left" w:pos="567"/>
        </w:tabs>
        <w:jc w:val="both"/>
        <w:rPr>
          <w:rFonts w:ascii="Book Antiqua" w:hAnsi="Book Antiqua" w:cs="Arial"/>
        </w:rPr>
      </w:pPr>
    </w:p>
    <w:p w:rsidR="003012C3" w:rsidRDefault="003012C3" w:rsidP="00933B65">
      <w:pPr>
        <w:tabs>
          <w:tab w:val="left" w:pos="567"/>
        </w:tabs>
        <w:jc w:val="both"/>
        <w:rPr>
          <w:rFonts w:ascii="Book Antiqua" w:hAnsi="Book Antiqua" w:cs="Arial"/>
        </w:rPr>
      </w:pPr>
      <w:r>
        <w:rPr>
          <w:rFonts w:ascii="Book Antiqua" w:hAnsi="Book Antiqua" w:cs="Arial"/>
        </w:rPr>
        <w:t>The decision shall stand</w:t>
      </w:r>
    </w:p>
    <w:p w:rsidR="005042B8" w:rsidRDefault="005042B8" w:rsidP="00933B65">
      <w:pPr>
        <w:tabs>
          <w:tab w:val="left" w:pos="567"/>
        </w:tabs>
        <w:jc w:val="both"/>
        <w:rPr>
          <w:rFonts w:ascii="Book Antiqua" w:hAnsi="Book Antiqua" w:cs="Arial"/>
        </w:rPr>
      </w:pPr>
    </w:p>
    <w:p w:rsidR="005042B8" w:rsidRDefault="005042B8"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0134E0" w:rsidRPr="000A38E1">
        <w:rPr>
          <w:rFonts w:ascii="Book Antiqua" w:hAnsi="Book Antiqua" w:cs="Arial"/>
          <w:noProof/>
        </w:rPr>
        <w:drawing>
          <wp:inline distT="0" distB="0" distL="0" distR="0">
            <wp:extent cx="1386840" cy="3733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37338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D50F8E">
        <w:rPr>
          <w:rFonts w:ascii="Book Antiqua" w:hAnsi="Book Antiqua" w:cs="Arial"/>
        </w:rPr>
        <w:t xml:space="preserve">  03 September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395009">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41D" w:rsidRDefault="00D1241D">
      <w:r>
        <w:separator/>
      </w:r>
    </w:p>
  </w:endnote>
  <w:endnote w:type="continuationSeparator" w:id="0">
    <w:p w:rsidR="00D1241D" w:rsidRDefault="00D1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395009" w:rsidRDefault="00F75541" w:rsidP="00614E94">
    <w:pPr>
      <w:pStyle w:val="Footer"/>
      <w:jc w:val="center"/>
      <w:rPr>
        <w:rFonts w:ascii="Book Antiqua" w:hAnsi="Book Antiqua" w:cs="Arial"/>
      </w:rPr>
    </w:pPr>
    <w:r w:rsidRPr="00395009">
      <w:rPr>
        <w:rStyle w:val="PageNumber"/>
        <w:rFonts w:ascii="Book Antiqua" w:hAnsi="Book Antiqua" w:cs="Arial"/>
      </w:rPr>
      <w:fldChar w:fldCharType="begin"/>
    </w:r>
    <w:r w:rsidRPr="00395009">
      <w:rPr>
        <w:rStyle w:val="PageNumber"/>
        <w:rFonts w:ascii="Book Antiqua" w:hAnsi="Book Antiqua" w:cs="Arial"/>
      </w:rPr>
      <w:instrText xml:space="preserve"> PAGE </w:instrText>
    </w:r>
    <w:r w:rsidRPr="00395009">
      <w:rPr>
        <w:rStyle w:val="PageNumber"/>
        <w:rFonts w:ascii="Book Antiqua" w:hAnsi="Book Antiqua" w:cs="Arial"/>
      </w:rPr>
      <w:fldChar w:fldCharType="separate"/>
    </w:r>
    <w:r w:rsidR="00261A1B">
      <w:rPr>
        <w:rStyle w:val="PageNumber"/>
        <w:rFonts w:ascii="Book Antiqua" w:hAnsi="Book Antiqua" w:cs="Arial"/>
        <w:noProof/>
      </w:rPr>
      <w:t>6</w:t>
    </w:r>
    <w:r w:rsidRPr="0039500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395009" w:rsidRDefault="00F75541" w:rsidP="00614E94">
    <w:pPr>
      <w:jc w:val="center"/>
      <w:rPr>
        <w:rFonts w:ascii="Book Antiqua" w:hAnsi="Book Antiqua" w:cs="Arial"/>
        <w:b/>
      </w:rPr>
    </w:pPr>
    <w:r w:rsidRPr="00395009">
      <w:rPr>
        <w:rFonts w:ascii="Book Antiqua" w:hAnsi="Book Antiqua" w:cs="Arial"/>
        <w:b/>
        <w:spacing w:val="-6"/>
      </w:rPr>
      <w:t>©</w:t>
    </w:r>
    <w:r w:rsidR="00816668" w:rsidRPr="0039500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41D" w:rsidRDefault="00D1241D">
      <w:r>
        <w:separator/>
      </w:r>
    </w:p>
  </w:footnote>
  <w:footnote w:type="continuationSeparator" w:id="0">
    <w:p w:rsidR="00D1241D" w:rsidRDefault="00D12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9E8" w:rsidRPr="00C829E8" w:rsidRDefault="00F75541" w:rsidP="00C829E8">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C829E8" w:rsidRPr="00C829E8">
      <w:rPr>
        <w:rFonts w:ascii="Book Antiqua" w:hAnsi="Book Antiqua" w:cs="Arial"/>
        <w:color w:val="000000"/>
        <w:sz w:val="16"/>
        <w:szCs w:val="16"/>
      </w:rPr>
      <w:t>EA/07824/2016</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4FF6"/>
    <w:multiLevelType w:val="hybridMultilevel"/>
    <w:tmpl w:val="55F030CA"/>
    <w:lvl w:ilvl="0" w:tplc="9CBC890C">
      <w:start w:val="1"/>
      <w:numFmt w:val="decimal"/>
      <w:lvlText w:val="%1."/>
      <w:lvlJc w:val="left"/>
      <w:pPr>
        <w:tabs>
          <w:tab w:val="num" w:pos="930"/>
        </w:tabs>
        <w:ind w:left="930" w:hanging="570"/>
      </w:pPr>
    </w:lvl>
    <w:lvl w:ilvl="1" w:tplc="23CA73C2">
      <w:start w:val="1"/>
      <w:numFmt w:val="lowerLetter"/>
      <w:lvlText w:val="(%2)"/>
      <w:lvlJc w:val="left"/>
      <w:pPr>
        <w:tabs>
          <w:tab w:val="num" w:pos="1680"/>
        </w:tabs>
        <w:ind w:left="1680" w:hanging="60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1"/>
  </w:num>
  <w:num w:numId="3">
    <w:abstractNumId w:val="3"/>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134E0"/>
    <w:rsid w:val="00047060"/>
    <w:rsid w:val="00056E7C"/>
    <w:rsid w:val="00057B76"/>
    <w:rsid w:val="000644CE"/>
    <w:rsid w:val="00077DF1"/>
    <w:rsid w:val="000D0603"/>
    <w:rsid w:val="001005B1"/>
    <w:rsid w:val="00115648"/>
    <w:rsid w:val="00141ADD"/>
    <w:rsid w:val="00180313"/>
    <w:rsid w:val="00194FB4"/>
    <w:rsid w:val="001A14A2"/>
    <w:rsid w:val="001A373D"/>
    <w:rsid w:val="001B7E94"/>
    <w:rsid w:val="001C2435"/>
    <w:rsid w:val="00200671"/>
    <w:rsid w:val="00200E16"/>
    <w:rsid w:val="0020576B"/>
    <w:rsid w:val="00230F03"/>
    <w:rsid w:val="002461AC"/>
    <w:rsid w:val="00261A1B"/>
    <w:rsid w:val="00266FFE"/>
    <w:rsid w:val="00270D89"/>
    <w:rsid w:val="00272712"/>
    <w:rsid w:val="00283720"/>
    <w:rsid w:val="002859E3"/>
    <w:rsid w:val="00294F41"/>
    <w:rsid w:val="002F6D78"/>
    <w:rsid w:val="003012C3"/>
    <w:rsid w:val="003049FE"/>
    <w:rsid w:val="00345182"/>
    <w:rsid w:val="003627B5"/>
    <w:rsid w:val="0037635A"/>
    <w:rsid w:val="00395009"/>
    <w:rsid w:val="00396F7B"/>
    <w:rsid w:val="003B36AE"/>
    <w:rsid w:val="004044E6"/>
    <w:rsid w:val="00405694"/>
    <w:rsid w:val="00407E66"/>
    <w:rsid w:val="004171D0"/>
    <w:rsid w:val="00426F9F"/>
    <w:rsid w:val="00455881"/>
    <w:rsid w:val="00497CC7"/>
    <w:rsid w:val="004A012D"/>
    <w:rsid w:val="004C0997"/>
    <w:rsid w:val="004F4BE7"/>
    <w:rsid w:val="004F56BD"/>
    <w:rsid w:val="005042B8"/>
    <w:rsid w:val="00546523"/>
    <w:rsid w:val="00554E23"/>
    <w:rsid w:val="0057020B"/>
    <w:rsid w:val="005819E4"/>
    <w:rsid w:val="005907D8"/>
    <w:rsid w:val="00596EEB"/>
    <w:rsid w:val="00614E94"/>
    <w:rsid w:val="00631E34"/>
    <w:rsid w:val="006515ED"/>
    <w:rsid w:val="00662048"/>
    <w:rsid w:val="0068059E"/>
    <w:rsid w:val="006A364A"/>
    <w:rsid w:val="006B6D20"/>
    <w:rsid w:val="00731039"/>
    <w:rsid w:val="0073630A"/>
    <w:rsid w:val="0077187A"/>
    <w:rsid w:val="007B09CD"/>
    <w:rsid w:val="00803CD0"/>
    <w:rsid w:val="008122EC"/>
    <w:rsid w:val="0081361B"/>
    <w:rsid w:val="00816668"/>
    <w:rsid w:val="00821972"/>
    <w:rsid w:val="008832E8"/>
    <w:rsid w:val="0089521E"/>
    <w:rsid w:val="008A3B24"/>
    <w:rsid w:val="008B05FC"/>
    <w:rsid w:val="008C020A"/>
    <w:rsid w:val="008E01FB"/>
    <w:rsid w:val="008F0F73"/>
    <w:rsid w:val="00933B65"/>
    <w:rsid w:val="009346E4"/>
    <w:rsid w:val="0094479E"/>
    <w:rsid w:val="009620B7"/>
    <w:rsid w:val="009701EB"/>
    <w:rsid w:val="009942DD"/>
    <w:rsid w:val="009A3C36"/>
    <w:rsid w:val="009D5EB6"/>
    <w:rsid w:val="009F0334"/>
    <w:rsid w:val="00A03E4C"/>
    <w:rsid w:val="00A472B6"/>
    <w:rsid w:val="00A57676"/>
    <w:rsid w:val="00A621AC"/>
    <w:rsid w:val="00A7051D"/>
    <w:rsid w:val="00A70F8E"/>
    <w:rsid w:val="00A86A8D"/>
    <w:rsid w:val="00AB1DC6"/>
    <w:rsid w:val="00AB703E"/>
    <w:rsid w:val="00B85A16"/>
    <w:rsid w:val="00B866B0"/>
    <w:rsid w:val="00B87CE6"/>
    <w:rsid w:val="00B9638A"/>
    <w:rsid w:val="00BB40C3"/>
    <w:rsid w:val="00BC1C2A"/>
    <w:rsid w:val="00C51876"/>
    <w:rsid w:val="00C56E05"/>
    <w:rsid w:val="00C61D30"/>
    <w:rsid w:val="00C734AF"/>
    <w:rsid w:val="00C80124"/>
    <w:rsid w:val="00C829E8"/>
    <w:rsid w:val="00C91E16"/>
    <w:rsid w:val="00C9581A"/>
    <w:rsid w:val="00CE5C94"/>
    <w:rsid w:val="00CF2453"/>
    <w:rsid w:val="00D1241D"/>
    <w:rsid w:val="00D25C76"/>
    <w:rsid w:val="00D3274C"/>
    <w:rsid w:val="00D36F32"/>
    <w:rsid w:val="00D40718"/>
    <w:rsid w:val="00D50F8E"/>
    <w:rsid w:val="00D66967"/>
    <w:rsid w:val="00DA52F3"/>
    <w:rsid w:val="00DE3D56"/>
    <w:rsid w:val="00E15512"/>
    <w:rsid w:val="00E2527C"/>
    <w:rsid w:val="00E468D9"/>
    <w:rsid w:val="00E63B55"/>
    <w:rsid w:val="00E96B33"/>
    <w:rsid w:val="00EC0B4A"/>
    <w:rsid w:val="00ED1E61"/>
    <w:rsid w:val="00F45812"/>
    <w:rsid w:val="00F54D20"/>
    <w:rsid w:val="00F6401B"/>
    <w:rsid w:val="00F648C0"/>
    <w:rsid w:val="00F66C52"/>
    <w:rsid w:val="00F67B43"/>
    <w:rsid w:val="00F75541"/>
    <w:rsid w:val="00F8752A"/>
    <w:rsid w:val="00FA0A2E"/>
    <w:rsid w:val="00FB0516"/>
    <w:rsid w:val="00FE1DF5"/>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41C77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322">
      <w:bodyDiv w:val="1"/>
      <w:marLeft w:val="0"/>
      <w:marRight w:val="0"/>
      <w:marTop w:val="0"/>
      <w:marBottom w:val="0"/>
      <w:divBdr>
        <w:top w:val="none" w:sz="0" w:space="0" w:color="auto"/>
        <w:left w:val="none" w:sz="0" w:space="0" w:color="auto"/>
        <w:bottom w:val="none" w:sz="0" w:space="0" w:color="auto"/>
        <w:right w:val="none" w:sz="0" w:space="0" w:color="auto"/>
      </w:divBdr>
    </w:div>
    <w:div w:id="753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2784</Words>
  <Characters>14213</Characters>
  <Application>Microsoft Office Word</Application>
  <DocSecurity>0</DocSecurity>
  <Lines>118</Lines>
  <Paragraphs>33</Paragraphs>
  <ScaleCrop>false</ScaleCrop>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2018-09-21T15:12:00Z</dcterms:created>
  <dcterms:modified xsi:type="dcterms:W3CDTF">2018-09-21T15:12:00Z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