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1C321C"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CB322B">
        <w:rPr>
          <w:rFonts w:ascii="Book Antiqua" w:hAnsi="Book Antiqua" w:cs="Arial"/>
          <w:b/>
          <w:color w:val="000000"/>
        </w:rPr>
        <w:t xml:space="preserve">         </w:t>
      </w:r>
      <w:r w:rsidRPr="00F97703">
        <w:rPr>
          <w:rFonts w:ascii="Book Antiqua" w:hAnsi="Book Antiqua" w:cs="Arial"/>
          <w:b/>
          <w:color w:val="000000"/>
        </w:rPr>
        <w:tab/>
      </w:r>
      <w:r w:rsidRPr="00F97703">
        <w:rPr>
          <w:rFonts w:ascii="Book Antiqua" w:hAnsi="Book Antiqua" w:cs="Arial"/>
          <w:color w:val="000000"/>
        </w:rPr>
        <w:t>Appeal Number</w:t>
      </w:r>
      <w:r w:rsidR="00CB322B">
        <w:rPr>
          <w:rFonts w:ascii="Book Antiqua" w:hAnsi="Book Antiqua" w:cs="Arial"/>
          <w:color w:val="000000"/>
        </w:rPr>
        <w:t>s</w:t>
      </w:r>
      <w:r w:rsidRPr="00F97703">
        <w:rPr>
          <w:rFonts w:ascii="Book Antiqua" w:hAnsi="Book Antiqua" w:cs="Arial"/>
          <w:color w:val="000000"/>
        </w:rPr>
        <w:t>:</w:t>
      </w:r>
      <w:r w:rsidR="00306EE9">
        <w:rPr>
          <w:rFonts w:ascii="Book Antiqua" w:hAnsi="Book Antiqua" w:cs="Arial"/>
          <w:color w:val="000000"/>
        </w:rPr>
        <w:t xml:space="preserve"> </w:t>
      </w:r>
      <w:r w:rsidR="00931984">
        <w:rPr>
          <w:rFonts w:ascii="Book Antiqua" w:hAnsi="Book Antiqua" w:cs="Arial"/>
          <w:color w:val="000000"/>
        </w:rPr>
        <w:t>EA</w:t>
      </w:r>
      <w:r w:rsidR="00306EE9">
        <w:rPr>
          <w:rFonts w:ascii="Book Antiqua" w:hAnsi="Book Antiqua" w:cs="Arial"/>
          <w:color w:val="000000"/>
        </w:rPr>
        <w:t>/</w:t>
      </w:r>
      <w:r w:rsidR="00931984">
        <w:rPr>
          <w:rFonts w:ascii="Book Antiqua" w:hAnsi="Book Antiqua" w:cs="Arial"/>
          <w:color w:val="000000"/>
        </w:rPr>
        <w:t>07966</w:t>
      </w:r>
      <w:r w:rsidR="00CB322B">
        <w:rPr>
          <w:rFonts w:ascii="Book Antiqua" w:hAnsi="Book Antiqua" w:cs="Arial"/>
          <w:color w:val="000000"/>
        </w:rPr>
        <w:t>/</w:t>
      </w:r>
      <w:r w:rsidR="002A6C7D">
        <w:rPr>
          <w:rFonts w:ascii="Book Antiqua" w:hAnsi="Book Antiqua" w:cs="Arial"/>
          <w:color w:val="000000"/>
        </w:rPr>
        <w:t>20</w:t>
      </w:r>
      <w:r w:rsidR="007D6500">
        <w:rPr>
          <w:rFonts w:ascii="Book Antiqua" w:hAnsi="Book Antiqua" w:cs="Arial"/>
          <w:color w:val="000000"/>
        </w:rPr>
        <w:t>1</w:t>
      </w:r>
      <w:r w:rsidR="00931984">
        <w:rPr>
          <w:rFonts w:ascii="Book Antiqua" w:hAnsi="Book Antiqua" w:cs="Arial"/>
          <w:color w:val="000000"/>
        </w:rPr>
        <w:t>7</w:t>
      </w:r>
      <w:r w:rsidR="00CB322B">
        <w:rPr>
          <w:rFonts w:ascii="Book Antiqua" w:hAnsi="Book Antiqua" w:cs="Arial"/>
          <w:color w:val="000000"/>
        </w:rPr>
        <w:t xml:space="preserve"> &amp; </w:t>
      </w:r>
      <w:r w:rsidR="002A6C7D">
        <w:rPr>
          <w:rFonts w:ascii="Book Antiqua" w:hAnsi="Book Antiqua" w:cs="Arial"/>
          <w:color w:val="000000"/>
        </w:rPr>
        <w:tab/>
      </w:r>
      <w:r w:rsidR="00CB322B">
        <w:rPr>
          <w:rFonts w:ascii="Book Antiqua" w:hAnsi="Book Antiqua" w:cs="Arial"/>
          <w:color w:val="000000"/>
        </w:rPr>
        <w:t>EA/08394/</w:t>
      </w:r>
      <w:r w:rsidR="002A6C7D">
        <w:rPr>
          <w:rFonts w:ascii="Book Antiqua" w:hAnsi="Book Antiqua" w:cs="Arial"/>
          <w:color w:val="000000"/>
        </w:rPr>
        <w:t>20</w:t>
      </w:r>
      <w:r w:rsidR="00CB322B">
        <w:rPr>
          <w:rFonts w:ascii="Book Antiqua" w:hAnsi="Book Antiqua" w:cs="Arial"/>
          <w:color w:val="000000"/>
        </w:rPr>
        <w:t>17</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10788" w:type="dxa"/>
        <w:tblLook w:val="01E0" w:firstRow="1" w:lastRow="1" w:firstColumn="1" w:lastColumn="1" w:noHBand="0" w:noVBand="0"/>
      </w:tblPr>
      <w:tblGrid>
        <w:gridCol w:w="6639"/>
        <w:gridCol w:w="4149"/>
      </w:tblGrid>
      <w:tr w:rsidR="00933B65" w:rsidRPr="003B5957" w:rsidTr="00593FBC">
        <w:trPr>
          <w:trHeight w:val="389"/>
        </w:trPr>
        <w:tc>
          <w:tcPr>
            <w:tcW w:w="6639"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4149" w:type="dxa"/>
            <w:shd w:val="clear" w:color="auto" w:fill="auto"/>
          </w:tcPr>
          <w:p w:rsidR="00933B65" w:rsidRPr="003B5957" w:rsidRDefault="00593FBC" w:rsidP="003B5957">
            <w:pPr>
              <w:jc w:val="both"/>
              <w:rPr>
                <w:rFonts w:ascii="Book Antiqua" w:hAnsi="Book Antiqua" w:cs="Arial"/>
                <w:b/>
                <w:color w:val="000000"/>
              </w:rPr>
            </w:pPr>
            <w:r>
              <w:rPr>
                <w:rFonts w:ascii="Book Antiqua" w:hAnsi="Book Antiqua" w:cs="Arial"/>
                <w:b/>
                <w:color w:val="000000"/>
              </w:rPr>
              <w:t xml:space="preserve">Decision &amp; Reasons </w:t>
            </w:r>
            <w:r w:rsidR="00933B65" w:rsidRPr="003B5957">
              <w:rPr>
                <w:rFonts w:ascii="Book Antiqua" w:hAnsi="Book Antiqua" w:cs="Arial"/>
                <w:b/>
                <w:color w:val="000000"/>
              </w:rPr>
              <w:t>Promulgated</w:t>
            </w:r>
          </w:p>
        </w:tc>
      </w:tr>
      <w:tr w:rsidR="00933B65" w:rsidRPr="003B5957" w:rsidTr="00593FBC">
        <w:trPr>
          <w:trHeight w:val="389"/>
        </w:trPr>
        <w:tc>
          <w:tcPr>
            <w:tcW w:w="6639"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 xml:space="preserve">On </w:t>
            </w:r>
            <w:r w:rsidR="00931984">
              <w:rPr>
                <w:rFonts w:ascii="Book Antiqua" w:hAnsi="Book Antiqua" w:cs="Arial"/>
                <w:b/>
              </w:rPr>
              <w:t>10</w:t>
            </w:r>
            <w:r w:rsidR="00931984" w:rsidRPr="00931984">
              <w:rPr>
                <w:rFonts w:ascii="Book Antiqua" w:hAnsi="Book Antiqua" w:cs="Arial"/>
                <w:b/>
                <w:vertAlign w:val="superscript"/>
              </w:rPr>
              <w:t>th</w:t>
            </w:r>
            <w:r w:rsidR="00931984">
              <w:rPr>
                <w:rFonts w:ascii="Book Antiqua" w:hAnsi="Book Antiqua" w:cs="Arial"/>
                <w:b/>
              </w:rPr>
              <w:t xml:space="preserve"> July</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4149" w:type="dxa"/>
            <w:shd w:val="clear" w:color="auto" w:fill="auto"/>
          </w:tcPr>
          <w:p w:rsidR="00933B65" w:rsidRPr="003B5957" w:rsidRDefault="00593FBC" w:rsidP="003B5957">
            <w:pPr>
              <w:jc w:val="both"/>
              <w:rPr>
                <w:rFonts w:ascii="Book Antiqua" w:hAnsi="Book Antiqua" w:cs="Arial"/>
                <w:b/>
              </w:rPr>
            </w:pPr>
            <w:r>
              <w:rPr>
                <w:rFonts w:ascii="Book Antiqua" w:hAnsi="Book Antiqua" w:cs="Arial"/>
                <w:b/>
              </w:rPr>
              <w:t>On 17</w:t>
            </w:r>
            <w:r w:rsidRPr="00593FBC">
              <w:rPr>
                <w:rFonts w:ascii="Book Antiqua" w:hAnsi="Book Antiqua" w:cs="Arial"/>
                <w:b/>
                <w:vertAlign w:val="superscript"/>
              </w:rPr>
              <w:t>th</w:t>
            </w:r>
            <w:r>
              <w:rPr>
                <w:rFonts w:ascii="Book Antiqua" w:hAnsi="Book Antiqua" w:cs="Arial"/>
                <w:b/>
              </w:rPr>
              <w:t xml:space="preserve"> July 2018</w:t>
            </w:r>
          </w:p>
        </w:tc>
      </w:tr>
      <w:tr w:rsidR="00933B65" w:rsidRPr="003B5957" w:rsidTr="00593FBC">
        <w:trPr>
          <w:trHeight w:val="389"/>
        </w:trPr>
        <w:tc>
          <w:tcPr>
            <w:tcW w:w="6639" w:type="dxa"/>
            <w:shd w:val="clear" w:color="auto" w:fill="auto"/>
          </w:tcPr>
          <w:p w:rsidR="00933B65" w:rsidRPr="003B5957" w:rsidRDefault="00933B65" w:rsidP="003B5957">
            <w:pPr>
              <w:jc w:val="both"/>
              <w:rPr>
                <w:rFonts w:ascii="Book Antiqua" w:hAnsi="Book Antiqua" w:cs="Arial"/>
                <w:b/>
              </w:rPr>
            </w:pPr>
          </w:p>
        </w:tc>
        <w:tc>
          <w:tcPr>
            <w:tcW w:w="4149" w:type="dxa"/>
            <w:shd w:val="clear" w:color="auto" w:fill="auto"/>
          </w:tcPr>
          <w:p w:rsidR="00933B65" w:rsidRPr="003B5957" w:rsidRDefault="00933B65" w:rsidP="003B5957">
            <w:pPr>
              <w:jc w:val="both"/>
              <w:rPr>
                <w:rFonts w:ascii="Book Antiqua" w:hAnsi="Book Antiqua" w:cs="Arial"/>
                <w:b/>
              </w:rPr>
            </w:pPr>
          </w:p>
        </w:tc>
      </w:tr>
    </w:tbl>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1984" w:rsidRDefault="00931984" w:rsidP="00933B65">
      <w:pPr>
        <w:jc w:val="center"/>
        <w:rPr>
          <w:rFonts w:ascii="Book Antiqua" w:hAnsi="Book Antiqua" w:cs="Arial"/>
          <w:b/>
        </w:rPr>
      </w:pPr>
    </w:p>
    <w:p w:rsidR="007D6500" w:rsidRDefault="00931984" w:rsidP="00933B65">
      <w:pPr>
        <w:jc w:val="center"/>
        <w:rPr>
          <w:rFonts w:ascii="Book Antiqua" w:hAnsi="Book Antiqua" w:cs="Arial"/>
          <w:b/>
        </w:rPr>
      </w:pPr>
      <w:r>
        <w:rPr>
          <w:rFonts w:ascii="Book Antiqua" w:hAnsi="Book Antiqua" w:cs="Arial"/>
          <w:b/>
        </w:rPr>
        <w:t xml:space="preserve">SAID </w:t>
      </w:r>
      <w:r w:rsidR="00FE6EB8">
        <w:rPr>
          <w:rFonts w:ascii="Book Antiqua" w:hAnsi="Book Antiqua" w:cs="Arial"/>
          <w:b/>
        </w:rPr>
        <w:t>[</w:t>
      </w:r>
      <w:r>
        <w:rPr>
          <w:rFonts w:ascii="Book Antiqua" w:hAnsi="Book Antiqua" w:cs="Arial"/>
          <w:b/>
        </w:rPr>
        <w:t>E</w:t>
      </w:r>
      <w:r w:rsidR="00FE6EB8">
        <w:rPr>
          <w:rFonts w:ascii="Book Antiqua" w:hAnsi="Book Antiqua" w:cs="Arial"/>
          <w:b/>
        </w:rPr>
        <w:t xml:space="preserve">] </w:t>
      </w:r>
      <w:r>
        <w:rPr>
          <w:rFonts w:ascii="Book Antiqua" w:hAnsi="Book Antiqua" w:cs="Arial"/>
          <w:b/>
        </w:rPr>
        <w:t>(1)</w:t>
      </w:r>
    </w:p>
    <w:p w:rsidR="00931984" w:rsidRDefault="00931984" w:rsidP="00933B65">
      <w:pPr>
        <w:jc w:val="center"/>
        <w:rPr>
          <w:rFonts w:ascii="Book Antiqua" w:hAnsi="Book Antiqua" w:cs="Arial"/>
          <w:b/>
        </w:rPr>
      </w:pPr>
      <w:r>
        <w:rPr>
          <w:rFonts w:ascii="Book Antiqua" w:hAnsi="Book Antiqua" w:cs="Arial"/>
          <w:b/>
        </w:rPr>
        <w:t xml:space="preserve">MADALINA </w:t>
      </w:r>
      <w:r w:rsidR="00FE6EB8">
        <w:rPr>
          <w:rFonts w:ascii="Book Antiqua" w:hAnsi="Book Antiqua" w:cs="Arial"/>
          <w:b/>
        </w:rPr>
        <w:t>[</w:t>
      </w:r>
      <w:r>
        <w:rPr>
          <w:rFonts w:ascii="Book Antiqua" w:hAnsi="Book Antiqua" w:cs="Arial"/>
          <w:b/>
        </w:rPr>
        <w:t>F</w:t>
      </w:r>
      <w:r w:rsidR="00FE6EB8">
        <w:rPr>
          <w:rFonts w:ascii="Book Antiqua" w:hAnsi="Book Antiqua" w:cs="Arial"/>
          <w:b/>
        </w:rPr>
        <w:t xml:space="preserve">] </w:t>
      </w:r>
      <w:r>
        <w:rPr>
          <w:rFonts w:ascii="Book Antiqua" w:hAnsi="Book Antiqua" w:cs="Arial"/>
          <w:b/>
        </w:rPr>
        <w:t>(2)</w:t>
      </w:r>
    </w:p>
    <w:p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w:t>
      </w:r>
      <w:r w:rsidR="00931984">
        <w:rPr>
          <w:rFonts w:ascii="Book Antiqua" w:hAnsi="Book Antiqua" w:cs="Arial"/>
          <w:b/>
        </w:rPr>
        <w:t xml:space="preserve"> NOT</w:t>
      </w:r>
      <w:r w:rsidR="00306EE9">
        <w:rPr>
          <w:rFonts w:ascii="Book Antiqua" w:hAnsi="Book Antiqua" w:cs="Arial"/>
          <w:b/>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r w:rsidR="00CB322B">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0"/>
    </w:p>
    <w:p w:rsidR="007D6500" w:rsidRPr="00F97703" w:rsidRDefault="007D6500" w:rsidP="007D6500">
      <w:pPr>
        <w:jc w:val="center"/>
        <w:rPr>
          <w:rFonts w:ascii="Book Antiqua" w:hAnsi="Book Antiqua" w:cs="Arial"/>
          <w:b/>
        </w:rPr>
      </w:pPr>
    </w:p>
    <w:p w:rsidR="00933B65" w:rsidRPr="00F97703" w:rsidRDefault="00933B65" w:rsidP="00933B65">
      <w:pPr>
        <w:jc w:val="center"/>
        <w:rPr>
          <w:rFonts w:ascii="Book Antiqua" w:hAnsi="Book Antiqua" w:cs="Arial"/>
          <w:b/>
        </w:rPr>
      </w:pP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E233FE">
        <w:rPr>
          <w:rFonts w:ascii="Book Antiqua" w:hAnsi="Book Antiqua" w:cs="Arial"/>
        </w:rPr>
        <w:t>r R Jones, of Counsel,</w:t>
      </w:r>
      <w:r w:rsidR="00546523">
        <w:rPr>
          <w:rFonts w:ascii="Book Antiqua" w:hAnsi="Book Antiqua" w:cs="Arial"/>
        </w:rPr>
        <w:t xml:space="preserve"> </w:t>
      </w:r>
      <w:r>
        <w:rPr>
          <w:rFonts w:ascii="Book Antiqua" w:hAnsi="Book Antiqua" w:cs="Arial"/>
        </w:rPr>
        <w:t>instructed by</w:t>
      </w:r>
      <w:r w:rsidR="00931984">
        <w:rPr>
          <w:rFonts w:ascii="Book Antiqua" w:hAnsi="Book Antiqua" w:cs="Arial"/>
        </w:rPr>
        <w:t xml:space="preserve"> HS Legal</w:t>
      </w:r>
      <w:r w:rsidR="00306EE9">
        <w:rPr>
          <w:rFonts w:ascii="Book Antiqua" w:hAnsi="Book Antiqua" w:cs="Arial"/>
        </w:rPr>
        <w:t xml:space="preserve"> Solicitors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E233FE">
        <w:rPr>
          <w:rFonts w:ascii="Book Antiqua" w:hAnsi="Book Antiqua" w:cs="Arial"/>
        </w:rPr>
        <w:t>r N Bramble,</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546523" w:rsidRPr="00546523" w:rsidRDefault="00546523" w:rsidP="00546523">
      <w:pPr>
        <w:tabs>
          <w:tab w:val="left" w:pos="567"/>
        </w:tabs>
        <w:ind w:left="567"/>
        <w:jc w:val="both"/>
        <w:rPr>
          <w:rFonts w:ascii="Book Antiqua" w:hAnsi="Book Antiqua" w:cs="Arial"/>
          <w:i/>
        </w:rPr>
      </w:pPr>
    </w:p>
    <w:p w:rsidR="00546523" w:rsidRPr="003B12DA" w:rsidRDefault="00CB322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first appellant is a </w:t>
      </w:r>
      <w:r w:rsidR="00546523">
        <w:rPr>
          <w:rFonts w:ascii="Book Antiqua" w:hAnsi="Book Antiqua" w:cs="Arial"/>
        </w:rPr>
        <w:t>citizen of</w:t>
      </w:r>
      <w:r>
        <w:rPr>
          <w:rFonts w:ascii="Book Antiqua" w:hAnsi="Book Antiqua" w:cs="Arial"/>
        </w:rPr>
        <w:t xml:space="preserve"> Egypt and the second appellant is a citizen of Romania. They were married on 24</w:t>
      </w:r>
      <w:r w:rsidRPr="00CB322B">
        <w:rPr>
          <w:rFonts w:ascii="Book Antiqua" w:hAnsi="Book Antiqua" w:cs="Arial"/>
          <w:vertAlign w:val="superscript"/>
        </w:rPr>
        <w:t>th</w:t>
      </w:r>
      <w:r>
        <w:rPr>
          <w:rFonts w:ascii="Book Antiqua" w:hAnsi="Book Antiqua" w:cs="Arial"/>
        </w:rPr>
        <w:t xml:space="preserve"> February 2017. The first appellant entered the </w:t>
      </w:r>
      <w:r>
        <w:rPr>
          <w:rFonts w:ascii="Book Antiqua" w:hAnsi="Book Antiqua" w:cs="Arial"/>
        </w:rPr>
        <w:lastRenderedPageBreak/>
        <w:t>UK illegally</w:t>
      </w:r>
      <w:r w:rsidR="009C5950">
        <w:rPr>
          <w:rFonts w:ascii="Book Antiqua" w:hAnsi="Book Antiqua" w:cs="Arial"/>
        </w:rPr>
        <w:t xml:space="preserve"> in a container</w:t>
      </w:r>
      <w:r>
        <w:rPr>
          <w:rFonts w:ascii="Book Antiqua" w:hAnsi="Book Antiqua" w:cs="Arial"/>
        </w:rPr>
        <w:t xml:space="preserve"> from France in 2014. He applied initially to remain as the dependent of his brother’s Greek wife but this was refused in 2016. He made an application for a residence card based on his marriage on 20</w:t>
      </w:r>
      <w:r w:rsidRPr="00CB322B">
        <w:rPr>
          <w:rFonts w:ascii="Book Antiqua" w:hAnsi="Book Antiqua" w:cs="Arial"/>
          <w:vertAlign w:val="superscript"/>
        </w:rPr>
        <w:t>th</w:t>
      </w:r>
      <w:r>
        <w:rPr>
          <w:rFonts w:ascii="Book Antiqua" w:hAnsi="Book Antiqua" w:cs="Arial"/>
        </w:rPr>
        <w:t xml:space="preserve"> March 2017. The second appellant</w:t>
      </w:r>
      <w:r w:rsidR="006054E1">
        <w:rPr>
          <w:rFonts w:ascii="Book Antiqua" w:hAnsi="Book Antiqua" w:cs="Arial"/>
        </w:rPr>
        <w:t>, his wife,</w:t>
      </w:r>
      <w:r>
        <w:rPr>
          <w:rFonts w:ascii="Book Antiqua" w:hAnsi="Book Antiqua" w:cs="Arial"/>
        </w:rPr>
        <w:t xml:space="preserve"> applied at the same time for a registration card. The first appellant’s application was refused on the basis the marriage was one of convenience</w:t>
      </w:r>
      <w:r w:rsidR="009C5950" w:rsidRPr="009C5950">
        <w:rPr>
          <w:rFonts w:ascii="Book Antiqua" w:hAnsi="Book Antiqua" w:cs="Arial"/>
        </w:rPr>
        <w:t xml:space="preserve"> </w:t>
      </w:r>
      <w:r w:rsidR="009C5950">
        <w:rPr>
          <w:rFonts w:ascii="Book Antiqua" w:hAnsi="Book Antiqua" w:cs="Arial"/>
        </w:rPr>
        <w:t>on 1</w:t>
      </w:r>
      <w:r w:rsidR="009C5950" w:rsidRPr="00CB322B">
        <w:rPr>
          <w:rFonts w:ascii="Book Antiqua" w:hAnsi="Book Antiqua" w:cs="Arial"/>
          <w:vertAlign w:val="superscript"/>
        </w:rPr>
        <w:t>st</w:t>
      </w:r>
      <w:r w:rsidR="009C5950">
        <w:rPr>
          <w:rFonts w:ascii="Book Antiqua" w:hAnsi="Book Antiqua" w:cs="Arial"/>
        </w:rPr>
        <w:t xml:space="preserve"> September 2017</w:t>
      </w:r>
      <w:r>
        <w:rPr>
          <w:rFonts w:ascii="Book Antiqua" w:hAnsi="Book Antiqua" w:cs="Arial"/>
        </w:rPr>
        <w:t>, and the second appellant’s application was refused on the basis that she had misused her EEA rights</w:t>
      </w:r>
      <w:r w:rsidR="009C5950">
        <w:rPr>
          <w:rFonts w:ascii="Book Antiqua" w:hAnsi="Book Antiqua" w:cs="Arial"/>
        </w:rPr>
        <w:t xml:space="preserve"> on 18</w:t>
      </w:r>
      <w:r w:rsidR="009C5950" w:rsidRPr="009C5950">
        <w:rPr>
          <w:rFonts w:ascii="Book Antiqua" w:hAnsi="Book Antiqua" w:cs="Arial"/>
          <w:vertAlign w:val="superscript"/>
        </w:rPr>
        <w:t>th</w:t>
      </w:r>
      <w:r w:rsidR="009C5950">
        <w:rPr>
          <w:rFonts w:ascii="Book Antiqua" w:hAnsi="Book Antiqua" w:cs="Arial"/>
        </w:rPr>
        <w:t xml:space="preserve"> October 2017</w:t>
      </w:r>
      <w:r>
        <w:rPr>
          <w:rFonts w:ascii="Book Antiqua" w:hAnsi="Book Antiqua" w:cs="Arial"/>
        </w:rPr>
        <w:t xml:space="preserve">. </w:t>
      </w:r>
      <w:r w:rsidR="009C5950">
        <w:rPr>
          <w:rFonts w:ascii="Book Antiqua" w:hAnsi="Book Antiqua" w:cs="Arial"/>
        </w:rPr>
        <w:t xml:space="preserve">Their </w:t>
      </w:r>
      <w:r>
        <w:rPr>
          <w:rFonts w:ascii="Book Antiqua" w:hAnsi="Book Antiqua" w:cs="Arial"/>
        </w:rPr>
        <w:t xml:space="preserve">appeal against the decision </w:t>
      </w:r>
      <w:r w:rsidR="00546523">
        <w:rPr>
          <w:rFonts w:ascii="Book Antiqua" w:hAnsi="Book Antiqua" w:cs="Arial"/>
        </w:rPr>
        <w:t>was dismissed by First-tier Tribunal Judge</w:t>
      </w:r>
      <w:r>
        <w:rPr>
          <w:rFonts w:ascii="Book Antiqua" w:hAnsi="Book Antiqua" w:cs="Arial"/>
        </w:rPr>
        <w:t xml:space="preserve"> Oxlade </w:t>
      </w:r>
      <w:r w:rsidR="00546523">
        <w:rPr>
          <w:rFonts w:ascii="Book Antiqua" w:hAnsi="Book Antiqua" w:cs="Arial"/>
        </w:rPr>
        <w:t>in a determination promulgated on the</w:t>
      </w:r>
      <w:r>
        <w:rPr>
          <w:rFonts w:ascii="Book Antiqua" w:hAnsi="Book Antiqua" w:cs="Arial"/>
        </w:rPr>
        <w:t xml:space="preserve"> 1</w:t>
      </w:r>
      <w:r w:rsidRPr="00CB322B">
        <w:rPr>
          <w:rFonts w:ascii="Book Antiqua" w:hAnsi="Book Antiqua" w:cs="Arial"/>
          <w:vertAlign w:val="superscript"/>
        </w:rPr>
        <w:t>st</w:t>
      </w:r>
      <w:r>
        <w:rPr>
          <w:rFonts w:ascii="Book Antiqua" w:hAnsi="Book Antiqua" w:cs="Arial"/>
        </w:rPr>
        <w:t xml:space="preserve"> December 2017</w:t>
      </w:r>
      <w:r w:rsidR="009C5950">
        <w:rPr>
          <w:rFonts w:ascii="Book Antiqua" w:hAnsi="Book Antiqua" w:cs="Arial"/>
        </w:rPr>
        <w:t>.</w:t>
      </w:r>
      <w:r w:rsidR="00546523">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9C5950">
        <w:rPr>
          <w:rFonts w:ascii="Book Antiqua" w:hAnsi="Book Antiqua" w:cs="Arial"/>
        </w:rPr>
        <w:t xml:space="preserve"> by Upper Tribunal Judge Finch on 4</w:t>
      </w:r>
      <w:r w:rsidR="009C5950" w:rsidRPr="009C5950">
        <w:rPr>
          <w:rFonts w:ascii="Book Antiqua" w:hAnsi="Book Antiqua" w:cs="Arial"/>
          <w:vertAlign w:val="superscript"/>
        </w:rPr>
        <w:t>th</w:t>
      </w:r>
      <w:r w:rsidR="009C5950">
        <w:rPr>
          <w:rFonts w:ascii="Book Antiqua" w:hAnsi="Book Antiqua" w:cs="Arial"/>
        </w:rPr>
        <w:t xml:space="preserve"> May 2018</w:t>
      </w:r>
      <w:r>
        <w:rPr>
          <w:rFonts w:ascii="Book Antiqua" w:hAnsi="Book Antiqua" w:cs="Arial"/>
        </w:rPr>
        <w:t xml:space="preserve"> on the basis that it was arguable that the First-tier judge had erred in law in</w:t>
      </w:r>
      <w:r w:rsidR="009C5950">
        <w:rPr>
          <w:rFonts w:ascii="Book Antiqua" w:hAnsi="Book Antiqua" w:cs="Arial"/>
        </w:rPr>
        <w:t xml:space="preserve"> failing to adjourn the hearing in the interests of justice due to the first appellant’s ill-health.</w:t>
      </w:r>
      <w:r>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9C5950">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9C5950">
        <w:rPr>
          <w:rFonts w:ascii="Book Antiqua" w:hAnsi="Book Antiqua" w:cs="Arial"/>
          <w:i/>
        </w:rPr>
        <w:t xml:space="preserve"> – Error of Law</w:t>
      </w:r>
    </w:p>
    <w:p w:rsidR="005E561C" w:rsidRPr="005E561C" w:rsidRDefault="009C595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appeal had been adjourned on 31</w:t>
      </w:r>
      <w:r w:rsidRPr="009C5950">
        <w:rPr>
          <w:rFonts w:ascii="Book Antiqua" w:hAnsi="Book Antiqua" w:cs="Arial"/>
          <w:vertAlign w:val="superscript"/>
        </w:rPr>
        <w:t>st</w:t>
      </w:r>
      <w:r>
        <w:rPr>
          <w:rFonts w:ascii="Book Antiqua" w:hAnsi="Book Antiqua" w:cs="Arial"/>
        </w:rPr>
        <w:t xml:space="preserve"> October 2017 because the respondent had failed to serve the marriage interview notes. On 27</w:t>
      </w:r>
      <w:r w:rsidRPr="009C5950">
        <w:rPr>
          <w:rFonts w:ascii="Book Antiqua" w:hAnsi="Book Antiqua" w:cs="Arial"/>
          <w:vertAlign w:val="superscript"/>
        </w:rPr>
        <w:t>th</w:t>
      </w:r>
      <w:r>
        <w:rPr>
          <w:rFonts w:ascii="Book Antiqua" w:hAnsi="Book Antiqua" w:cs="Arial"/>
        </w:rPr>
        <w:t xml:space="preserve"> November 2017 the matter was relisted for hearing. On 23</w:t>
      </w:r>
      <w:r w:rsidRPr="009C5950">
        <w:rPr>
          <w:rFonts w:ascii="Book Antiqua" w:hAnsi="Book Antiqua" w:cs="Arial"/>
          <w:vertAlign w:val="superscript"/>
        </w:rPr>
        <w:t>rd</w:t>
      </w:r>
      <w:r>
        <w:rPr>
          <w:rFonts w:ascii="Book Antiqua" w:hAnsi="Book Antiqua" w:cs="Arial"/>
        </w:rPr>
        <w:t xml:space="preserve"> November 2017 the previous legal representatives of the appellants applied for an adjournment on the basis of the mental health of the first appellant who was detained. He was suffering from claustrophobia due to being detained as this brought back memories of his travel to the UK in a container. Medical records submitted with the application showed that he was taking antidepressant medication. The first appellant was said not to be well enough to attend the hearing, and</w:t>
      </w:r>
      <w:r w:rsidR="006924A9">
        <w:rPr>
          <w:rFonts w:ascii="Book Antiqua" w:hAnsi="Book Antiqua" w:cs="Arial"/>
        </w:rPr>
        <w:t xml:space="preserve"> he</w:t>
      </w:r>
      <w:r>
        <w:rPr>
          <w:rFonts w:ascii="Book Antiqua" w:hAnsi="Book Antiqua" w:cs="Arial"/>
        </w:rPr>
        <w:t xml:space="preserve"> </w:t>
      </w:r>
      <w:r w:rsidR="00110272">
        <w:rPr>
          <w:rFonts w:ascii="Book Antiqua" w:hAnsi="Book Antiqua" w:cs="Arial"/>
        </w:rPr>
        <w:t>was not produced</w:t>
      </w:r>
      <w:r>
        <w:rPr>
          <w:rFonts w:ascii="Book Antiqua" w:hAnsi="Book Antiqua" w:cs="Arial"/>
        </w:rPr>
        <w:t>. The representatives also did not attend as they say they did not receive the refusal of their request</w:t>
      </w:r>
      <w:r w:rsidR="00110272">
        <w:rPr>
          <w:rFonts w:ascii="Book Antiqua" w:hAnsi="Book Antiqua" w:cs="Arial"/>
        </w:rPr>
        <w:t xml:space="preserve"> for an adjournment</w:t>
      </w:r>
      <w:r>
        <w:rPr>
          <w:rFonts w:ascii="Book Antiqua" w:hAnsi="Book Antiqua" w:cs="Arial"/>
        </w:rPr>
        <w:t>, although it transpires one was issued on 24</w:t>
      </w:r>
      <w:r w:rsidRPr="009C5950">
        <w:rPr>
          <w:rFonts w:ascii="Book Antiqua" w:hAnsi="Book Antiqua" w:cs="Arial"/>
          <w:vertAlign w:val="superscript"/>
        </w:rPr>
        <w:t>th</w:t>
      </w:r>
      <w:r>
        <w:rPr>
          <w:rFonts w:ascii="Book Antiqua" w:hAnsi="Book Antiqua" w:cs="Arial"/>
        </w:rPr>
        <w:t xml:space="preserve"> November 2017. It is argued that th</w:t>
      </w:r>
      <w:r w:rsidR="006054E1">
        <w:rPr>
          <w:rFonts w:ascii="Book Antiqua" w:hAnsi="Book Antiqua" w:cs="Arial"/>
        </w:rPr>
        <w:t>e refusal to adjourn</w:t>
      </w:r>
      <w:r>
        <w:rPr>
          <w:rFonts w:ascii="Book Antiqua" w:hAnsi="Book Antiqua" w:cs="Arial"/>
        </w:rPr>
        <w:t xml:space="preserve"> was unfair</w:t>
      </w:r>
      <w:r w:rsidR="005E561C">
        <w:rPr>
          <w:rFonts w:ascii="Book Antiqua" w:hAnsi="Book Antiqua" w:cs="Arial"/>
        </w:rPr>
        <w:t xml:space="preserve"> and unlawful.</w:t>
      </w:r>
    </w:p>
    <w:p w:rsidR="00110272" w:rsidRPr="00110272" w:rsidRDefault="005E561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Secondly</w:t>
      </w:r>
      <w:r w:rsidR="006054E1">
        <w:rPr>
          <w:rFonts w:ascii="Book Antiqua" w:hAnsi="Book Antiqua" w:cs="Arial"/>
        </w:rPr>
        <w:t>,</w:t>
      </w:r>
      <w:r>
        <w:rPr>
          <w:rFonts w:ascii="Book Antiqua" w:hAnsi="Book Antiqua" w:cs="Arial"/>
        </w:rPr>
        <w:t xml:space="preserve"> it is argued that the decision that the appellants had entered into marriage predominantly for the purpose of gaining an immigration advantage was not soundly reached by the First-tier Tribunal. The discrepancies in the interview all related to historic matters about their home countries and families and that they gave a consistent account of their future plans. There was a failure to consider the totality of the evidence from the interview</w:t>
      </w:r>
      <w:r w:rsidR="00110272">
        <w:rPr>
          <w:rFonts w:ascii="Book Antiqua" w:hAnsi="Book Antiqua" w:cs="Arial"/>
        </w:rPr>
        <w:t>s</w:t>
      </w:r>
      <w:r>
        <w:rPr>
          <w:rFonts w:ascii="Book Antiqua" w:hAnsi="Book Antiqua" w:cs="Arial"/>
        </w:rPr>
        <w:t xml:space="preserve"> and also the other documents in the bundle. Further the health conditions of both appellants were not considered:</w:t>
      </w:r>
      <w:r w:rsidR="006054E1">
        <w:rPr>
          <w:rFonts w:ascii="Book Antiqua" w:hAnsi="Book Antiqua" w:cs="Arial"/>
        </w:rPr>
        <w:t xml:space="preserve"> aside from the medical condition of the first appellant</w:t>
      </w:r>
      <w:r w:rsidR="00110272">
        <w:rPr>
          <w:rFonts w:ascii="Book Antiqua" w:hAnsi="Book Antiqua" w:cs="Arial"/>
        </w:rPr>
        <w:t xml:space="preserve"> outlined above</w:t>
      </w:r>
      <w:r w:rsidR="006054E1">
        <w:rPr>
          <w:rFonts w:ascii="Book Antiqua" w:hAnsi="Book Antiqua" w:cs="Arial"/>
        </w:rPr>
        <w:t>,</w:t>
      </w:r>
      <w:r>
        <w:rPr>
          <w:rFonts w:ascii="Book Antiqua" w:hAnsi="Book Antiqua" w:cs="Arial"/>
        </w:rPr>
        <w:t xml:space="preserve"> the second appellant has high blood pressure and a heart condition.  </w:t>
      </w:r>
      <w:r w:rsidR="009C5950">
        <w:rPr>
          <w:rFonts w:ascii="Book Antiqua" w:hAnsi="Book Antiqua" w:cs="Arial"/>
        </w:rPr>
        <w:t xml:space="preserve"> </w:t>
      </w:r>
    </w:p>
    <w:p w:rsidR="00546523" w:rsidRPr="00B778B3" w:rsidRDefault="0011027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Bramble relied upon a Rule 24 response which stated that the appeal was opposed, and there was no medical evidence to show that the first appellant was not well enough to attend the hearing, and that there were adequate reasons given for dismissing the appeal with the application of the correct legal tests.</w:t>
      </w:r>
      <w:r w:rsidR="009C5950">
        <w:rPr>
          <w:rFonts w:ascii="Book Antiqua" w:hAnsi="Book Antiqua" w:cs="Arial"/>
        </w:rPr>
        <w:t xml:space="preserve"> </w:t>
      </w:r>
    </w:p>
    <w:p w:rsidR="002E7C20" w:rsidRPr="002E7C20" w:rsidRDefault="00B778B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A</w:t>
      </w:r>
      <w:r w:rsidR="006924A9">
        <w:rPr>
          <w:rFonts w:ascii="Book Antiqua" w:hAnsi="Book Antiqua" w:cs="Arial"/>
        </w:rPr>
        <w:t xml:space="preserve">fter hearing </w:t>
      </w:r>
      <w:proofErr w:type="gramStart"/>
      <w:r w:rsidR="006924A9">
        <w:rPr>
          <w:rFonts w:ascii="Book Antiqua" w:hAnsi="Book Antiqua" w:cs="Arial"/>
        </w:rPr>
        <w:t>submissions</w:t>
      </w:r>
      <w:proofErr w:type="gramEnd"/>
      <w:r>
        <w:rPr>
          <w:rFonts w:ascii="Book Antiqua" w:hAnsi="Book Antiqua" w:cs="Arial"/>
        </w:rPr>
        <w:t xml:space="preserve"> I told the appellants that I found the First-tier Tribunal had erred in law by not adjourning their hearing and that the matter would be remitted to the First-tier Tribunal for a rehearing with no findings preserved.</w:t>
      </w:r>
      <w:r w:rsidRPr="002E7C20">
        <w:rPr>
          <w:rFonts w:ascii="Book Antiqua" w:hAnsi="Book Antiqua" w:cs="Arial"/>
        </w:rPr>
        <w:t xml:space="preserve"> </w:t>
      </w:r>
      <w:r w:rsidR="002E7C20" w:rsidRPr="002E7C20">
        <w:rPr>
          <w:rFonts w:ascii="Book Antiqua" w:hAnsi="Book Antiqua"/>
        </w:rPr>
        <w:t xml:space="preserve">I have taken into account paragraph 7.2 of the Senior President's Practice Statements, and </w:t>
      </w:r>
      <w:r w:rsidR="002E7C20">
        <w:rPr>
          <w:rFonts w:ascii="Book Antiqua" w:hAnsi="Book Antiqua"/>
        </w:rPr>
        <w:t>find</w:t>
      </w:r>
      <w:r w:rsidR="002E7C20" w:rsidRPr="002E7C20">
        <w:rPr>
          <w:rFonts w:ascii="Book Antiqua" w:hAnsi="Book Antiqua"/>
        </w:rPr>
        <w:t xml:space="preserve"> that it is appropriate to remit this appeal back to the </w:t>
      </w:r>
      <w:r w:rsidR="002E7C20">
        <w:rPr>
          <w:rFonts w:ascii="Book Antiqua" w:hAnsi="Book Antiqua"/>
        </w:rPr>
        <w:t>First-tier Tribunal</w:t>
      </w:r>
      <w:r w:rsidR="002E7C20" w:rsidRPr="002E7C20">
        <w:rPr>
          <w:rFonts w:ascii="Book Antiqua" w:hAnsi="Book Antiqua"/>
        </w:rPr>
        <w:t xml:space="preserve"> to be heard afresh.</w:t>
      </w:r>
      <w:r w:rsidR="002E7C20">
        <w:rPr>
          <w:rFonts w:ascii="Book Antiqua" w:hAnsi="Book Antiqua"/>
        </w:rPr>
        <w:t xml:space="preserve"> The error of law was one in which the appellants were denied a fair hearing before the First-tier Tribunal. Further t</w:t>
      </w:r>
      <w:r w:rsidR="002E7C20" w:rsidRPr="002E7C20">
        <w:rPr>
          <w:rFonts w:ascii="Book Antiqua" w:hAnsi="Book Antiqua"/>
        </w:rPr>
        <w:t>here are no findings preserved</w:t>
      </w:r>
      <w:r w:rsidR="002E7C20">
        <w:rPr>
          <w:rFonts w:ascii="Book Antiqua" w:hAnsi="Book Antiqua"/>
        </w:rPr>
        <w:t>, and a</w:t>
      </w:r>
      <w:r w:rsidR="002E7C20" w:rsidRPr="002E7C20">
        <w:rPr>
          <w:rFonts w:ascii="Book Antiqua" w:hAnsi="Book Antiqua"/>
        </w:rPr>
        <w:t xml:space="preserve"> substantial fact-finding needs to be undertaken, and this is more appropriately undertaken by the F</w:t>
      </w:r>
      <w:r w:rsidR="002E7C20">
        <w:rPr>
          <w:rFonts w:ascii="Book Antiqua" w:hAnsi="Book Antiqua"/>
        </w:rPr>
        <w:t>irst-tier Tribunal</w:t>
      </w:r>
      <w:r w:rsidR="002E7C20" w:rsidRPr="002E7C20">
        <w:rPr>
          <w:rFonts w:ascii="Book Antiqua" w:hAnsi="Book Antiqua"/>
        </w:rPr>
        <w:t xml:space="preserve"> rather than the Upper Tribuna</w:t>
      </w:r>
      <w:r w:rsidR="002E7C20">
        <w:rPr>
          <w:rFonts w:ascii="Book Antiqua" w:hAnsi="Book Antiqua"/>
        </w:rPr>
        <w:t>l.</w:t>
      </w:r>
    </w:p>
    <w:p w:rsidR="00B778B3" w:rsidRDefault="00B778B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At th</w:t>
      </w:r>
      <w:r w:rsidR="002E7C20">
        <w:rPr>
          <w:rFonts w:ascii="Book Antiqua" w:hAnsi="Book Antiqua" w:cs="Arial"/>
        </w:rPr>
        <w:t>e conclusion of the hearing</w:t>
      </w:r>
      <w:r>
        <w:rPr>
          <w:rFonts w:ascii="Book Antiqua" w:hAnsi="Book Antiqua" w:cs="Arial"/>
        </w:rPr>
        <w:t xml:space="preserve"> the first appellant had a serious panic attack which needed the emergency services to be called. The first appellant and his representatives must consider with his doctors whether there are any medical steps which can be taken to try to avert a panic attack taking place when he gives evidence at the next</w:t>
      </w:r>
      <w:r w:rsidR="002E7C20">
        <w:rPr>
          <w:rFonts w:ascii="Book Antiqua" w:hAnsi="Book Antiqua" w:cs="Arial"/>
        </w:rPr>
        <w:t xml:space="preserve"> Tribunal</w:t>
      </w:r>
      <w:r>
        <w:rPr>
          <w:rFonts w:ascii="Book Antiqua" w:hAnsi="Book Antiqua" w:cs="Arial"/>
        </w:rPr>
        <w:t xml:space="preserve"> hearing and</w:t>
      </w:r>
      <w:r w:rsidR="002E7C20">
        <w:rPr>
          <w:rFonts w:ascii="Book Antiqua" w:hAnsi="Book Antiqua" w:cs="Arial"/>
        </w:rPr>
        <w:t xml:space="preserve"> efforts should be made to ensure that he has</w:t>
      </w:r>
      <w:r>
        <w:rPr>
          <w:rFonts w:ascii="Book Antiqua" w:hAnsi="Book Antiqua" w:cs="Arial"/>
        </w:rPr>
        <w:t xml:space="preserve"> any </w:t>
      </w:r>
      <w:r w:rsidR="002E7C20">
        <w:rPr>
          <w:rFonts w:ascii="Book Antiqua" w:hAnsi="Book Antiqua" w:cs="Arial"/>
        </w:rPr>
        <w:t>preventative medications to hands</w:t>
      </w:r>
      <w:r w:rsidR="006924A9">
        <w:rPr>
          <w:rFonts w:ascii="Book Antiqua" w:hAnsi="Book Antiqua" w:cs="Arial"/>
        </w:rPr>
        <w:t>;</w:t>
      </w:r>
      <w:r w:rsidR="002E7C20">
        <w:rPr>
          <w:rFonts w:ascii="Book Antiqua" w:hAnsi="Book Antiqua" w:cs="Arial"/>
        </w:rPr>
        <w:t xml:space="preserve"> or alternatively his representatives may produce medical evidence, served properly on the respondent and First-tier Tribunal in advance of that hearing, that it is not medically safe for the first appellant to give evidence if they are so advised. </w:t>
      </w:r>
      <w:r>
        <w:rPr>
          <w:rFonts w:ascii="Book Antiqua" w:hAnsi="Book Antiqua" w:cs="Arial"/>
        </w:rPr>
        <w:t xml:space="preserve">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9C5950">
        <w:rPr>
          <w:rFonts w:ascii="Book Antiqua" w:hAnsi="Book Antiqua" w:cs="Arial"/>
          <w:i/>
        </w:rPr>
        <w:t xml:space="preserve"> – Error of Law</w:t>
      </w:r>
    </w:p>
    <w:p w:rsidR="00110272" w:rsidRPr="00110272" w:rsidRDefault="0011027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color w:val="000000"/>
        </w:rPr>
        <w:t xml:space="preserve">The guidance issued by the Upper Tribunal on the proper test in relation to an adjournment request is set out in </w:t>
      </w:r>
      <w:proofErr w:type="spellStart"/>
      <w:r w:rsidRPr="00F75E8D">
        <w:rPr>
          <w:rFonts w:ascii="Book Antiqua" w:hAnsi="Book Antiqua" w:cs="Arial"/>
          <w:color w:val="000000"/>
          <w:u w:val="single"/>
        </w:rPr>
        <w:t>Nwaigwe</w:t>
      </w:r>
      <w:proofErr w:type="spellEnd"/>
      <w:r w:rsidRPr="00F75E8D">
        <w:rPr>
          <w:rFonts w:ascii="Book Antiqua" w:hAnsi="Book Antiqua" w:cs="Arial"/>
          <w:color w:val="000000"/>
          <w:u w:val="single"/>
        </w:rPr>
        <w:t xml:space="preserve"> (adjournment: fairness)</w:t>
      </w:r>
      <w:r>
        <w:rPr>
          <w:rFonts w:ascii="Book Antiqua" w:hAnsi="Book Antiqua" w:cs="Arial"/>
          <w:color w:val="000000"/>
        </w:rPr>
        <w:t xml:space="preserve"> [2014] UKUT 00418 (IAC), and reads as follows: “</w:t>
      </w:r>
      <w:r>
        <w:rPr>
          <w:rFonts w:ascii="Book Antiqua" w:hAnsi="Book Antiqua" w:cs="Arial"/>
          <w:i/>
        </w:rPr>
        <w:t xml:space="preserve">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Pr>
          <w:rFonts w:ascii="Book Antiqua" w:hAnsi="Book Antiqua" w:cs="Arial"/>
          <w:i/>
        </w:rPr>
        <w:t>FtT</w:t>
      </w:r>
      <w:proofErr w:type="spellEnd"/>
      <w:r>
        <w:rPr>
          <w:rFonts w:ascii="Book Antiqua" w:hAnsi="Book Antiqua" w:cs="Arial"/>
          <w:i/>
        </w:rPr>
        <w:t xml:space="preserve"> acted </w:t>
      </w:r>
      <w:r>
        <w:rPr>
          <w:rFonts w:ascii="Book Antiqua" w:hAnsi="Book Antiqua" w:cs="Arial"/>
          <w:i/>
          <w:u w:val="single"/>
        </w:rPr>
        <w:t>reasonably</w:t>
      </w:r>
      <w:r>
        <w:rPr>
          <w:rFonts w:ascii="Book Antiqua" w:hAnsi="Book Antiqua" w:cs="Arial"/>
          <w:i/>
        </w:rPr>
        <w:t xml:space="preserve">.  Rather, the test to be applied is that of </w:t>
      </w:r>
      <w:r>
        <w:rPr>
          <w:rFonts w:ascii="Book Antiqua" w:hAnsi="Book Antiqua" w:cs="Arial"/>
          <w:i/>
          <w:u w:val="single"/>
        </w:rPr>
        <w:t>fairness</w:t>
      </w:r>
      <w:r>
        <w:rPr>
          <w:rFonts w:ascii="Book Antiqua" w:hAnsi="Book Antiqua" w:cs="Arial"/>
          <w:i/>
        </w:rPr>
        <w:t>:  was there any deprivation of the affected party’s</w:t>
      </w:r>
      <w:r>
        <w:rPr>
          <w:rFonts w:ascii="Book Antiqua" w:hAnsi="Book Antiqua" w:cs="Arial"/>
          <w:i/>
          <w:u w:val="single"/>
        </w:rPr>
        <w:t xml:space="preserve"> </w:t>
      </w:r>
      <w:r>
        <w:rPr>
          <w:rFonts w:ascii="Book Antiqua" w:hAnsi="Book Antiqua" w:cs="Arial"/>
          <w:i/>
        </w:rPr>
        <w:t xml:space="preserve">right to a fair hearing? See </w:t>
      </w:r>
      <w:r>
        <w:rPr>
          <w:rFonts w:ascii="Book Antiqua" w:hAnsi="Book Antiqua" w:cs="Arial"/>
          <w:i/>
          <w:u w:val="single"/>
        </w:rPr>
        <w:t>SH (Afghanistan) v Secretary of State for the Home Department</w:t>
      </w:r>
      <w:r>
        <w:rPr>
          <w:rFonts w:ascii="Book Antiqua" w:hAnsi="Book Antiqua" w:cs="Arial"/>
          <w:i/>
        </w:rPr>
        <w:t xml:space="preserve"> [2011] EWCA </w:t>
      </w:r>
      <w:proofErr w:type="spellStart"/>
      <w:r>
        <w:rPr>
          <w:rFonts w:ascii="Book Antiqua" w:hAnsi="Book Antiqua" w:cs="Arial"/>
          <w:i/>
        </w:rPr>
        <w:t>Civ</w:t>
      </w:r>
      <w:proofErr w:type="spellEnd"/>
      <w:r>
        <w:rPr>
          <w:rFonts w:ascii="Book Antiqua" w:hAnsi="Book Antiqua" w:cs="Arial"/>
          <w:i/>
        </w:rPr>
        <w:t xml:space="preserve"> 1284.”</w:t>
      </w:r>
    </w:p>
    <w:p w:rsidR="00546523" w:rsidRPr="00ED47BB" w:rsidRDefault="005E561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issue of the adjournment</w:t>
      </w:r>
      <w:r w:rsidR="00110272">
        <w:rPr>
          <w:rFonts w:ascii="Book Antiqua" w:hAnsi="Book Antiqua" w:cs="Arial"/>
        </w:rPr>
        <w:t xml:space="preserve"> in this appeal</w:t>
      </w:r>
      <w:r>
        <w:rPr>
          <w:rFonts w:ascii="Book Antiqua" w:hAnsi="Book Antiqua" w:cs="Arial"/>
        </w:rPr>
        <w:t xml:space="preserve"> </w:t>
      </w:r>
      <w:r w:rsidR="006924A9">
        <w:rPr>
          <w:rFonts w:ascii="Book Antiqua" w:hAnsi="Book Antiqua" w:cs="Arial"/>
        </w:rPr>
        <w:t>i</w:t>
      </w:r>
      <w:r>
        <w:rPr>
          <w:rFonts w:ascii="Book Antiqua" w:hAnsi="Book Antiqua" w:cs="Arial"/>
        </w:rPr>
        <w:t>s dealt with by the First-tier Tribunal at paragraphs 17 to 25 of the decision. It is clear that no one attended for the appellants and that they did not attend either. The previous solicitors seem to have assumed that the matter was adjourned following their application on 23</w:t>
      </w:r>
      <w:r w:rsidRPr="005E561C">
        <w:rPr>
          <w:rFonts w:ascii="Book Antiqua" w:hAnsi="Book Antiqua" w:cs="Arial"/>
          <w:vertAlign w:val="superscript"/>
        </w:rPr>
        <w:t>rd</w:t>
      </w:r>
      <w:r>
        <w:rPr>
          <w:rFonts w:ascii="Book Antiqua" w:hAnsi="Book Antiqua" w:cs="Arial"/>
        </w:rPr>
        <w:t xml:space="preserve"> November 2017, but when informed</w:t>
      </w:r>
      <w:r w:rsidR="00110272">
        <w:rPr>
          <w:rFonts w:ascii="Book Antiqua" w:hAnsi="Book Antiqua" w:cs="Arial"/>
        </w:rPr>
        <w:t xml:space="preserve"> on the day of the hearing</w:t>
      </w:r>
      <w:r>
        <w:rPr>
          <w:rFonts w:ascii="Book Antiqua" w:hAnsi="Book Antiqua" w:cs="Arial"/>
        </w:rPr>
        <w:t xml:space="preserve"> that this had been refused reapplied in writing stating that they were unable to attend in time and that </w:t>
      </w:r>
      <w:r w:rsidR="00ED47BB">
        <w:rPr>
          <w:rFonts w:ascii="Book Antiqua" w:hAnsi="Book Antiqua" w:cs="Arial"/>
        </w:rPr>
        <w:t>the first appellant was medically unfit to do so. The First-tier Tribunal were</w:t>
      </w:r>
      <w:r w:rsidR="006054E1">
        <w:rPr>
          <w:rFonts w:ascii="Book Antiqua" w:hAnsi="Book Antiqua" w:cs="Arial"/>
        </w:rPr>
        <w:t xml:space="preserve"> understandably</w:t>
      </w:r>
      <w:r w:rsidR="00ED47BB">
        <w:rPr>
          <w:rFonts w:ascii="Book Antiqua" w:hAnsi="Book Antiqua" w:cs="Arial"/>
        </w:rPr>
        <w:t xml:space="preserve"> critical of the previous representatives for failing to attend if they had not heard about the outcome of their</w:t>
      </w:r>
      <w:r w:rsidR="00110272">
        <w:rPr>
          <w:rFonts w:ascii="Book Antiqua" w:hAnsi="Book Antiqua" w:cs="Arial"/>
        </w:rPr>
        <w:t xml:space="preserve"> adjournment</w:t>
      </w:r>
      <w:r w:rsidR="00ED47BB">
        <w:rPr>
          <w:rFonts w:ascii="Book Antiqua" w:hAnsi="Book Antiqua" w:cs="Arial"/>
        </w:rPr>
        <w:t xml:space="preserve"> request</w:t>
      </w:r>
      <w:r w:rsidR="00110272">
        <w:rPr>
          <w:rFonts w:ascii="Book Antiqua" w:hAnsi="Book Antiqua" w:cs="Arial"/>
        </w:rPr>
        <w:t>,</w:t>
      </w:r>
      <w:r w:rsidR="00ED47BB">
        <w:rPr>
          <w:rFonts w:ascii="Book Antiqua" w:hAnsi="Book Antiqua" w:cs="Arial"/>
        </w:rPr>
        <w:t xml:space="preserve"> and for failing to chase the request up</w:t>
      </w:r>
      <w:r w:rsidR="006924A9">
        <w:rPr>
          <w:rFonts w:ascii="Book Antiqua" w:hAnsi="Book Antiqua" w:cs="Arial"/>
        </w:rPr>
        <w:t xml:space="preserve"> with the First-tier Tribunal if they had not received a response</w:t>
      </w:r>
      <w:r w:rsidR="00ED47BB">
        <w:rPr>
          <w:rFonts w:ascii="Book Antiqua" w:hAnsi="Book Antiqua" w:cs="Arial"/>
        </w:rPr>
        <w:t xml:space="preserve">. </w:t>
      </w:r>
      <w:r w:rsidR="00110272">
        <w:rPr>
          <w:rFonts w:ascii="Book Antiqua" w:hAnsi="Book Antiqua" w:cs="Arial"/>
        </w:rPr>
        <w:t>The First-tier Tribunal</w:t>
      </w:r>
      <w:r w:rsidR="00ED47BB">
        <w:rPr>
          <w:rFonts w:ascii="Book Antiqua" w:hAnsi="Book Antiqua" w:cs="Arial"/>
        </w:rPr>
        <w:t xml:space="preserve"> concluded that the medical evidence did not show that the </w:t>
      </w:r>
      <w:r w:rsidR="00ED47BB">
        <w:rPr>
          <w:rFonts w:ascii="Book Antiqua" w:hAnsi="Book Antiqua" w:cs="Arial"/>
        </w:rPr>
        <w:lastRenderedPageBreak/>
        <w:t xml:space="preserve">first appellant was not fit to attend the hearing or give oral evidence as none of the evidence came from the appellant himself, and because the medical evidence only dealt with his problems being in detention.  </w:t>
      </w:r>
    </w:p>
    <w:p w:rsidR="002E7C20" w:rsidRPr="002E7C20" w:rsidRDefault="0011027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w:t>
      </w:r>
      <w:r w:rsidR="006257DF" w:rsidRPr="00110272">
        <w:rPr>
          <w:rFonts w:ascii="Book Antiqua" w:hAnsi="Book Antiqua" w:cs="Arial"/>
        </w:rPr>
        <w:t xml:space="preserve"> Heathrow Immigration Removal Centre Patient Records for the appellant submitted with the adjournment request of 23</w:t>
      </w:r>
      <w:r w:rsidR="006257DF" w:rsidRPr="00110272">
        <w:rPr>
          <w:rFonts w:ascii="Book Antiqua" w:hAnsi="Book Antiqua" w:cs="Arial"/>
          <w:vertAlign w:val="superscript"/>
        </w:rPr>
        <w:t>rd</w:t>
      </w:r>
      <w:r w:rsidR="006257DF" w:rsidRPr="00110272">
        <w:rPr>
          <w:rFonts w:ascii="Book Antiqua" w:hAnsi="Book Antiqua" w:cs="Arial"/>
        </w:rPr>
        <w:t xml:space="preserve"> November 2017</w:t>
      </w:r>
      <w:r>
        <w:rPr>
          <w:rFonts w:ascii="Book Antiqua" w:hAnsi="Book Antiqua" w:cs="Arial"/>
        </w:rPr>
        <w:t xml:space="preserve"> and which were the medical evidence available to the First-tier Tribunal showed that on</w:t>
      </w:r>
      <w:r w:rsidR="006257DF" w:rsidRPr="00110272">
        <w:rPr>
          <w:rFonts w:ascii="Book Antiqua" w:hAnsi="Book Antiqua" w:cs="Arial"/>
        </w:rPr>
        <w:t xml:space="preserve"> 16</w:t>
      </w:r>
      <w:r>
        <w:rPr>
          <w:rFonts w:ascii="Book Antiqua" w:hAnsi="Book Antiqua" w:cs="Arial"/>
        </w:rPr>
        <w:t>th</w:t>
      </w:r>
      <w:r w:rsidR="006257DF" w:rsidRPr="00110272">
        <w:rPr>
          <w:rFonts w:ascii="Book Antiqua" w:hAnsi="Book Antiqua" w:cs="Arial"/>
        </w:rPr>
        <w:t xml:space="preserve"> and 17</w:t>
      </w:r>
      <w:r w:rsidR="006257DF" w:rsidRPr="00110272">
        <w:rPr>
          <w:rFonts w:ascii="Book Antiqua" w:hAnsi="Book Antiqua" w:cs="Arial"/>
          <w:vertAlign w:val="superscript"/>
        </w:rPr>
        <w:t>th</w:t>
      </w:r>
      <w:r w:rsidR="006257DF" w:rsidRPr="00110272">
        <w:rPr>
          <w:rFonts w:ascii="Book Antiqua" w:hAnsi="Book Antiqua" w:cs="Arial"/>
        </w:rPr>
        <w:t xml:space="preserve"> November</w:t>
      </w:r>
      <w:r>
        <w:rPr>
          <w:rFonts w:ascii="Book Antiqua" w:hAnsi="Book Antiqua" w:cs="Arial"/>
        </w:rPr>
        <w:t xml:space="preserve"> 2017</w:t>
      </w:r>
      <w:r w:rsidR="006257DF" w:rsidRPr="00110272">
        <w:rPr>
          <w:rFonts w:ascii="Book Antiqua" w:hAnsi="Book Antiqua" w:cs="Arial"/>
        </w:rPr>
        <w:t xml:space="preserve"> he </w:t>
      </w:r>
      <w:r>
        <w:rPr>
          <w:rFonts w:ascii="Book Antiqua" w:hAnsi="Book Antiqua" w:cs="Arial"/>
        </w:rPr>
        <w:t>wa</w:t>
      </w:r>
      <w:r w:rsidR="006257DF" w:rsidRPr="00110272">
        <w:rPr>
          <w:rFonts w:ascii="Book Antiqua" w:hAnsi="Book Antiqua" w:cs="Arial"/>
        </w:rPr>
        <w:t xml:space="preserve">s depressed, anxious, having panic attacks and on anti-depressants as well as suffering from claustrophobia. </w:t>
      </w:r>
      <w:r>
        <w:rPr>
          <w:rFonts w:ascii="Book Antiqua" w:hAnsi="Book Antiqua" w:cs="Arial"/>
        </w:rPr>
        <w:t>They noted that</w:t>
      </w:r>
      <w:r w:rsidR="006257DF" w:rsidRPr="00110272">
        <w:rPr>
          <w:rFonts w:ascii="Book Antiqua" w:hAnsi="Book Antiqua" w:cs="Arial"/>
        </w:rPr>
        <w:t xml:space="preserve"> his mum and his wife </w:t>
      </w:r>
      <w:r>
        <w:rPr>
          <w:rFonts w:ascii="Book Antiqua" w:hAnsi="Book Antiqua" w:cs="Arial"/>
        </w:rPr>
        <w:t>were</w:t>
      </w:r>
      <w:r w:rsidR="006257DF" w:rsidRPr="00110272">
        <w:rPr>
          <w:rFonts w:ascii="Book Antiqua" w:hAnsi="Book Antiqua" w:cs="Arial"/>
        </w:rPr>
        <w:t xml:space="preserve"> protective factors against self-harm.</w:t>
      </w:r>
    </w:p>
    <w:p w:rsidR="00ED47BB" w:rsidRPr="00110272" w:rsidRDefault="0011027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find that th</w:t>
      </w:r>
      <w:r w:rsidR="002E7C20">
        <w:rPr>
          <w:rFonts w:ascii="Book Antiqua" w:hAnsi="Book Antiqua" w:cs="Arial"/>
        </w:rPr>
        <w:t>e</w:t>
      </w:r>
      <w:r w:rsidR="002E7C20" w:rsidRPr="002E7C20">
        <w:rPr>
          <w:rFonts w:ascii="Book Antiqua" w:hAnsi="Book Antiqua" w:cs="Arial"/>
        </w:rPr>
        <w:t xml:space="preserve"> </w:t>
      </w:r>
      <w:r w:rsidR="002E7C20" w:rsidRPr="00110272">
        <w:rPr>
          <w:rFonts w:ascii="Book Antiqua" w:hAnsi="Book Antiqua" w:cs="Arial"/>
        </w:rPr>
        <w:t>Heathrow Immigration Removal Centre Patient Records</w:t>
      </w:r>
      <w:r>
        <w:rPr>
          <w:rFonts w:ascii="Book Antiqua" w:hAnsi="Book Antiqua" w:cs="Arial"/>
        </w:rPr>
        <w:t xml:space="preserve"> evidence was relevant to the</w:t>
      </w:r>
      <w:r w:rsidR="002E7C20">
        <w:rPr>
          <w:rFonts w:ascii="Book Antiqua" w:hAnsi="Book Antiqua" w:cs="Arial"/>
        </w:rPr>
        <w:t xml:space="preserve"> question as to whether the</w:t>
      </w:r>
      <w:r>
        <w:rPr>
          <w:rFonts w:ascii="Book Antiqua" w:hAnsi="Book Antiqua" w:cs="Arial"/>
        </w:rPr>
        <w:t xml:space="preserve"> first appellant </w:t>
      </w:r>
      <w:r w:rsidR="002E7C20">
        <w:rPr>
          <w:rFonts w:ascii="Book Antiqua" w:hAnsi="Book Antiqua" w:cs="Arial"/>
        </w:rPr>
        <w:t>was</w:t>
      </w:r>
      <w:r>
        <w:rPr>
          <w:rFonts w:ascii="Book Antiqua" w:hAnsi="Book Antiqua" w:cs="Arial"/>
        </w:rPr>
        <w:t xml:space="preserve"> medically unfit to attend and give evidence before the First-tier Tribunal. The First-tier Tribunal also needed to consider in addition that </w:t>
      </w:r>
      <w:r w:rsidR="002E7C20">
        <w:rPr>
          <w:rFonts w:ascii="Book Antiqua" w:hAnsi="Book Antiqua" w:cs="Arial"/>
        </w:rPr>
        <w:t>t</w:t>
      </w:r>
      <w:r>
        <w:rPr>
          <w:rFonts w:ascii="Book Antiqua" w:hAnsi="Book Antiqua" w:cs="Arial"/>
        </w:rPr>
        <w:t>he</w:t>
      </w:r>
      <w:r w:rsidR="002E7C20">
        <w:rPr>
          <w:rFonts w:ascii="Book Antiqua" w:hAnsi="Book Antiqua" w:cs="Arial"/>
        </w:rPr>
        <w:t xml:space="preserve"> appellants</w:t>
      </w:r>
      <w:r>
        <w:rPr>
          <w:rFonts w:ascii="Book Antiqua" w:hAnsi="Book Antiqua" w:cs="Arial"/>
        </w:rPr>
        <w:t xml:space="preserve"> had been wrongly advised by </w:t>
      </w:r>
      <w:r w:rsidR="002E7C20">
        <w:rPr>
          <w:rFonts w:ascii="Book Antiqua" w:hAnsi="Book Antiqua" w:cs="Arial"/>
        </w:rPr>
        <w:t>their</w:t>
      </w:r>
      <w:r>
        <w:rPr>
          <w:rFonts w:ascii="Book Antiqua" w:hAnsi="Book Antiqua" w:cs="Arial"/>
        </w:rPr>
        <w:t xml:space="preserve"> representatives that </w:t>
      </w:r>
      <w:r w:rsidR="002E7C20">
        <w:rPr>
          <w:rFonts w:ascii="Book Antiqua" w:hAnsi="Book Antiqua" w:cs="Arial"/>
        </w:rPr>
        <w:t xml:space="preserve">they need </w:t>
      </w:r>
      <w:r>
        <w:rPr>
          <w:rFonts w:ascii="Book Antiqua" w:hAnsi="Book Antiqua" w:cs="Arial"/>
        </w:rPr>
        <w:t>not attend the hearing</w:t>
      </w:r>
      <w:r w:rsidR="002E7C20">
        <w:rPr>
          <w:rFonts w:ascii="Book Antiqua" w:hAnsi="Book Antiqua" w:cs="Arial"/>
        </w:rPr>
        <w:t xml:space="preserve"> because it</w:t>
      </w:r>
      <w:r>
        <w:rPr>
          <w:rFonts w:ascii="Book Antiqua" w:hAnsi="Book Antiqua" w:cs="Arial"/>
        </w:rPr>
        <w:t xml:space="preserve"> </w:t>
      </w:r>
      <w:r w:rsidR="00B778B3">
        <w:rPr>
          <w:rFonts w:ascii="Book Antiqua" w:hAnsi="Book Antiqua" w:cs="Arial"/>
        </w:rPr>
        <w:t xml:space="preserve">had been adjourned. As </w:t>
      </w:r>
      <w:r w:rsidR="002E7C20">
        <w:rPr>
          <w:rFonts w:ascii="Book Antiqua" w:hAnsi="Book Antiqua" w:cs="Arial"/>
        </w:rPr>
        <w:t>t</w:t>
      </w:r>
      <w:r w:rsidR="00B778B3">
        <w:rPr>
          <w:rFonts w:ascii="Book Antiqua" w:hAnsi="Book Antiqua" w:cs="Arial"/>
        </w:rPr>
        <w:t>he</w:t>
      </w:r>
      <w:r w:rsidR="002E7C20">
        <w:rPr>
          <w:rFonts w:ascii="Book Antiqua" w:hAnsi="Book Antiqua" w:cs="Arial"/>
        </w:rPr>
        <w:t xml:space="preserve"> first appellant</w:t>
      </w:r>
      <w:r w:rsidR="00B778B3">
        <w:rPr>
          <w:rFonts w:ascii="Book Antiqua" w:hAnsi="Book Antiqua" w:cs="Arial"/>
        </w:rPr>
        <w:t xml:space="preserve"> was in detention he could not cho</w:t>
      </w:r>
      <w:r w:rsidR="00FE6EB8">
        <w:rPr>
          <w:rFonts w:ascii="Book Antiqua" w:hAnsi="Book Antiqua" w:cs="Arial"/>
        </w:rPr>
        <w:t>o</w:t>
      </w:r>
      <w:bookmarkStart w:id="1" w:name="_GoBack"/>
      <w:bookmarkEnd w:id="1"/>
      <w:r w:rsidR="00B778B3">
        <w:rPr>
          <w:rFonts w:ascii="Book Antiqua" w:hAnsi="Book Antiqua" w:cs="Arial"/>
        </w:rPr>
        <w:t>se to attend when the First-tier Tribunal let it be known that the hearing was not adjourned as he would have</w:t>
      </w:r>
      <w:r w:rsidR="002E7C20">
        <w:rPr>
          <w:rFonts w:ascii="Book Antiqua" w:hAnsi="Book Antiqua" w:cs="Arial"/>
        </w:rPr>
        <w:t xml:space="preserve"> needed to be</w:t>
      </w:r>
      <w:r w:rsidR="00B778B3">
        <w:rPr>
          <w:rFonts w:ascii="Book Antiqua" w:hAnsi="Book Antiqua" w:cs="Arial"/>
        </w:rPr>
        <w:t xml:space="preserve"> produced. I find that given that the first appellant was vulnerable, detained and mentally unwell and had relied upon legal advice in not being produced for the hearing the failure to adjourn the hearing was unfair as it denied him access to a hearing at which he could have put forward his witness evidence that his relationship with the second appellant was genuine</w:t>
      </w:r>
      <w:r w:rsidR="002E7C20">
        <w:rPr>
          <w:rFonts w:ascii="Book Antiqua" w:hAnsi="Book Antiqua" w:cs="Arial"/>
        </w:rPr>
        <w:t>, this being</w:t>
      </w:r>
      <w:r w:rsidR="006924A9">
        <w:rPr>
          <w:rFonts w:ascii="Book Antiqua" w:hAnsi="Book Antiqua" w:cs="Arial"/>
        </w:rPr>
        <w:t xml:space="preserve"> central to</w:t>
      </w:r>
      <w:r w:rsidR="002E7C20">
        <w:rPr>
          <w:rFonts w:ascii="Book Antiqua" w:hAnsi="Book Antiqua" w:cs="Arial"/>
        </w:rPr>
        <w:t xml:space="preserve"> the sole</w:t>
      </w:r>
      <w:r w:rsidR="00857633">
        <w:rPr>
          <w:rFonts w:ascii="Book Antiqua" w:hAnsi="Book Antiqua" w:cs="Arial"/>
        </w:rPr>
        <w:t xml:space="preserve"> factual</w:t>
      </w:r>
      <w:r w:rsidR="002E7C20">
        <w:rPr>
          <w:rFonts w:ascii="Book Antiqua" w:hAnsi="Book Antiqua" w:cs="Arial"/>
        </w:rPr>
        <w:t xml:space="preserve"> issue</w:t>
      </w:r>
      <w:r w:rsidR="00857633">
        <w:rPr>
          <w:rFonts w:ascii="Book Antiqua" w:hAnsi="Book Antiqua" w:cs="Arial"/>
        </w:rPr>
        <w:t xml:space="preserve"> to determine</w:t>
      </w:r>
      <w:r w:rsidR="002E7C20">
        <w:rPr>
          <w:rFonts w:ascii="Book Antiqua" w:hAnsi="Book Antiqua" w:cs="Arial"/>
        </w:rPr>
        <w:t xml:space="preserve"> in the</w:t>
      </w:r>
      <w:r w:rsidR="00857633">
        <w:rPr>
          <w:rFonts w:ascii="Book Antiqua" w:hAnsi="Book Antiqua" w:cs="Arial"/>
        </w:rPr>
        <w:t>se</w:t>
      </w:r>
      <w:r w:rsidR="002E7C20">
        <w:rPr>
          <w:rFonts w:ascii="Book Antiqua" w:hAnsi="Book Antiqua" w:cs="Arial"/>
        </w:rPr>
        <w:t xml:space="preserve"> appeals.</w:t>
      </w:r>
      <w:r w:rsidR="00B778B3">
        <w:rPr>
          <w:rFonts w:ascii="Book Antiqua" w:hAnsi="Book Antiqua" w:cs="Arial"/>
        </w:rPr>
        <w:t xml:space="preserve">    </w:t>
      </w:r>
      <w:r>
        <w:rPr>
          <w:rFonts w:ascii="Book Antiqua" w:hAnsi="Book Antiqua" w:cs="Arial"/>
        </w:rPr>
        <w:t xml:space="preserve"> </w:t>
      </w:r>
      <w:r w:rsidR="006257DF" w:rsidRPr="00110272">
        <w:rPr>
          <w:rFonts w:ascii="Book Antiqua" w:hAnsi="Book Antiqua" w:cs="Arial"/>
        </w:rPr>
        <w:t xml:space="preserve"> </w:t>
      </w:r>
    </w:p>
    <w:p w:rsidR="00270D89" w:rsidRDefault="00270D89" w:rsidP="00270D89">
      <w:pPr>
        <w:tabs>
          <w:tab w:val="left" w:pos="567"/>
        </w:tabs>
        <w:ind w:left="567"/>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w:t>
      </w:r>
      <w:r w:rsidR="002E7C20">
        <w:rPr>
          <w:rFonts w:ascii="Book Antiqua" w:hAnsi="Book Antiqua" w:cs="Arial"/>
        </w:rPr>
        <w:t xml:space="preserve"> involved </w:t>
      </w:r>
      <w:r>
        <w:rPr>
          <w:rFonts w:ascii="Book Antiqua" w:hAnsi="Book Antiqua" w:cs="Arial"/>
        </w:rPr>
        <w:t>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 </w:t>
      </w:r>
      <w:r w:rsidR="002E7C20">
        <w:rPr>
          <w:rFonts w:ascii="Book Antiqua" w:hAnsi="Book Antiqua" w:cs="Arial"/>
        </w:rPr>
        <w:t>the decision of the First-tier Tribunal in its entirety.</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w:t>
      </w:r>
      <w:r w:rsidR="002E7C20">
        <w:rPr>
          <w:rFonts w:ascii="Book Antiqua" w:hAnsi="Book Antiqua" w:cs="Arial"/>
        </w:rPr>
        <w:t>mit the remaking of this appeal to the First-tier Tribunal</w:t>
      </w:r>
      <w:r w:rsidR="00270D89">
        <w:rPr>
          <w:rFonts w:ascii="Book Antiqua" w:hAnsi="Book Antiqua" w:cs="Arial"/>
        </w:rPr>
        <w:t>.</w:t>
      </w: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9C5950">
        <w:rPr>
          <w:rFonts w:ascii="Book Antiqua" w:hAnsi="Book Antiqua" w:cs="Arial"/>
        </w:rPr>
        <w:t>10</w:t>
      </w:r>
      <w:r w:rsidR="009C5950" w:rsidRPr="009C5950">
        <w:rPr>
          <w:rFonts w:ascii="Book Antiqua" w:hAnsi="Book Antiqua" w:cs="Arial"/>
          <w:vertAlign w:val="superscript"/>
        </w:rPr>
        <w:t>th</w:t>
      </w:r>
      <w:r w:rsidR="009C5950">
        <w:rPr>
          <w:rFonts w:ascii="Book Antiqua" w:hAnsi="Book Antiqua" w:cs="Arial"/>
        </w:rPr>
        <w:t xml:space="preserve"> July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BFA" w:rsidRDefault="00EC0BFA">
      <w:r>
        <w:separator/>
      </w:r>
    </w:p>
  </w:endnote>
  <w:endnote w:type="continuationSeparator" w:id="0">
    <w:p w:rsidR="00EC0BFA" w:rsidRDefault="00EC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57620">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BFA" w:rsidRDefault="00EC0BFA">
      <w:r>
        <w:separator/>
      </w:r>
    </w:p>
  </w:footnote>
  <w:footnote w:type="continuationSeparator" w:id="0">
    <w:p w:rsidR="00EC0BFA" w:rsidRDefault="00EC0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 xml:space="preserve">Appeal Number: </w:t>
    </w:r>
    <w:r w:rsidR="00CB322B">
      <w:rPr>
        <w:rFonts w:ascii="Arial" w:hAnsi="Arial" w:cs="Arial"/>
        <w:sz w:val="16"/>
        <w:szCs w:val="16"/>
      </w:rPr>
      <w:t>EA/07966/2017 &amp; EA/08394/2017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73814"/>
    <w:rsid w:val="00081ABF"/>
    <w:rsid w:val="00110272"/>
    <w:rsid w:val="00160A29"/>
    <w:rsid w:val="001633CC"/>
    <w:rsid w:val="001C321C"/>
    <w:rsid w:val="001F5280"/>
    <w:rsid w:val="00250311"/>
    <w:rsid w:val="00252CC1"/>
    <w:rsid w:val="00266FFE"/>
    <w:rsid w:val="00270D89"/>
    <w:rsid w:val="00282753"/>
    <w:rsid w:val="00284315"/>
    <w:rsid w:val="00287B04"/>
    <w:rsid w:val="002A6C7D"/>
    <w:rsid w:val="002B4AEE"/>
    <w:rsid w:val="002E7C20"/>
    <w:rsid w:val="00306EE9"/>
    <w:rsid w:val="0036152A"/>
    <w:rsid w:val="003B5957"/>
    <w:rsid w:val="003F0441"/>
    <w:rsid w:val="004171D0"/>
    <w:rsid w:val="004229FB"/>
    <w:rsid w:val="004A012D"/>
    <w:rsid w:val="004E3D7D"/>
    <w:rsid w:val="005329AA"/>
    <w:rsid w:val="00546523"/>
    <w:rsid w:val="0057020B"/>
    <w:rsid w:val="00593FBC"/>
    <w:rsid w:val="005E561C"/>
    <w:rsid w:val="006054E1"/>
    <w:rsid w:val="00607ACC"/>
    <w:rsid w:val="00614E94"/>
    <w:rsid w:val="006257DF"/>
    <w:rsid w:val="00685F6F"/>
    <w:rsid w:val="006924A9"/>
    <w:rsid w:val="006A364A"/>
    <w:rsid w:val="0071702E"/>
    <w:rsid w:val="00773B62"/>
    <w:rsid w:val="00787B10"/>
    <w:rsid w:val="007D6500"/>
    <w:rsid w:val="007E2AB6"/>
    <w:rsid w:val="00857633"/>
    <w:rsid w:val="008832E8"/>
    <w:rsid w:val="00907F2C"/>
    <w:rsid w:val="00931984"/>
    <w:rsid w:val="00933B65"/>
    <w:rsid w:val="009701EB"/>
    <w:rsid w:val="009C5950"/>
    <w:rsid w:val="009F65D2"/>
    <w:rsid w:val="00A86A8D"/>
    <w:rsid w:val="00B52BFF"/>
    <w:rsid w:val="00B778B3"/>
    <w:rsid w:val="00B86DA6"/>
    <w:rsid w:val="00BB4307"/>
    <w:rsid w:val="00C30DB1"/>
    <w:rsid w:val="00C57620"/>
    <w:rsid w:val="00CB322B"/>
    <w:rsid w:val="00CB4622"/>
    <w:rsid w:val="00CC4BE0"/>
    <w:rsid w:val="00D36F32"/>
    <w:rsid w:val="00E1607A"/>
    <w:rsid w:val="00E233FE"/>
    <w:rsid w:val="00E620C7"/>
    <w:rsid w:val="00EC0BFA"/>
    <w:rsid w:val="00ED47BB"/>
    <w:rsid w:val="00F648C0"/>
    <w:rsid w:val="00F75E8D"/>
    <w:rsid w:val="00FA0A2E"/>
    <w:rsid w:val="00FB0516"/>
    <w:rsid w:val="00FE6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EB179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1538</Words>
  <Characters>7803</Characters>
  <Application>Microsoft Office Word</Application>
  <DocSecurity>0</DocSecurity>
  <Lines>65</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2018-08-01T15:28:00Z</dcterms:created>
  <dcterms:modified xsi:type="dcterms:W3CDTF">2018-08-01T15:28:00Z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