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3D2" w:rsidRDefault="00BE7358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D2" w:rsidRDefault="00D973D2">
      <w:pPr>
        <w:rPr>
          <w:rFonts w:ascii="Book Antiqua" w:hAnsi="Book Antiqua" w:cs="Arial"/>
          <w:color w:val="000000"/>
        </w:rPr>
      </w:pPr>
    </w:p>
    <w:p w:rsidR="00D973D2" w:rsidRDefault="00D973D2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</w:t>
      </w:r>
    </w:p>
    <w:p w:rsidR="00D973D2" w:rsidRDefault="00D973D2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b/>
          <w:color w:val="000000"/>
        </w:rPr>
        <w:t>(Immigration and Asylum Chamber)</w:t>
      </w:r>
      <w:r>
        <w:rPr>
          <w:rFonts w:ascii="Book Antiqua" w:hAnsi="Book Antiqua" w:cs="Arial"/>
          <w:b/>
          <w:color w:val="000000"/>
        </w:rPr>
        <w:tab/>
      </w:r>
      <w:r>
        <w:rPr>
          <w:rFonts w:ascii="Book Antiqua" w:hAnsi="Book Antiqua" w:cs="Arial"/>
          <w:color w:val="000000"/>
        </w:rPr>
        <w:t xml:space="preserve">Appeal Number: </w:t>
      </w:r>
      <w:bookmarkStart w:id="0" w:name="_GoBack"/>
      <w:r w:rsidR="00F60D35">
        <w:rPr>
          <w:rFonts w:ascii="Book Antiqua" w:hAnsi="Book Antiqua" w:cs="Arial"/>
          <w:caps/>
          <w:color w:val="000000"/>
        </w:rPr>
        <w:t>EA/08401/2016</w:t>
      </w:r>
      <w:bookmarkEnd w:id="0"/>
    </w:p>
    <w:p w:rsidR="00D973D2" w:rsidRDefault="00D973D2">
      <w:pPr>
        <w:jc w:val="center"/>
        <w:rPr>
          <w:rFonts w:ascii="Book Antiqua" w:hAnsi="Book Antiqua" w:cs="Arial"/>
          <w:color w:val="000000"/>
        </w:rPr>
      </w:pPr>
    </w:p>
    <w:p w:rsidR="00D973D2" w:rsidRDefault="00D973D2">
      <w:pPr>
        <w:jc w:val="center"/>
        <w:rPr>
          <w:rFonts w:ascii="Book Antiqua" w:hAnsi="Book Antiqua" w:cs="Arial"/>
          <w:color w:val="000000"/>
        </w:rPr>
      </w:pPr>
    </w:p>
    <w:p w:rsidR="00D973D2" w:rsidRDefault="00D973D2">
      <w:pPr>
        <w:jc w:val="center"/>
        <w:rPr>
          <w:rFonts w:ascii="Book Antiqua" w:hAnsi="Book Antiqua" w:cs="Arial"/>
          <w:b/>
          <w:color w:val="000000"/>
          <w:u w:val="single"/>
        </w:rPr>
      </w:pPr>
      <w:r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D973D2" w:rsidRDefault="00D973D2">
      <w:pPr>
        <w:jc w:val="center"/>
        <w:rPr>
          <w:rFonts w:ascii="Book Antiqua" w:hAnsi="Book Antiqua" w:cs="Arial"/>
          <w:b/>
          <w:u w:val="single"/>
        </w:rPr>
      </w:pPr>
    </w:p>
    <w:p w:rsidR="00D973D2" w:rsidRDefault="00D973D2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D973D2" w:rsidRPr="00D973D2" w:rsidTr="00D973D2">
        <w:tc>
          <w:tcPr>
            <w:tcW w:w="6048" w:type="dxa"/>
            <w:shd w:val="clear" w:color="auto" w:fill="auto"/>
          </w:tcPr>
          <w:p w:rsidR="00D973D2" w:rsidRPr="00D973D2" w:rsidRDefault="00D973D2" w:rsidP="00D973D2">
            <w:pPr>
              <w:jc w:val="both"/>
              <w:rPr>
                <w:rFonts w:ascii="Book Antiqua" w:hAnsi="Book Antiqua" w:cs="Arial"/>
                <w:b/>
              </w:rPr>
            </w:pPr>
            <w:r w:rsidRPr="00D973D2">
              <w:rPr>
                <w:rFonts w:ascii="Book Antiqua" w:hAnsi="Book Antiqua" w:cs="Arial"/>
                <w:b/>
              </w:rPr>
              <w:t xml:space="preserve">Heard at </w:t>
            </w:r>
            <w:r w:rsidR="00F60D35">
              <w:rPr>
                <w:rFonts w:ascii="Book Antiqua" w:hAnsi="Book Antiqua" w:cs="Arial"/>
                <w:b/>
              </w:rPr>
              <w:t>Manchester</w:t>
            </w:r>
          </w:p>
        </w:tc>
        <w:tc>
          <w:tcPr>
            <w:tcW w:w="3960" w:type="dxa"/>
            <w:shd w:val="clear" w:color="auto" w:fill="auto"/>
          </w:tcPr>
          <w:p w:rsidR="00D973D2" w:rsidRPr="00D973D2" w:rsidRDefault="00D973D2" w:rsidP="00D973D2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D973D2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D973D2" w:rsidRPr="00D973D2" w:rsidTr="00D973D2">
        <w:tc>
          <w:tcPr>
            <w:tcW w:w="6048" w:type="dxa"/>
            <w:shd w:val="clear" w:color="auto" w:fill="auto"/>
          </w:tcPr>
          <w:p w:rsidR="00C9238A" w:rsidRPr="00D973D2" w:rsidRDefault="00D973D2" w:rsidP="00D973D2">
            <w:pPr>
              <w:jc w:val="both"/>
              <w:rPr>
                <w:rFonts w:ascii="Book Antiqua" w:hAnsi="Book Antiqua" w:cs="Arial"/>
                <w:b/>
              </w:rPr>
            </w:pPr>
            <w:r w:rsidRPr="00D973D2">
              <w:rPr>
                <w:rFonts w:ascii="Book Antiqua" w:hAnsi="Book Antiqua" w:cs="Arial"/>
                <w:b/>
              </w:rPr>
              <w:t xml:space="preserve">On </w:t>
            </w:r>
            <w:r w:rsidR="00F60D35">
              <w:rPr>
                <w:rFonts w:ascii="Book Antiqua" w:hAnsi="Book Antiqua" w:cs="Arial"/>
                <w:b/>
              </w:rPr>
              <w:t>3 August 2018</w:t>
            </w:r>
          </w:p>
        </w:tc>
        <w:tc>
          <w:tcPr>
            <w:tcW w:w="3960" w:type="dxa"/>
            <w:shd w:val="clear" w:color="auto" w:fill="auto"/>
          </w:tcPr>
          <w:p w:rsidR="00D973D2" w:rsidRPr="00D973D2" w:rsidRDefault="00B43A0C" w:rsidP="00D973D2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6 September 2018</w:t>
            </w:r>
          </w:p>
        </w:tc>
      </w:tr>
    </w:tbl>
    <w:p w:rsidR="00D973D2" w:rsidRDefault="00D973D2">
      <w:pPr>
        <w:jc w:val="center"/>
        <w:rPr>
          <w:rFonts w:ascii="Book Antiqua" w:hAnsi="Book Antiqua" w:cs="Arial"/>
        </w:rPr>
      </w:pPr>
    </w:p>
    <w:p w:rsidR="00D973D2" w:rsidRDefault="00D973D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:rsidR="00D973D2" w:rsidRDefault="00D973D2">
      <w:pPr>
        <w:jc w:val="center"/>
        <w:rPr>
          <w:rFonts w:ascii="Book Antiqua" w:hAnsi="Book Antiqua" w:cs="Arial"/>
          <w:b/>
        </w:rPr>
      </w:pPr>
    </w:p>
    <w:p w:rsidR="00D973D2" w:rsidRDefault="00D973D2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THE </w:t>
      </w: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Arial"/>
              <w:b/>
              <w:color w:val="000000"/>
            </w:rPr>
            <w:t>HON. MR JUSTICE LANE</w:t>
          </w:r>
        </w:smartTag>
      </w:smartTag>
      <w:r>
        <w:rPr>
          <w:rFonts w:ascii="Book Antiqua" w:hAnsi="Book Antiqua" w:cs="Arial"/>
          <w:b/>
          <w:color w:val="000000"/>
        </w:rPr>
        <w:t>, PRESIDENT</w:t>
      </w:r>
    </w:p>
    <w:p w:rsidR="00D973D2" w:rsidRDefault="00D973D2" w:rsidP="00F60D35">
      <w:pPr>
        <w:rPr>
          <w:rFonts w:ascii="Book Antiqua" w:hAnsi="Book Antiqua" w:cs="Arial"/>
          <w:b/>
        </w:rPr>
      </w:pPr>
    </w:p>
    <w:p w:rsidR="00D973D2" w:rsidRDefault="00D973D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D973D2" w:rsidRDefault="00D973D2">
      <w:pPr>
        <w:jc w:val="center"/>
        <w:rPr>
          <w:rFonts w:ascii="Book Antiqua" w:hAnsi="Book Antiqua" w:cs="Arial"/>
          <w:b/>
        </w:rPr>
      </w:pPr>
    </w:p>
    <w:p w:rsidR="00D973D2" w:rsidRDefault="00F60D35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mohamed raik abdul samad</w:t>
      </w:r>
    </w:p>
    <w:p w:rsidR="00D973D2" w:rsidRDefault="00D973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(ANONYMITY DIRECTION </w:t>
      </w:r>
      <w:r w:rsidR="00F60D35">
        <w:rPr>
          <w:rFonts w:ascii="Book Antiqua" w:hAnsi="Book Antiqua" w:cs="Arial"/>
          <w:b/>
          <w:caps/>
        </w:rPr>
        <w:t>not made</w:t>
      </w:r>
      <w:r>
        <w:rPr>
          <w:rFonts w:ascii="Book Antiqua" w:hAnsi="Book Antiqua" w:cs="Arial"/>
          <w:b/>
          <w:caps/>
        </w:rPr>
        <w:t>)</w:t>
      </w:r>
    </w:p>
    <w:p w:rsidR="00D973D2" w:rsidRDefault="00D973D2">
      <w:pPr>
        <w:jc w:val="center"/>
        <w:rPr>
          <w:rFonts w:ascii="Book Antiqua" w:hAnsi="Book Antiqua" w:cs="Arial"/>
          <w:b/>
        </w:rPr>
      </w:pPr>
    </w:p>
    <w:p w:rsidR="00D973D2" w:rsidRDefault="00D973D2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D973D2" w:rsidRDefault="00D973D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and</w:t>
      </w:r>
    </w:p>
    <w:p w:rsidR="00D973D2" w:rsidRDefault="00D973D2">
      <w:pPr>
        <w:jc w:val="center"/>
        <w:rPr>
          <w:rFonts w:ascii="Book Antiqua" w:hAnsi="Book Antiqua" w:cs="Arial"/>
          <w:b/>
        </w:rPr>
      </w:pPr>
    </w:p>
    <w:p w:rsidR="00D973D2" w:rsidRDefault="00D973D2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>
        <w:rPr>
          <w:rFonts w:ascii="Book Antiqua" w:hAnsi="Book Antiqua" w:cs="Arial"/>
          <w:b/>
        </w:rPr>
        <w:instrText xml:space="preserve"> FORMTEXT </w:instrText>
      </w:r>
      <w:r>
        <w:rPr>
          <w:rFonts w:ascii="Book Antiqua" w:hAnsi="Book Antiqua" w:cs="Arial"/>
          <w:b/>
        </w:rPr>
      </w:r>
      <w:r>
        <w:rPr>
          <w:rFonts w:ascii="Book Antiqua" w:hAnsi="Book Antiqua" w:cs="Arial"/>
          <w:b/>
        </w:rPr>
        <w:fldChar w:fldCharType="separate"/>
      </w:r>
      <w:r>
        <w:rPr>
          <w:rFonts w:ascii="Book Antiqua" w:hAnsi="Book Antiqua" w:cs="Arial"/>
          <w:b/>
          <w:noProof/>
        </w:rPr>
        <w:t>THE SECRETARY OF STATE FOR THE HOME DEPARTMENT</w:t>
      </w:r>
      <w:r>
        <w:rPr>
          <w:rFonts w:ascii="Book Antiqua" w:hAnsi="Book Antiqua" w:cs="Arial"/>
          <w:b/>
        </w:rPr>
        <w:fldChar w:fldCharType="end"/>
      </w:r>
      <w:bookmarkEnd w:id="1"/>
    </w:p>
    <w:p w:rsidR="00D973D2" w:rsidRDefault="00D973D2">
      <w:pPr>
        <w:jc w:val="center"/>
        <w:rPr>
          <w:rFonts w:ascii="Book Antiqua" w:hAnsi="Book Antiqua" w:cs="Arial"/>
          <w:b/>
        </w:rPr>
      </w:pPr>
    </w:p>
    <w:p w:rsidR="00D973D2" w:rsidRDefault="00D973D2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973D2" w:rsidRDefault="00D973D2">
      <w:pPr>
        <w:rPr>
          <w:rFonts w:ascii="Book Antiqua" w:hAnsi="Book Antiqua" w:cs="Arial"/>
          <w:u w:val="single"/>
        </w:rPr>
      </w:pPr>
    </w:p>
    <w:p w:rsidR="00D973D2" w:rsidRDefault="00D973D2">
      <w:pPr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Representation</w:t>
      </w:r>
      <w:r>
        <w:rPr>
          <w:rFonts w:ascii="Book Antiqua" w:hAnsi="Book Antiqua" w:cs="Arial"/>
          <w:b/>
        </w:rPr>
        <w:t>:</w:t>
      </w:r>
    </w:p>
    <w:p w:rsidR="00D973D2" w:rsidRDefault="00D973D2">
      <w:pPr>
        <w:rPr>
          <w:rFonts w:ascii="Book Antiqua" w:hAnsi="Book Antiqua" w:cs="Arial"/>
        </w:rPr>
      </w:pPr>
    </w:p>
    <w:p w:rsidR="00D973D2" w:rsidRDefault="00D973D2" w:rsidP="00F60D35">
      <w:pPr>
        <w:tabs>
          <w:tab w:val="left" w:pos="2520"/>
        </w:tabs>
        <w:ind w:left="2268" w:hanging="2268"/>
        <w:rPr>
          <w:rFonts w:ascii="Book Antiqua" w:hAnsi="Book Antiqua" w:cs="Arial"/>
        </w:rPr>
      </w:pPr>
      <w:r>
        <w:rPr>
          <w:rFonts w:ascii="Book Antiqua" w:hAnsi="Book Antiqua" w:cs="Arial"/>
        </w:rPr>
        <w:t>For the Appellant:</w:t>
      </w:r>
      <w:r>
        <w:rPr>
          <w:rFonts w:ascii="Book Antiqua" w:hAnsi="Book Antiqua" w:cs="Arial"/>
        </w:rPr>
        <w:tab/>
      </w:r>
      <w:r w:rsidR="00F60D35">
        <w:rPr>
          <w:rFonts w:ascii="Book Antiqua" w:hAnsi="Book Antiqua" w:cs="Arial"/>
        </w:rPr>
        <w:t xml:space="preserve">Mrs C </w:t>
      </w:r>
      <w:proofErr w:type="spellStart"/>
      <w:r w:rsidR="00F60D35">
        <w:rPr>
          <w:rFonts w:ascii="Book Antiqua" w:hAnsi="Book Antiqua" w:cs="Arial"/>
        </w:rPr>
        <w:t>Johnrose</w:t>
      </w:r>
      <w:proofErr w:type="spellEnd"/>
      <w:r w:rsidR="00F60D35">
        <w:rPr>
          <w:rFonts w:ascii="Book Antiqua" w:hAnsi="Book Antiqua" w:cs="Arial"/>
        </w:rPr>
        <w:t>, Counsel instructed by Compass Immigration Law Ltd</w:t>
      </w:r>
    </w:p>
    <w:p w:rsidR="00D973D2" w:rsidRDefault="00D973D2" w:rsidP="00F60D35">
      <w:pPr>
        <w:rPr>
          <w:rFonts w:ascii="Book Antiqua" w:hAnsi="Book Antiqua" w:cs="Arial"/>
        </w:rPr>
      </w:pPr>
      <w:r>
        <w:rPr>
          <w:rFonts w:ascii="Book Antiqua" w:hAnsi="Book Antiqua" w:cs="Arial"/>
        </w:rPr>
        <w:t>For the Respondent:</w:t>
      </w:r>
      <w:r>
        <w:rPr>
          <w:rFonts w:ascii="Book Antiqua" w:hAnsi="Book Antiqua" w:cs="Arial"/>
        </w:rPr>
        <w:tab/>
      </w:r>
      <w:r w:rsidR="00F60D35">
        <w:rPr>
          <w:rFonts w:ascii="Book Antiqua" w:hAnsi="Book Antiqua" w:cs="Arial"/>
        </w:rPr>
        <w:t>Mr Bates, Home Office Presenting Officer</w:t>
      </w:r>
    </w:p>
    <w:p w:rsidR="00D973D2" w:rsidRDefault="00D973D2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973D2" w:rsidRDefault="00D973D2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973D2" w:rsidRDefault="00D973D2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DECISION AND REASONS</w:t>
      </w:r>
    </w:p>
    <w:p w:rsidR="006A77EC" w:rsidRDefault="006A77EC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6A77EC" w:rsidRDefault="00F60D35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This is an appeal brought with permission granted by the First-tier Tribunal to challenge the decision of First-tier Tribunal Judge Lloyd-Smith</w:t>
      </w:r>
      <w:r w:rsidR="006A77EC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who in a determination produced in October 2017</w:t>
      </w:r>
      <w:r w:rsidR="006A77EC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dismissed the appellant’s appeal under the Immigration (EEA) Regulations 2006 against the respondent’s refusal to issue him with</w:t>
      </w:r>
      <w:r w:rsidR="00C9238A">
        <w:rPr>
          <w:rFonts w:ascii="Book Antiqua" w:hAnsi="Book Antiqua" w:cs="Arial"/>
        </w:rPr>
        <w:t xml:space="preserve"> a</w:t>
      </w:r>
      <w:r>
        <w:rPr>
          <w:rFonts w:ascii="Book Antiqua" w:hAnsi="Book Antiqua" w:cs="Arial"/>
        </w:rPr>
        <w:t xml:space="preserve"> permanent residence card as confirmation of a right to reside in the United Kingdom.  </w:t>
      </w:r>
    </w:p>
    <w:p w:rsidR="006A77EC" w:rsidRDefault="00F60D35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The point at issue is a narrow one.  It relates to the status of the appellant’s wife</w:t>
      </w:r>
      <w:r w:rsidR="00C9238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from whom he had separated but not divorced.  In order to be issued with a permanent residence card the appellant needs to show that his wife is a qualified person</w:t>
      </w:r>
      <w:r w:rsidR="001767B0">
        <w:rPr>
          <w:rFonts w:ascii="Book Antiqua" w:hAnsi="Book Antiqua" w:cs="Arial"/>
        </w:rPr>
        <w:t>.  In order for his wife to be a qualified person</w:t>
      </w:r>
      <w:r w:rsidR="00C9238A">
        <w:rPr>
          <w:rFonts w:ascii="Book Antiqua" w:hAnsi="Book Antiqua" w:cs="Arial"/>
        </w:rPr>
        <w:t>,</w:t>
      </w:r>
      <w:r w:rsidR="001767B0">
        <w:rPr>
          <w:rFonts w:ascii="Book Antiqua" w:hAnsi="Book Antiqua" w:cs="Arial"/>
        </w:rPr>
        <w:t xml:space="preserve"> she needs to be exercising</w:t>
      </w:r>
      <w:r w:rsidR="00C9238A">
        <w:rPr>
          <w:rFonts w:ascii="Book Antiqua" w:hAnsi="Book Antiqua" w:cs="Arial"/>
        </w:rPr>
        <w:t xml:space="preserve"> EU</w:t>
      </w:r>
      <w:r w:rsidR="001767B0">
        <w:rPr>
          <w:rFonts w:ascii="Book Antiqua" w:hAnsi="Book Antiqua" w:cs="Arial"/>
        </w:rPr>
        <w:t xml:space="preserve"> </w:t>
      </w:r>
      <w:r w:rsidR="00C9238A">
        <w:rPr>
          <w:rFonts w:ascii="Book Antiqua" w:hAnsi="Book Antiqua" w:cs="Arial"/>
        </w:rPr>
        <w:t>T</w:t>
      </w:r>
      <w:r w:rsidR="001767B0">
        <w:rPr>
          <w:rFonts w:ascii="Book Antiqua" w:hAnsi="Book Antiqua" w:cs="Arial"/>
        </w:rPr>
        <w:t xml:space="preserve">reaty rights in the United Kingdom or to have obtained pursuant to the </w:t>
      </w:r>
      <w:r w:rsidR="00C9238A">
        <w:rPr>
          <w:rFonts w:ascii="Book Antiqua" w:hAnsi="Book Antiqua" w:cs="Arial"/>
        </w:rPr>
        <w:t>R</w:t>
      </w:r>
      <w:r w:rsidR="001767B0">
        <w:rPr>
          <w:rFonts w:ascii="Book Antiqua" w:hAnsi="Book Antiqua" w:cs="Arial"/>
        </w:rPr>
        <w:t xml:space="preserve">egulations a right of permanent residence in this country.  </w:t>
      </w:r>
    </w:p>
    <w:p w:rsidR="00D61C0C" w:rsidRDefault="001767B0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was before the First-tier Tribunal Judge an absence of evidence to show that the wife was</w:t>
      </w:r>
      <w:r w:rsidR="00C9238A">
        <w:rPr>
          <w:rFonts w:ascii="Book Antiqua" w:hAnsi="Book Antiqua" w:cs="Arial"/>
        </w:rPr>
        <w:t xml:space="preserve"> a qualified person, in that she was</w:t>
      </w:r>
      <w:r>
        <w:rPr>
          <w:rFonts w:ascii="Book Antiqua" w:hAnsi="Book Antiqua" w:cs="Arial"/>
        </w:rPr>
        <w:t xml:space="preserve"> working</w:t>
      </w:r>
      <w:r w:rsidR="00C9238A">
        <w:rPr>
          <w:rFonts w:ascii="Book Antiqua" w:hAnsi="Book Antiqua" w:cs="Arial"/>
        </w:rPr>
        <w:t>;</w:t>
      </w:r>
      <w:r>
        <w:rPr>
          <w:rFonts w:ascii="Book Antiqua" w:hAnsi="Book Antiqua" w:cs="Arial"/>
        </w:rPr>
        <w:t xml:space="preserve"> was in receipt of jobseekers</w:t>
      </w:r>
      <w:r w:rsidR="00C9238A">
        <w:rPr>
          <w:rFonts w:ascii="Book Antiqua" w:hAnsi="Book Antiqua" w:cs="Arial"/>
        </w:rPr>
        <w:t xml:space="preserve">’ </w:t>
      </w:r>
      <w:r>
        <w:rPr>
          <w:rFonts w:ascii="Book Antiqua" w:hAnsi="Book Antiqua" w:cs="Arial"/>
        </w:rPr>
        <w:t>allowance</w:t>
      </w:r>
      <w:r w:rsidR="00C9238A">
        <w:rPr>
          <w:rFonts w:ascii="Book Antiqua" w:hAnsi="Book Antiqua" w:cs="Arial"/>
        </w:rPr>
        <w:t>;</w:t>
      </w:r>
      <w:r>
        <w:rPr>
          <w:rFonts w:ascii="Book Antiqua" w:hAnsi="Book Antiqua" w:cs="Arial"/>
        </w:rPr>
        <w:t xml:space="preserve"> or </w:t>
      </w:r>
      <w:r w:rsidR="006A77EC">
        <w:rPr>
          <w:rFonts w:ascii="Book Antiqua" w:hAnsi="Book Antiqua" w:cs="Arial"/>
        </w:rPr>
        <w:t>wa</w:t>
      </w:r>
      <w:r>
        <w:rPr>
          <w:rFonts w:ascii="Book Antiqua" w:hAnsi="Book Antiqua" w:cs="Arial"/>
        </w:rPr>
        <w:t>s a student.  There was</w:t>
      </w:r>
      <w:r w:rsidR="00C9238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however</w:t>
      </w:r>
      <w:r w:rsidR="00C9238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before the judge a</w:t>
      </w:r>
      <w:r w:rsidR="00C9238A">
        <w:rPr>
          <w:rFonts w:ascii="Book Antiqua" w:hAnsi="Book Antiqua" w:cs="Arial"/>
        </w:rPr>
        <w:t xml:space="preserve"> record of the</w:t>
      </w:r>
      <w:r>
        <w:rPr>
          <w:rFonts w:ascii="Book Antiqua" w:hAnsi="Book Antiqua" w:cs="Arial"/>
        </w:rPr>
        <w:t xml:space="preserve"> decision of the First-tier Tribunal in August 2011</w:t>
      </w:r>
      <w:r w:rsidR="00C9238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which concerned the appellant’s appeal against a decision to deport him from the United Kingdom as a foreign criminal.  Judge Lloyd-Smith noted that in th</w:t>
      </w:r>
      <w:r w:rsidR="00C9238A">
        <w:rPr>
          <w:rFonts w:ascii="Book Antiqua" w:hAnsi="Book Antiqua" w:cs="Arial"/>
        </w:rPr>
        <w:t>e</w:t>
      </w:r>
      <w:r>
        <w:rPr>
          <w:rFonts w:ascii="Book Antiqua" w:hAnsi="Book Antiqua" w:cs="Arial"/>
        </w:rPr>
        <w:t xml:space="preserve"> 2011 decision</w:t>
      </w:r>
      <w:r w:rsidR="00C9238A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Tribunal stated: “It is common ground that she </w:t>
      </w:r>
      <w:r w:rsidR="00C9238A">
        <w:rPr>
          <w:rFonts w:ascii="Book Antiqua" w:hAnsi="Book Antiqua" w:cs="Arial"/>
        </w:rPr>
        <w:t>[</w:t>
      </w:r>
      <w:r>
        <w:rPr>
          <w:rFonts w:ascii="Book Antiqua" w:hAnsi="Book Antiqua" w:cs="Arial"/>
        </w:rPr>
        <w:t>that is to the wife</w:t>
      </w:r>
      <w:r w:rsidR="00C9238A">
        <w:rPr>
          <w:rFonts w:ascii="Book Antiqua" w:hAnsi="Book Antiqua" w:cs="Arial"/>
        </w:rPr>
        <w:t>]</w:t>
      </w:r>
      <w:r>
        <w:rPr>
          <w:rFonts w:ascii="Book Antiqua" w:hAnsi="Book Antiqua" w:cs="Arial"/>
        </w:rPr>
        <w:t xml:space="preserve"> has been exercising </w:t>
      </w:r>
      <w:r w:rsidR="00C9238A">
        <w:rPr>
          <w:rFonts w:ascii="Book Antiqua" w:hAnsi="Book Antiqua" w:cs="Arial"/>
        </w:rPr>
        <w:t>Tr</w:t>
      </w:r>
      <w:r>
        <w:rPr>
          <w:rFonts w:ascii="Book Antiqua" w:hAnsi="Book Antiqua" w:cs="Arial"/>
        </w:rPr>
        <w:t xml:space="preserve">eaty rights as an EEA national as a worker in the UK since 2005”.  </w:t>
      </w:r>
    </w:p>
    <w:p w:rsidR="003623AE" w:rsidRDefault="001767B0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 w:rsidRPr="003623AE">
        <w:rPr>
          <w:rFonts w:ascii="Book Antiqua" w:hAnsi="Book Antiqua" w:cs="Arial"/>
        </w:rPr>
        <w:t>The grounds of challenge to Judge</w:t>
      </w:r>
      <w:r w:rsidR="00D61C0C" w:rsidRPr="003623AE">
        <w:rPr>
          <w:rFonts w:ascii="Book Antiqua" w:hAnsi="Book Antiqua" w:cs="Arial"/>
        </w:rPr>
        <w:t xml:space="preserve"> </w:t>
      </w:r>
      <w:r w:rsidRPr="003623AE">
        <w:rPr>
          <w:rFonts w:ascii="Book Antiqua" w:hAnsi="Book Antiqua" w:cs="Arial"/>
        </w:rPr>
        <w:t>Lloyd-Smith</w:t>
      </w:r>
      <w:r w:rsidR="00D61C0C" w:rsidRPr="003623AE">
        <w:rPr>
          <w:rFonts w:ascii="Book Antiqua" w:hAnsi="Book Antiqua" w:cs="Arial"/>
        </w:rPr>
        <w:t xml:space="preserve">’s decision contend that the judge ignored that highly significant matter.  If it was the case that the wife had acquired </w:t>
      </w:r>
      <w:r w:rsidR="003623AE" w:rsidRPr="003623AE">
        <w:rPr>
          <w:rFonts w:ascii="Book Antiqua" w:hAnsi="Book Antiqua" w:cs="Arial"/>
        </w:rPr>
        <w:t xml:space="preserve">the </w:t>
      </w:r>
      <w:r w:rsidR="00D61C0C" w:rsidRPr="003623AE">
        <w:rPr>
          <w:rFonts w:ascii="Book Antiqua" w:hAnsi="Book Antiqua" w:cs="Arial"/>
        </w:rPr>
        <w:t>right of permanent residence in 2011</w:t>
      </w:r>
      <w:r w:rsidR="00C9238A">
        <w:rPr>
          <w:rFonts w:ascii="Book Antiqua" w:hAnsi="Book Antiqua" w:cs="Arial"/>
        </w:rPr>
        <w:t>,</w:t>
      </w:r>
      <w:r w:rsidR="00D61C0C" w:rsidRPr="003623AE">
        <w:rPr>
          <w:rFonts w:ascii="Book Antiqua" w:hAnsi="Book Antiqua" w:cs="Arial"/>
        </w:rPr>
        <w:t xml:space="preserve"> then it mattered not whether she had since that time been working</w:t>
      </w:r>
      <w:r w:rsidR="00C9238A">
        <w:rPr>
          <w:rFonts w:ascii="Book Antiqua" w:hAnsi="Book Antiqua" w:cs="Arial"/>
        </w:rPr>
        <w:t>,</w:t>
      </w:r>
      <w:r w:rsidR="00D61C0C" w:rsidRPr="003623AE">
        <w:rPr>
          <w:rFonts w:ascii="Book Antiqua" w:hAnsi="Book Antiqua" w:cs="Arial"/>
        </w:rPr>
        <w:t xml:space="preserve"> receiving job seekers</w:t>
      </w:r>
      <w:r w:rsidR="00C9238A">
        <w:rPr>
          <w:rFonts w:ascii="Book Antiqua" w:hAnsi="Book Antiqua" w:cs="Arial"/>
        </w:rPr>
        <w:t>’</w:t>
      </w:r>
      <w:r w:rsidR="00D61C0C" w:rsidRPr="003623AE">
        <w:rPr>
          <w:rFonts w:ascii="Book Antiqua" w:hAnsi="Book Antiqua" w:cs="Arial"/>
        </w:rPr>
        <w:t xml:space="preserve"> allowance of studying.  </w:t>
      </w:r>
      <w:r w:rsidR="008D4E30" w:rsidRPr="003623AE">
        <w:rPr>
          <w:rFonts w:ascii="Book Antiqua" w:hAnsi="Book Antiqua" w:cs="Arial"/>
        </w:rPr>
        <w:t>The appellant therefore submits that the First-tier Tribunal was wrong to ignore that evidence.  Indeed</w:t>
      </w:r>
      <w:r w:rsidR="00C9238A">
        <w:rPr>
          <w:rFonts w:ascii="Book Antiqua" w:hAnsi="Book Antiqua" w:cs="Arial"/>
        </w:rPr>
        <w:t>,</w:t>
      </w:r>
      <w:r w:rsidR="008D4E30" w:rsidRPr="003623AE">
        <w:rPr>
          <w:rFonts w:ascii="Book Antiqua" w:hAnsi="Book Antiqua" w:cs="Arial"/>
        </w:rPr>
        <w:t xml:space="preserve"> Mrs </w:t>
      </w:r>
      <w:proofErr w:type="spellStart"/>
      <w:r w:rsidR="008D4E30" w:rsidRPr="003623AE">
        <w:rPr>
          <w:rFonts w:ascii="Book Antiqua" w:hAnsi="Book Antiqua" w:cs="Arial"/>
        </w:rPr>
        <w:t>Johnrose</w:t>
      </w:r>
      <w:proofErr w:type="spellEnd"/>
      <w:r w:rsidR="008D4E30" w:rsidRPr="003623AE">
        <w:rPr>
          <w:rFonts w:ascii="Book Antiqua" w:hAnsi="Book Antiqua" w:cs="Arial"/>
        </w:rPr>
        <w:t xml:space="preserve"> submits that it is determinative of the matter.  </w:t>
      </w:r>
    </w:p>
    <w:p w:rsidR="005223F8" w:rsidRDefault="008D4E30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 w:rsidRPr="003623AE">
        <w:rPr>
          <w:rFonts w:ascii="Book Antiqua" w:hAnsi="Book Antiqua" w:cs="Arial"/>
        </w:rPr>
        <w:t>For the respondent</w:t>
      </w:r>
      <w:r w:rsidR="00C9238A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Mr Bates submits that th</w:t>
      </w:r>
      <w:r w:rsidR="00C9238A">
        <w:rPr>
          <w:rFonts w:ascii="Book Antiqua" w:hAnsi="Book Antiqua" w:cs="Arial"/>
        </w:rPr>
        <w:t>e</w:t>
      </w:r>
      <w:r w:rsidRPr="003623AE">
        <w:rPr>
          <w:rFonts w:ascii="Book Antiqua" w:hAnsi="Book Antiqua" w:cs="Arial"/>
        </w:rPr>
        <w:t xml:space="preserve"> finding of the First-tier Tribunal in 2011 is not accepted by the respondent as</w:t>
      </w:r>
      <w:r w:rsidR="00C9238A">
        <w:rPr>
          <w:rFonts w:ascii="Book Antiqua" w:hAnsi="Book Antiqua" w:cs="Arial"/>
        </w:rPr>
        <w:t xml:space="preserve"> being</w:t>
      </w:r>
      <w:r w:rsidRPr="003623AE">
        <w:rPr>
          <w:rFonts w:ascii="Book Antiqua" w:hAnsi="Book Antiqua" w:cs="Arial"/>
        </w:rPr>
        <w:t xml:space="preserve"> determinative of</w:t>
      </w:r>
      <w:r w:rsidR="00C9238A">
        <w:rPr>
          <w:rFonts w:ascii="Book Antiqua" w:hAnsi="Book Antiqua" w:cs="Arial"/>
        </w:rPr>
        <w:t xml:space="preserve"> the</w:t>
      </w:r>
      <w:r w:rsidRPr="003623AE">
        <w:rPr>
          <w:rFonts w:ascii="Book Antiqua" w:hAnsi="Book Antiqua" w:cs="Arial"/>
        </w:rPr>
        <w:t xml:space="preserve"> wife’s status.  He points out that the wife has never made an application </w:t>
      </w:r>
      <w:r w:rsidR="00D37276" w:rsidRPr="003623AE">
        <w:rPr>
          <w:rFonts w:ascii="Book Antiqua" w:hAnsi="Book Antiqua" w:cs="Arial"/>
        </w:rPr>
        <w:t xml:space="preserve">to be recognised as </w:t>
      </w:r>
      <w:r w:rsidR="00954C81" w:rsidRPr="003623AE">
        <w:rPr>
          <w:rFonts w:ascii="Book Antiqua" w:hAnsi="Book Antiqua" w:cs="Arial"/>
        </w:rPr>
        <w:t xml:space="preserve">a </w:t>
      </w:r>
      <w:r w:rsidR="00D37276" w:rsidRPr="003623AE">
        <w:rPr>
          <w:rFonts w:ascii="Book Antiqua" w:hAnsi="Book Antiqua" w:cs="Arial"/>
        </w:rPr>
        <w:t>permanent resident in the United Kingdom.  Mr Bates acknowledges</w:t>
      </w:r>
      <w:r w:rsidR="00C9238A">
        <w:rPr>
          <w:rFonts w:ascii="Book Antiqua" w:hAnsi="Book Antiqua" w:cs="Arial"/>
        </w:rPr>
        <w:t>,</w:t>
      </w:r>
      <w:r w:rsidR="00D37276" w:rsidRPr="003623AE">
        <w:rPr>
          <w:rFonts w:ascii="Book Antiqua" w:hAnsi="Book Antiqua" w:cs="Arial"/>
        </w:rPr>
        <w:t xml:space="preserve"> however</w:t>
      </w:r>
      <w:r w:rsidR="00C9238A">
        <w:rPr>
          <w:rFonts w:ascii="Book Antiqua" w:hAnsi="Book Antiqua" w:cs="Arial"/>
        </w:rPr>
        <w:t>,</w:t>
      </w:r>
      <w:r w:rsidR="00D37276" w:rsidRPr="003623AE">
        <w:rPr>
          <w:rFonts w:ascii="Book Antiqua" w:hAnsi="Book Antiqua" w:cs="Arial"/>
        </w:rPr>
        <w:t xml:space="preserve"> that th</w:t>
      </w:r>
      <w:r w:rsidR="00C9238A">
        <w:rPr>
          <w:rFonts w:ascii="Book Antiqua" w:hAnsi="Book Antiqua" w:cs="Arial"/>
        </w:rPr>
        <w:t>is</w:t>
      </w:r>
      <w:r w:rsidR="00D37276" w:rsidRPr="003623AE">
        <w:rPr>
          <w:rFonts w:ascii="Book Antiqua" w:hAnsi="Book Antiqua" w:cs="Arial"/>
        </w:rPr>
        <w:t xml:space="preserve"> is not necessarily </w:t>
      </w:r>
      <w:r w:rsidR="00C9238A">
        <w:rPr>
          <w:rFonts w:ascii="Book Antiqua" w:hAnsi="Book Antiqua" w:cs="Arial"/>
        </w:rPr>
        <w:t>indicative</w:t>
      </w:r>
      <w:r w:rsidR="00954C81" w:rsidRPr="003623AE">
        <w:rPr>
          <w:rFonts w:ascii="Book Antiqua" w:hAnsi="Book Antiqua" w:cs="Arial"/>
        </w:rPr>
        <w:t xml:space="preserve"> of the fact that the wife does not consider herself to be in a position to obtain </w:t>
      </w:r>
      <w:r w:rsidR="005223F8">
        <w:rPr>
          <w:rFonts w:ascii="Book Antiqua" w:hAnsi="Book Antiqua" w:cs="Arial"/>
        </w:rPr>
        <w:t>formal</w:t>
      </w:r>
      <w:r w:rsidR="00954C81" w:rsidRPr="003623AE">
        <w:rPr>
          <w:rFonts w:ascii="Book Antiqua" w:hAnsi="Book Antiqua" w:cs="Arial"/>
        </w:rPr>
        <w:t xml:space="preserve"> recognition of that right.  </w:t>
      </w:r>
    </w:p>
    <w:p w:rsidR="00C9238A" w:rsidRDefault="00954C81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 w:rsidRPr="003623AE">
        <w:rPr>
          <w:rFonts w:ascii="Book Antiqua" w:hAnsi="Book Antiqua" w:cs="Arial"/>
        </w:rPr>
        <w:t xml:space="preserve">I remind myself that rights of this kind are not conferred by the documentation referred to in the </w:t>
      </w:r>
      <w:r w:rsidR="00C9238A">
        <w:rPr>
          <w:rFonts w:ascii="Book Antiqua" w:hAnsi="Book Antiqua" w:cs="Arial"/>
        </w:rPr>
        <w:t>R</w:t>
      </w:r>
      <w:r w:rsidRPr="003623AE">
        <w:rPr>
          <w:rFonts w:ascii="Book Antiqua" w:hAnsi="Book Antiqua" w:cs="Arial"/>
        </w:rPr>
        <w:t>egulations</w:t>
      </w:r>
      <w:r w:rsidR="00C9238A">
        <w:rPr>
          <w:rFonts w:ascii="Book Antiqua" w:hAnsi="Book Antiqua" w:cs="Arial"/>
        </w:rPr>
        <w:t>;</w:t>
      </w:r>
      <w:r w:rsidRPr="003623AE">
        <w:rPr>
          <w:rFonts w:ascii="Book Antiqua" w:hAnsi="Book Antiqua" w:cs="Arial"/>
        </w:rPr>
        <w:t xml:space="preserve"> rather</w:t>
      </w:r>
      <w:r w:rsidR="00C9238A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the rights arise under EU Treaty law.  Mrs </w:t>
      </w:r>
      <w:proofErr w:type="spellStart"/>
      <w:r w:rsidRPr="003623AE">
        <w:rPr>
          <w:rFonts w:ascii="Book Antiqua" w:hAnsi="Book Antiqua" w:cs="Arial"/>
        </w:rPr>
        <w:t>Johnrose</w:t>
      </w:r>
      <w:proofErr w:type="spellEnd"/>
      <w:r w:rsidR="00C9238A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in reply to Mr Bates</w:t>
      </w:r>
      <w:r w:rsidR="00C9238A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points out the following.  </w:t>
      </w:r>
      <w:r w:rsidR="00C9238A">
        <w:rPr>
          <w:rFonts w:ascii="Book Antiqua" w:hAnsi="Book Antiqua" w:cs="Arial"/>
        </w:rPr>
        <w:t>A</w:t>
      </w:r>
      <w:r w:rsidRPr="003623AE">
        <w:rPr>
          <w:rFonts w:ascii="Book Antiqua" w:hAnsi="Book Antiqua" w:cs="Arial"/>
        </w:rPr>
        <w:t>lthough at paragraph 17</w:t>
      </w:r>
      <w:r w:rsidR="00C9238A">
        <w:rPr>
          <w:rFonts w:ascii="Book Antiqua" w:hAnsi="Book Antiqua" w:cs="Arial"/>
        </w:rPr>
        <w:t xml:space="preserve"> of its decision,</w:t>
      </w:r>
      <w:r w:rsidRPr="003623AE">
        <w:rPr>
          <w:rFonts w:ascii="Book Antiqua" w:hAnsi="Book Antiqua" w:cs="Arial"/>
        </w:rPr>
        <w:t xml:space="preserve"> the First-tier Tribunal in 20</w:t>
      </w:r>
      <w:r w:rsidR="00C9238A">
        <w:rPr>
          <w:rFonts w:ascii="Book Antiqua" w:hAnsi="Book Antiqua" w:cs="Arial"/>
        </w:rPr>
        <w:t>1</w:t>
      </w:r>
      <w:r w:rsidRPr="003623AE">
        <w:rPr>
          <w:rFonts w:ascii="Book Antiqua" w:hAnsi="Book Antiqua" w:cs="Arial"/>
        </w:rPr>
        <w:t xml:space="preserve">1 </w:t>
      </w:r>
      <w:r w:rsidR="005223F8">
        <w:rPr>
          <w:rFonts w:ascii="Book Antiqua" w:hAnsi="Book Antiqua" w:cs="Arial"/>
        </w:rPr>
        <w:t>was</w:t>
      </w:r>
      <w:r w:rsidRPr="003623AE">
        <w:rPr>
          <w:rFonts w:ascii="Book Antiqua" w:hAnsi="Book Antiqua" w:cs="Arial"/>
        </w:rPr>
        <w:t xml:space="preserve"> dealing with a case whereby the power of removal was governed by what they described as “Tier 1”</w:t>
      </w:r>
      <w:r w:rsidR="00E170EA" w:rsidRPr="003623AE">
        <w:rPr>
          <w:rFonts w:ascii="Book Antiqua" w:hAnsi="Book Antiqua" w:cs="Arial"/>
        </w:rPr>
        <w:t>, that is to say</w:t>
      </w:r>
      <w:r w:rsidR="00C9238A">
        <w:rPr>
          <w:rFonts w:ascii="Book Antiqua" w:hAnsi="Book Antiqua" w:cs="Arial"/>
        </w:rPr>
        <w:t>,</w:t>
      </w:r>
      <w:r w:rsidR="00E170EA" w:rsidRPr="003623AE">
        <w:rPr>
          <w:rFonts w:ascii="Book Antiqua" w:hAnsi="Book Antiqua" w:cs="Arial"/>
        </w:rPr>
        <w:t xml:space="preserve"> not by reference to a right of permanent residence</w:t>
      </w:r>
      <w:r w:rsidR="00C9238A">
        <w:rPr>
          <w:rFonts w:ascii="Book Antiqua" w:hAnsi="Book Antiqua" w:cs="Arial"/>
        </w:rPr>
        <w:t>,</w:t>
      </w:r>
      <w:r w:rsidR="005223F8">
        <w:rPr>
          <w:rFonts w:ascii="Book Antiqua" w:hAnsi="Book Antiqua" w:cs="Arial"/>
        </w:rPr>
        <w:t xml:space="preserve"> t</w:t>
      </w:r>
      <w:r w:rsidR="00E170EA" w:rsidRPr="003623AE">
        <w:rPr>
          <w:rFonts w:ascii="Book Antiqua" w:hAnsi="Book Antiqua" w:cs="Arial"/>
        </w:rPr>
        <w:t>he Tribunal nevertheless c</w:t>
      </w:r>
      <w:r w:rsidR="00C9238A">
        <w:rPr>
          <w:rFonts w:ascii="Book Antiqua" w:hAnsi="Book Antiqua" w:cs="Arial"/>
        </w:rPr>
        <w:t>an</w:t>
      </w:r>
      <w:r w:rsidR="00E170EA" w:rsidRPr="003623AE">
        <w:rPr>
          <w:rFonts w:ascii="Book Antiqua" w:hAnsi="Book Antiqua" w:cs="Arial"/>
        </w:rPr>
        <w:t xml:space="preserve"> be taken from paragraph 20 as indicating that that was in substance what they were doing.  She says that</w:t>
      </w:r>
      <w:r w:rsidR="00C9238A">
        <w:rPr>
          <w:rFonts w:ascii="Book Antiqua" w:hAnsi="Book Antiqua" w:cs="Arial"/>
        </w:rPr>
        <w:t>,</w:t>
      </w:r>
      <w:r w:rsidR="00E170EA" w:rsidRPr="003623AE">
        <w:rPr>
          <w:rFonts w:ascii="Book Antiqua" w:hAnsi="Book Antiqua" w:cs="Arial"/>
        </w:rPr>
        <w:t xml:space="preserve"> because the Tribunal cited with approval the case of </w:t>
      </w:r>
      <w:proofErr w:type="spellStart"/>
      <w:r w:rsidR="00E170EA" w:rsidRPr="005223F8">
        <w:rPr>
          <w:rFonts w:ascii="Book Antiqua" w:hAnsi="Book Antiqua" w:cs="Arial"/>
          <w:u w:val="single"/>
        </w:rPr>
        <w:t>Bulale</w:t>
      </w:r>
      <w:proofErr w:type="spellEnd"/>
      <w:r w:rsidR="00E170EA" w:rsidRPr="005223F8">
        <w:rPr>
          <w:rFonts w:ascii="Book Antiqua" w:hAnsi="Book Antiqua" w:cs="Arial"/>
          <w:u w:val="single"/>
        </w:rPr>
        <w:t xml:space="preserve"> v Secretary of State for the Home Department</w:t>
      </w:r>
      <w:r w:rsidR="00E170EA" w:rsidRPr="003623AE">
        <w:rPr>
          <w:rFonts w:ascii="Book Antiqua" w:hAnsi="Book Antiqua" w:cs="Arial"/>
        </w:rPr>
        <w:t xml:space="preserve"> [2008] EWCA </w:t>
      </w:r>
      <w:proofErr w:type="spellStart"/>
      <w:r w:rsidR="00E170EA" w:rsidRPr="003623AE">
        <w:rPr>
          <w:rFonts w:ascii="Book Antiqua" w:hAnsi="Book Antiqua" w:cs="Arial"/>
        </w:rPr>
        <w:t>Civ</w:t>
      </w:r>
      <w:proofErr w:type="spellEnd"/>
      <w:r w:rsidR="00E170EA" w:rsidRPr="003623AE">
        <w:rPr>
          <w:rFonts w:ascii="Book Antiqua" w:hAnsi="Book Antiqua" w:cs="Arial"/>
        </w:rPr>
        <w:t xml:space="preserve"> 806</w:t>
      </w:r>
      <w:r w:rsidR="00C9238A">
        <w:rPr>
          <w:rFonts w:ascii="Book Antiqua" w:hAnsi="Book Antiqua" w:cs="Arial"/>
        </w:rPr>
        <w:t>. This</w:t>
      </w:r>
      <w:r w:rsidR="00E170EA" w:rsidRPr="003623AE">
        <w:rPr>
          <w:rFonts w:ascii="Book Antiqua" w:hAnsi="Book Antiqua" w:cs="Arial"/>
        </w:rPr>
        <w:t xml:space="preserve"> was a case that concerned the operation of the</w:t>
      </w:r>
      <w:r w:rsidR="00C9238A">
        <w:rPr>
          <w:rFonts w:ascii="Book Antiqua" w:hAnsi="Book Antiqua" w:cs="Arial"/>
        </w:rPr>
        <w:t xml:space="preserve"> EEA</w:t>
      </w:r>
      <w:r w:rsidR="00E170EA" w:rsidRPr="003623AE">
        <w:rPr>
          <w:rFonts w:ascii="Book Antiqua" w:hAnsi="Book Antiqua" w:cs="Arial"/>
        </w:rPr>
        <w:t xml:space="preserve"> </w:t>
      </w:r>
      <w:r w:rsidR="00C9238A">
        <w:rPr>
          <w:rFonts w:ascii="Book Antiqua" w:hAnsi="Book Antiqua" w:cs="Arial"/>
        </w:rPr>
        <w:t>R</w:t>
      </w:r>
      <w:r w:rsidR="00E170EA" w:rsidRPr="003623AE">
        <w:rPr>
          <w:rFonts w:ascii="Book Antiqua" w:hAnsi="Book Antiqua" w:cs="Arial"/>
        </w:rPr>
        <w:t xml:space="preserve">egulations in relation </w:t>
      </w:r>
      <w:r w:rsidR="00DB2A8C" w:rsidRPr="003623AE">
        <w:rPr>
          <w:rFonts w:ascii="Book Antiqua" w:hAnsi="Book Antiqua" w:cs="Arial"/>
        </w:rPr>
        <w:t>to someone</w:t>
      </w:r>
      <w:r w:rsidR="00C9238A">
        <w:rPr>
          <w:rFonts w:ascii="Book Antiqua" w:hAnsi="Book Antiqua" w:cs="Arial"/>
        </w:rPr>
        <w:t xml:space="preserve"> who was</w:t>
      </w:r>
      <w:r w:rsidR="00DB2A8C" w:rsidRPr="003623AE">
        <w:rPr>
          <w:rFonts w:ascii="Book Antiqua" w:hAnsi="Book Antiqua" w:cs="Arial"/>
        </w:rPr>
        <w:t xml:space="preserve"> in that position</w:t>
      </w:r>
      <w:r w:rsidR="00C9238A">
        <w:rPr>
          <w:rFonts w:ascii="Book Antiqua" w:hAnsi="Book Antiqua" w:cs="Arial"/>
        </w:rPr>
        <w:t>; namely, who enjoyed a permanent right of residence</w:t>
      </w:r>
      <w:r w:rsidR="00DB2A8C" w:rsidRPr="003623AE">
        <w:rPr>
          <w:rFonts w:ascii="Book Antiqua" w:hAnsi="Book Antiqua" w:cs="Arial"/>
        </w:rPr>
        <w:t>.</w:t>
      </w:r>
    </w:p>
    <w:p w:rsidR="005223F8" w:rsidRDefault="00C9238A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 find there is force in that submission.</w:t>
      </w:r>
      <w:r w:rsidR="00DB2A8C" w:rsidRPr="003623AE">
        <w:rPr>
          <w:rFonts w:ascii="Book Antiqua" w:hAnsi="Book Antiqua" w:cs="Arial"/>
        </w:rPr>
        <w:t xml:space="preserve">  </w:t>
      </w:r>
      <w:r w:rsidR="002E6DF1" w:rsidRPr="003623AE">
        <w:rPr>
          <w:rFonts w:ascii="Book Antiqua" w:hAnsi="Book Antiqua" w:cs="Arial"/>
        </w:rPr>
        <w:t>In my view it was plainly an error of law for the judge in the present case to ignore the</w:t>
      </w:r>
      <w:r>
        <w:rPr>
          <w:rFonts w:ascii="Book Antiqua" w:hAnsi="Book Antiqua" w:cs="Arial"/>
        </w:rPr>
        <w:t xml:space="preserve"> Tribunal’s</w:t>
      </w:r>
      <w:r w:rsidR="002E6DF1" w:rsidRPr="003623AE">
        <w:rPr>
          <w:rFonts w:ascii="Book Antiqua" w:hAnsi="Book Antiqua" w:cs="Arial"/>
        </w:rPr>
        <w:t xml:space="preserve"> finding in 2011</w:t>
      </w:r>
      <w:r>
        <w:rPr>
          <w:rFonts w:ascii="Book Antiqua" w:hAnsi="Book Antiqua" w:cs="Arial"/>
        </w:rPr>
        <w:t xml:space="preserve"> regarding the wife</w:t>
      </w:r>
      <w:r w:rsidR="002E6DF1" w:rsidRPr="003623AE">
        <w:rPr>
          <w:rFonts w:ascii="Book Antiqua" w:hAnsi="Book Antiqua" w:cs="Arial"/>
        </w:rPr>
        <w:t xml:space="preserve">.  </w:t>
      </w:r>
    </w:p>
    <w:p w:rsidR="00240E19" w:rsidRDefault="002E6DF1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 w:rsidRPr="003623AE">
        <w:rPr>
          <w:rFonts w:ascii="Book Antiqua" w:hAnsi="Book Antiqua" w:cs="Arial"/>
        </w:rPr>
        <w:lastRenderedPageBreak/>
        <w:t>On its face</w:t>
      </w:r>
      <w:r w:rsidR="000C2B95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the fact that </w:t>
      </w:r>
      <w:r w:rsidR="000C2B95">
        <w:rPr>
          <w:rFonts w:ascii="Book Antiqua" w:hAnsi="Book Antiqua" w:cs="Arial"/>
        </w:rPr>
        <w:t>the Tribunal said it was</w:t>
      </w:r>
      <w:r w:rsidRPr="003623AE">
        <w:rPr>
          <w:rFonts w:ascii="Book Antiqua" w:hAnsi="Book Antiqua" w:cs="Arial"/>
        </w:rPr>
        <w:t xml:space="preserve"> “</w:t>
      </w:r>
      <w:r w:rsidRPr="000C2B95">
        <w:rPr>
          <w:rFonts w:ascii="Book Antiqua" w:hAnsi="Book Antiqua" w:cs="Arial"/>
          <w:u w:val="single"/>
        </w:rPr>
        <w:t>common ground</w:t>
      </w:r>
      <w:r w:rsidRPr="003623AE">
        <w:rPr>
          <w:rFonts w:ascii="Book Antiqua" w:hAnsi="Book Antiqua" w:cs="Arial"/>
        </w:rPr>
        <w:t xml:space="preserve"> </w:t>
      </w:r>
      <w:r w:rsidR="000C2B95">
        <w:rPr>
          <w:rFonts w:ascii="Book Antiqua" w:hAnsi="Book Antiqua" w:cs="Arial"/>
        </w:rPr>
        <w:t xml:space="preserve">[my emphasis] </w:t>
      </w:r>
      <w:r w:rsidRPr="003623AE">
        <w:rPr>
          <w:rFonts w:ascii="Book Antiqua" w:hAnsi="Book Antiqua" w:cs="Arial"/>
        </w:rPr>
        <w:t xml:space="preserve">that </w:t>
      </w:r>
      <w:r w:rsidR="005C769F">
        <w:rPr>
          <w:rFonts w:ascii="Book Antiqua" w:hAnsi="Book Antiqua" w:cs="Arial"/>
        </w:rPr>
        <w:t>(</w:t>
      </w:r>
      <w:r w:rsidRPr="003623AE">
        <w:rPr>
          <w:rFonts w:ascii="Book Antiqua" w:hAnsi="Book Antiqua" w:cs="Arial"/>
        </w:rPr>
        <w:t>the wife</w:t>
      </w:r>
      <w:r w:rsidR="005C769F">
        <w:rPr>
          <w:rFonts w:ascii="Book Antiqua" w:hAnsi="Book Antiqua" w:cs="Arial"/>
        </w:rPr>
        <w:t>)</w:t>
      </w:r>
      <w:r w:rsidRPr="003623AE">
        <w:rPr>
          <w:rFonts w:ascii="Book Antiqua" w:hAnsi="Book Antiqua" w:cs="Arial"/>
        </w:rPr>
        <w:t xml:space="preserve"> had been exercising </w:t>
      </w:r>
      <w:r w:rsidR="000C2B95">
        <w:rPr>
          <w:rFonts w:ascii="Book Antiqua" w:hAnsi="Book Antiqua" w:cs="Arial"/>
        </w:rPr>
        <w:t>T</w:t>
      </w:r>
      <w:r w:rsidRPr="003623AE">
        <w:rPr>
          <w:rFonts w:ascii="Book Antiqua" w:hAnsi="Book Antiqua" w:cs="Arial"/>
        </w:rPr>
        <w:t xml:space="preserve">reaty rights as an EEA national as a worker in the UK since 2005” meant there </w:t>
      </w:r>
      <w:r w:rsidR="000C2B95">
        <w:rPr>
          <w:rFonts w:ascii="Book Antiqua" w:hAnsi="Book Antiqua" w:cs="Arial"/>
        </w:rPr>
        <w:t>must have been</w:t>
      </w:r>
      <w:r w:rsidRPr="003623AE">
        <w:rPr>
          <w:rFonts w:ascii="Book Antiqua" w:hAnsi="Book Antiqua" w:cs="Arial"/>
        </w:rPr>
        <w:t xml:space="preserve"> a</w:t>
      </w:r>
      <w:r w:rsidR="00240E19">
        <w:rPr>
          <w:rFonts w:ascii="Book Antiqua" w:hAnsi="Book Antiqua" w:cs="Arial"/>
        </w:rPr>
        <w:t>n</w:t>
      </w:r>
      <w:r w:rsidRPr="003623AE">
        <w:rPr>
          <w:rFonts w:ascii="Book Antiqua" w:hAnsi="Book Antiqua" w:cs="Arial"/>
        </w:rPr>
        <w:t xml:space="preserve"> acknowledgement by the Secretary of State that the wife had acquired a permanent right of residence.  I do not accept that that categorical statement in paragraph 3 falls to be </w:t>
      </w:r>
      <w:r w:rsidR="00D35C64" w:rsidRPr="003623AE">
        <w:rPr>
          <w:rFonts w:ascii="Book Antiqua" w:hAnsi="Book Antiqua" w:cs="Arial"/>
        </w:rPr>
        <w:t xml:space="preserve">qualified in the way that Mr Bates suggested it should.  </w:t>
      </w:r>
    </w:p>
    <w:p w:rsidR="00240E19" w:rsidRDefault="000C2B95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 my view, it is immaterial w</w:t>
      </w:r>
      <w:r w:rsidR="00D35C64" w:rsidRPr="003623AE">
        <w:rPr>
          <w:rFonts w:ascii="Book Antiqua" w:hAnsi="Book Antiqua" w:cs="Arial"/>
        </w:rPr>
        <w:t>hether or not the Tribunal in 2011 expressly or by implication took on board the ramifications of that finding</w:t>
      </w:r>
      <w:r>
        <w:rPr>
          <w:rFonts w:ascii="Book Antiqua" w:hAnsi="Book Antiqua" w:cs="Arial"/>
        </w:rPr>
        <w:t>,</w:t>
      </w:r>
      <w:r w:rsidR="00D35C64" w:rsidRPr="003623AE">
        <w:rPr>
          <w:rFonts w:ascii="Book Antiqua" w:hAnsi="Book Antiqua" w:cs="Arial"/>
        </w:rPr>
        <w:t xml:space="preserve"> insofar as</w:t>
      </w:r>
      <w:r>
        <w:rPr>
          <w:rFonts w:ascii="Book Antiqua" w:hAnsi="Book Antiqua" w:cs="Arial"/>
        </w:rPr>
        <w:t xml:space="preserve"> it impacted on</w:t>
      </w:r>
      <w:r w:rsidR="00D35C64" w:rsidRPr="003623AE">
        <w:rPr>
          <w:rFonts w:ascii="Book Antiqua" w:hAnsi="Book Antiqua" w:cs="Arial"/>
        </w:rPr>
        <w:t xml:space="preserve"> the mechanism by which the respondent could deport the appellant</w:t>
      </w:r>
      <w:r>
        <w:rPr>
          <w:rFonts w:ascii="Book Antiqua" w:hAnsi="Book Antiqua" w:cs="Arial"/>
        </w:rPr>
        <w:t>.</w:t>
      </w:r>
      <w:r w:rsidR="00D35C64" w:rsidRPr="003623AE">
        <w:rPr>
          <w:rFonts w:ascii="Book Antiqua" w:hAnsi="Book Antiqua" w:cs="Arial"/>
        </w:rPr>
        <w:t xml:space="preserve">  A finding of this kind by a </w:t>
      </w:r>
      <w:r>
        <w:rPr>
          <w:rFonts w:ascii="Book Antiqua" w:hAnsi="Book Antiqua" w:cs="Arial"/>
        </w:rPr>
        <w:t>T</w:t>
      </w:r>
      <w:r w:rsidR="00D35C64" w:rsidRPr="003623AE">
        <w:rPr>
          <w:rFonts w:ascii="Book Antiqua" w:hAnsi="Book Antiqua" w:cs="Arial"/>
        </w:rPr>
        <w:t>ribunal is not li</w:t>
      </w:r>
      <w:r>
        <w:rPr>
          <w:rFonts w:ascii="Book Antiqua" w:hAnsi="Book Antiqua" w:cs="Arial"/>
        </w:rPr>
        <w:t>ghtly</w:t>
      </w:r>
      <w:r w:rsidR="00D35C64" w:rsidRPr="003623AE">
        <w:rPr>
          <w:rFonts w:ascii="Book Antiqua" w:hAnsi="Book Antiqua" w:cs="Arial"/>
        </w:rPr>
        <w:t xml:space="preserve"> to be set aside or downplayed. </w:t>
      </w:r>
    </w:p>
    <w:p w:rsidR="00D973D2" w:rsidRDefault="00AD6EB8" w:rsidP="00F60D35">
      <w:pPr>
        <w:numPr>
          <w:ilvl w:val="0"/>
          <w:numId w:val="1"/>
        </w:numPr>
        <w:tabs>
          <w:tab w:val="clear" w:pos="567"/>
        </w:tabs>
        <w:spacing w:after="240"/>
        <w:jc w:val="both"/>
        <w:rPr>
          <w:rFonts w:ascii="Book Antiqua" w:hAnsi="Book Antiqua" w:cs="Arial"/>
        </w:rPr>
      </w:pPr>
      <w:r w:rsidRPr="003623AE">
        <w:rPr>
          <w:rFonts w:ascii="Book Antiqua" w:hAnsi="Book Antiqua" w:cs="Arial"/>
        </w:rPr>
        <w:t>For these reasons</w:t>
      </w:r>
      <w:r w:rsidR="000C2B95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there is a</w:t>
      </w:r>
      <w:r w:rsidR="000C2B95">
        <w:rPr>
          <w:rFonts w:ascii="Book Antiqua" w:hAnsi="Book Antiqua" w:cs="Arial"/>
        </w:rPr>
        <w:t xml:space="preserve"> material</w:t>
      </w:r>
      <w:r w:rsidRPr="003623AE">
        <w:rPr>
          <w:rFonts w:ascii="Book Antiqua" w:hAnsi="Book Antiqua" w:cs="Arial"/>
        </w:rPr>
        <w:t xml:space="preserve"> error of law in the decision</w:t>
      </w:r>
      <w:r w:rsidR="00DC4068">
        <w:rPr>
          <w:rFonts w:ascii="Book Antiqua" w:hAnsi="Book Antiqua" w:cs="Arial"/>
        </w:rPr>
        <w:t xml:space="preserve"> and</w:t>
      </w:r>
      <w:r w:rsidRPr="003623AE">
        <w:rPr>
          <w:rFonts w:ascii="Book Antiqua" w:hAnsi="Book Antiqua" w:cs="Arial"/>
        </w:rPr>
        <w:t xml:space="preserve"> I proceed to re-make </w:t>
      </w:r>
      <w:r w:rsidR="000C2B95">
        <w:rPr>
          <w:rFonts w:ascii="Book Antiqua" w:hAnsi="Book Antiqua" w:cs="Arial"/>
        </w:rPr>
        <w:t>the</w:t>
      </w:r>
      <w:r w:rsidRPr="003623AE">
        <w:rPr>
          <w:rFonts w:ascii="Book Antiqua" w:hAnsi="Book Antiqua" w:cs="Arial"/>
        </w:rPr>
        <w:t xml:space="preserve"> decision</w:t>
      </w:r>
      <w:r w:rsidR="000C2B95">
        <w:rPr>
          <w:rFonts w:ascii="Book Antiqua" w:hAnsi="Book Antiqua" w:cs="Arial"/>
        </w:rPr>
        <w:t xml:space="preserve"> in the appeal</w:t>
      </w:r>
      <w:r w:rsidRPr="003623AE">
        <w:rPr>
          <w:rFonts w:ascii="Book Antiqua" w:hAnsi="Book Antiqua" w:cs="Arial"/>
        </w:rPr>
        <w:t>.  In view of what I have said</w:t>
      </w:r>
      <w:r w:rsidR="000C2B95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I consider it manifest that there is evidence before the Tribunal to satisfy</w:t>
      </w:r>
      <w:r w:rsidR="000C2B95">
        <w:rPr>
          <w:rFonts w:ascii="Book Antiqua" w:hAnsi="Book Antiqua" w:cs="Arial"/>
        </w:rPr>
        <w:t xml:space="preserve"> me,</w:t>
      </w:r>
      <w:r w:rsidRPr="003623AE">
        <w:rPr>
          <w:rFonts w:ascii="Book Antiqua" w:hAnsi="Book Antiqua" w:cs="Arial"/>
        </w:rPr>
        <w:t xml:space="preserve"> on the balance of probabilities</w:t>
      </w:r>
      <w:r w:rsidR="000C2B95">
        <w:rPr>
          <w:rFonts w:ascii="Book Antiqua" w:hAnsi="Book Antiqua" w:cs="Arial"/>
        </w:rPr>
        <w:t>,</w:t>
      </w:r>
      <w:r w:rsidRPr="003623AE">
        <w:rPr>
          <w:rFonts w:ascii="Book Antiqua" w:hAnsi="Book Antiqua" w:cs="Arial"/>
        </w:rPr>
        <w:t xml:space="preserve"> that the appellant satisfies the requirements of the Rules</w:t>
      </w:r>
      <w:r w:rsidR="00DC4068">
        <w:rPr>
          <w:rFonts w:ascii="Book Antiqua" w:hAnsi="Book Antiqua" w:cs="Arial"/>
        </w:rPr>
        <w:t xml:space="preserve"> and </w:t>
      </w:r>
      <w:r w:rsidRPr="003623AE">
        <w:rPr>
          <w:rFonts w:ascii="Book Antiqua" w:hAnsi="Book Antiqua" w:cs="Arial"/>
        </w:rPr>
        <w:t xml:space="preserve">I therefore re-make the appeal by allowing it.  </w:t>
      </w:r>
    </w:p>
    <w:p w:rsidR="002B2BEB" w:rsidRPr="002B2BEB" w:rsidRDefault="002B2BEB" w:rsidP="002B2BEB">
      <w:pPr>
        <w:spacing w:after="240"/>
        <w:ind w:left="567" w:hanging="567"/>
        <w:jc w:val="both"/>
        <w:rPr>
          <w:rFonts w:ascii="Book Antiqua" w:hAnsi="Book Antiqua" w:cs="Arial"/>
          <w:b/>
          <w:u w:val="single"/>
        </w:rPr>
      </w:pPr>
      <w:r w:rsidRPr="002B2BEB">
        <w:rPr>
          <w:rFonts w:ascii="Book Antiqua" w:hAnsi="Book Antiqua" w:cs="Arial"/>
          <w:b/>
          <w:u w:val="single"/>
        </w:rPr>
        <w:t>Decision</w:t>
      </w:r>
    </w:p>
    <w:p w:rsidR="002B2BEB" w:rsidRPr="003623AE" w:rsidRDefault="002B2BEB" w:rsidP="002B2BEB">
      <w:pPr>
        <w:spacing w:after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 is allowed.</w:t>
      </w:r>
    </w:p>
    <w:p w:rsidR="00D973D2" w:rsidRDefault="00D973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No anonymity direction is made.</w:t>
      </w:r>
    </w:p>
    <w:p w:rsidR="00D973D2" w:rsidRDefault="00D973D2">
      <w:pPr>
        <w:ind w:left="540" w:hanging="540"/>
        <w:jc w:val="both"/>
        <w:rPr>
          <w:rFonts w:ascii="Book Antiqua" w:hAnsi="Book Antiqua" w:cs="Arial"/>
        </w:rPr>
      </w:pPr>
    </w:p>
    <w:p w:rsidR="00D973D2" w:rsidRDefault="00D973D2">
      <w:pPr>
        <w:ind w:left="540" w:hanging="540"/>
        <w:jc w:val="both"/>
        <w:rPr>
          <w:rFonts w:ascii="Book Antiqua" w:hAnsi="Book Antiqua" w:cs="Arial"/>
        </w:rPr>
      </w:pPr>
    </w:p>
    <w:p w:rsidR="00D973D2" w:rsidRDefault="00D973D2">
      <w:pPr>
        <w:ind w:left="540" w:hanging="540"/>
        <w:jc w:val="both"/>
        <w:rPr>
          <w:rFonts w:ascii="Book Antiqua" w:hAnsi="Book Antiqua" w:cs="Arial"/>
        </w:rPr>
      </w:pPr>
    </w:p>
    <w:p w:rsidR="00D973D2" w:rsidRDefault="00D973D2">
      <w:pPr>
        <w:ind w:left="540" w:hanging="540"/>
        <w:jc w:val="both"/>
        <w:rPr>
          <w:rFonts w:ascii="Book Antiqua" w:hAnsi="Book Antiqua" w:cs="Arial"/>
        </w:rPr>
      </w:pPr>
    </w:p>
    <w:p w:rsidR="00D973D2" w:rsidRDefault="00B43A0C">
      <w:pPr>
        <w:ind w:left="4508" w:hanging="539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D973D2">
        <w:rPr>
          <w:rFonts w:ascii="Book Antiqua" w:hAnsi="Book Antiqua" w:cs="Arial"/>
        </w:rPr>
        <w:t>Date</w:t>
      </w:r>
      <w:r>
        <w:rPr>
          <w:rFonts w:ascii="Book Antiqua" w:hAnsi="Book Antiqua" w:cs="Arial"/>
        </w:rPr>
        <w:t xml:space="preserve">  2 September 2018</w:t>
      </w:r>
    </w:p>
    <w:p w:rsidR="00D973D2" w:rsidRDefault="00D973D2">
      <w:pPr>
        <w:tabs>
          <w:tab w:val="left" w:pos="2520"/>
        </w:tabs>
        <w:ind w:left="4508" w:hanging="539"/>
        <w:rPr>
          <w:rFonts w:ascii="Book Antiqua" w:hAnsi="Book Antiqua" w:cs="Arial"/>
        </w:rPr>
      </w:pPr>
    </w:p>
    <w:p w:rsidR="00D973D2" w:rsidRDefault="00D973D2">
      <w:pPr>
        <w:tabs>
          <w:tab w:val="left" w:pos="2520"/>
        </w:tabs>
        <w:ind w:left="4508" w:hanging="539"/>
        <w:rPr>
          <w:rFonts w:ascii="Book Antiqua" w:hAnsi="Book Antiqua" w:cs="Arial"/>
        </w:rPr>
      </w:pPr>
    </w:p>
    <w:p w:rsidR="00D973D2" w:rsidRDefault="00D973D2">
      <w:pPr>
        <w:tabs>
          <w:tab w:val="left" w:pos="2520"/>
        </w:tabs>
        <w:ind w:left="4508" w:hanging="539"/>
        <w:rPr>
          <w:rFonts w:ascii="Book Antiqua" w:hAnsi="Book Antiqua" w:cs="Arial"/>
        </w:rPr>
      </w:pPr>
    </w:p>
    <w:p w:rsidR="00D973D2" w:rsidRDefault="00D973D2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</w:t>
      </w: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Arial"/>
              <w:color w:val="000000"/>
            </w:rPr>
            <w:t>Hon. Mr Justice Lane</w:t>
          </w:r>
        </w:smartTag>
      </w:smartTag>
    </w:p>
    <w:p w:rsidR="00D973D2" w:rsidRDefault="00D973D2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President of the Upper Tribunal </w:t>
      </w:r>
    </w:p>
    <w:p w:rsidR="00D973D2" w:rsidRDefault="00D973D2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Immigration and Asylum Chamber</w:t>
      </w:r>
    </w:p>
    <w:p w:rsidR="00D973D2" w:rsidRDefault="00D973D2">
      <w:pPr>
        <w:tabs>
          <w:tab w:val="left" w:pos="2520"/>
        </w:tabs>
        <w:rPr>
          <w:rFonts w:ascii="Book Antiqua" w:hAnsi="Book Antiqua" w:cs="Arial"/>
          <w:color w:val="000000"/>
        </w:rPr>
      </w:pPr>
    </w:p>
    <w:p w:rsidR="00D973D2" w:rsidRDefault="00D973D2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:rsidR="00D973D2" w:rsidRDefault="00D973D2">
      <w:pPr>
        <w:jc w:val="both"/>
        <w:rPr>
          <w:rFonts w:ascii="Book Antiqua" w:hAnsi="Book Antiqua" w:cs="Arial"/>
        </w:rPr>
      </w:pPr>
    </w:p>
    <w:p w:rsidR="00D973D2" w:rsidRDefault="00D973D2">
      <w:pPr>
        <w:jc w:val="both"/>
        <w:rPr>
          <w:rFonts w:ascii="Book Antiqua" w:hAnsi="Book Antiqua" w:cs="Arial"/>
        </w:rPr>
      </w:pPr>
    </w:p>
    <w:p w:rsidR="00D973D2" w:rsidRDefault="00D973D2">
      <w:pPr>
        <w:jc w:val="both"/>
        <w:rPr>
          <w:rFonts w:ascii="Book Antiqua" w:hAnsi="Book Antiqua" w:cs="Arial"/>
        </w:rPr>
      </w:pPr>
    </w:p>
    <w:p w:rsidR="00D973D2" w:rsidRDefault="00D973D2" w:rsidP="00B43A0C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D973D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DE3" w:rsidRDefault="007C3DE3">
      <w:r>
        <w:separator/>
      </w:r>
    </w:p>
  </w:endnote>
  <w:endnote w:type="continuationSeparator" w:id="0">
    <w:p w:rsidR="007C3DE3" w:rsidRDefault="007C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e Printe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D2" w:rsidRDefault="00D973D2">
    <w:pPr>
      <w:pStyle w:val="Footer"/>
      <w:jc w:val="center"/>
      <w:rPr>
        <w:rFonts w:ascii="Book Antiqua" w:hAnsi="Book Antiqua" w:cs="Arial"/>
        <w:sz w:val="16"/>
        <w:szCs w:val="16"/>
      </w:rPr>
    </w:pPr>
    <w:r>
      <w:rPr>
        <w:rStyle w:val="PageNumber"/>
        <w:rFonts w:ascii="Book Antiqua" w:hAnsi="Book Antiqua" w:cs="Arial"/>
        <w:sz w:val="16"/>
        <w:szCs w:val="16"/>
      </w:rPr>
      <w:fldChar w:fldCharType="begin"/>
    </w:r>
    <w:r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AE147F">
      <w:rPr>
        <w:rStyle w:val="PageNumber"/>
        <w:rFonts w:ascii="Book Antiqua" w:hAnsi="Book Antiqua" w:cs="Arial"/>
        <w:noProof/>
        <w:sz w:val="16"/>
        <w:szCs w:val="16"/>
      </w:rPr>
      <w:t>3</w:t>
    </w:r>
    <w:r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D2" w:rsidRDefault="00D973D2">
    <w:pPr>
      <w:jc w:val="center"/>
      <w:rPr>
        <w:rFonts w:ascii="Book Antiqua" w:hAnsi="Book Antiqua" w:cs="Arial"/>
        <w:b/>
      </w:rPr>
    </w:pPr>
    <w:r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DE3" w:rsidRDefault="007C3DE3">
      <w:r>
        <w:separator/>
      </w:r>
    </w:p>
  </w:footnote>
  <w:footnote w:type="continuationSeparator" w:id="0">
    <w:p w:rsidR="007C3DE3" w:rsidRDefault="007C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D2" w:rsidRDefault="00D973D2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 xml:space="preserve">Appeal Number: </w:t>
    </w:r>
    <w:r w:rsidR="00F60D35">
      <w:rPr>
        <w:rFonts w:ascii="Book Antiqua" w:hAnsi="Book Antiqua" w:cs="Arial"/>
        <w:sz w:val="16"/>
        <w:szCs w:val="16"/>
      </w:rPr>
      <w:t>EA/08401/2016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3D2" w:rsidRDefault="00D973D2">
    <w:pPr>
      <w:pStyle w:val="Header"/>
      <w:rPr>
        <w:rFonts w:ascii="Book Antiqua" w:hAnsi="Book Antiqua"/>
      </w:rPr>
    </w:pPr>
    <w:r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A54"/>
    <w:multiLevelType w:val="hybridMultilevel"/>
    <w:tmpl w:val="231649C4"/>
    <w:lvl w:ilvl="0" w:tplc="FB187C1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Line Printer" w:hint="default"/>
        <w:strike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88"/>
    <w:rsid w:val="00054424"/>
    <w:rsid w:val="000B5435"/>
    <w:rsid w:val="000C2B95"/>
    <w:rsid w:val="00150E98"/>
    <w:rsid w:val="001767B0"/>
    <w:rsid w:val="001E64D3"/>
    <w:rsid w:val="00240E19"/>
    <w:rsid w:val="002B2BEB"/>
    <w:rsid w:val="002C5236"/>
    <w:rsid w:val="002E6DF1"/>
    <w:rsid w:val="003623AE"/>
    <w:rsid w:val="004C31E1"/>
    <w:rsid w:val="004E6A52"/>
    <w:rsid w:val="005223F8"/>
    <w:rsid w:val="005C769F"/>
    <w:rsid w:val="006A77EC"/>
    <w:rsid w:val="006D22D7"/>
    <w:rsid w:val="007C3DE3"/>
    <w:rsid w:val="00885440"/>
    <w:rsid w:val="008D4E30"/>
    <w:rsid w:val="00954C81"/>
    <w:rsid w:val="00A14190"/>
    <w:rsid w:val="00A520F3"/>
    <w:rsid w:val="00AD6EB8"/>
    <w:rsid w:val="00AE147F"/>
    <w:rsid w:val="00B43A0C"/>
    <w:rsid w:val="00B81117"/>
    <w:rsid w:val="00BE7358"/>
    <w:rsid w:val="00C9238A"/>
    <w:rsid w:val="00CD3D88"/>
    <w:rsid w:val="00D35C64"/>
    <w:rsid w:val="00D37276"/>
    <w:rsid w:val="00D61C0C"/>
    <w:rsid w:val="00D973D2"/>
    <w:rsid w:val="00DB2A8C"/>
    <w:rsid w:val="00DC4068"/>
    <w:rsid w:val="00E170EA"/>
    <w:rsid w:val="00EE510A"/>
    <w:rsid w:val="00F6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2018-09-21T13:46:00Z</dcterms:created>
  <dcterms:modified xsi:type="dcterms:W3CDTF">2018-09-21T13:46:00Z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