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FE61F9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0B0B70">
        <w:rPr>
          <w:rFonts w:ascii="Book Antiqua" w:hAnsi="Book Antiqua" w:cs="Arial"/>
          <w:caps/>
        </w:rPr>
        <w:t>EA/08766/2016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B03360" w:rsidRDefault="00B03360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605FB8" w:rsidRPr="00F5664C" w:rsidRDefault="00605FB8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605FB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At 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2B1039" w:rsidRPr="00BC7595" w:rsidRDefault="00605FB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17 September 2018</w:t>
            </w:r>
          </w:p>
        </w:tc>
        <w:tc>
          <w:tcPr>
            <w:tcW w:w="3960" w:type="dxa"/>
            <w:shd w:val="clear" w:color="auto" w:fill="auto"/>
          </w:tcPr>
          <w:p w:rsidR="00D22636" w:rsidRPr="00BC7595" w:rsidRDefault="00FE61F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18 September 2018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605FB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the papers</w:t>
            </w: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Default="00A15234" w:rsidP="00A15234">
      <w:pPr>
        <w:jc w:val="center"/>
        <w:rPr>
          <w:rFonts w:ascii="Book Antiqua" w:hAnsi="Book Antiqua" w:cs="Arial"/>
        </w:rPr>
      </w:pPr>
    </w:p>
    <w:p w:rsidR="00F363D9" w:rsidRDefault="00F363D9" w:rsidP="00A15234">
      <w:pPr>
        <w:jc w:val="center"/>
        <w:rPr>
          <w:rFonts w:ascii="Book Antiqua" w:hAnsi="Book Antiqua" w:cs="Arial"/>
        </w:rPr>
      </w:pPr>
    </w:p>
    <w:p w:rsidR="00FF333B" w:rsidRDefault="00FF333B" w:rsidP="00FF333B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Before</w:t>
      </w:r>
    </w:p>
    <w:p w:rsidR="00FF333B" w:rsidRDefault="00FF333B" w:rsidP="00FF333B">
      <w:pPr>
        <w:jc w:val="center"/>
        <w:rPr>
          <w:rFonts w:ascii="Book Antiqua" w:hAnsi="Book Antiqua" w:cs="Arial"/>
        </w:rPr>
      </w:pPr>
    </w:p>
    <w:p w:rsidR="00FF333B" w:rsidRPr="00345C38" w:rsidRDefault="00FF333B" w:rsidP="00FF333B">
      <w:pPr>
        <w:jc w:val="center"/>
        <w:rPr>
          <w:rFonts w:ascii="Book Antiqua" w:hAnsi="Book Antiqua" w:cs="Arial"/>
          <w:b/>
        </w:rPr>
      </w:pPr>
      <w:r w:rsidRPr="00345C38">
        <w:rPr>
          <w:rFonts w:ascii="Book Antiqua" w:hAnsi="Book Antiqua" w:cs="Arial"/>
          <w:b/>
        </w:rPr>
        <w:t>UPPER TRIBUNAL JUDGE O’CONNOR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605FB8" w:rsidRDefault="00605FB8" w:rsidP="00A15234">
      <w:pPr>
        <w:jc w:val="center"/>
        <w:rPr>
          <w:rFonts w:ascii="Book Antiqua" w:hAnsi="Book Antiqua" w:cs="Arial"/>
        </w:rPr>
      </w:pPr>
    </w:p>
    <w:p w:rsidR="00FF333B" w:rsidRPr="00FF333B" w:rsidRDefault="00FF333B" w:rsidP="00A15234">
      <w:pPr>
        <w:jc w:val="center"/>
        <w:rPr>
          <w:rFonts w:ascii="Book Antiqua" w:hAnsi="Book Antiqua" w:cs="Arial"/>
        </w:rPr>
      </w:pPr>
      <w:r w:rsidRPr="00FF333B">
        <w:rPr>
          <w:rFonts w:ascii="Book Antiqua" w:hAnsi="Book Antiqua" w:cs="Arial"/>
        </w:rPr>
        <w:t>Between</w:t>
      </w:r>
    </w:p>
    <w:p w:rsidR="00FF333B" w:rsidRPr="00F5664C" w:rsidRDefault="00FF333B" w:rsidP="00A15234">
      <w:pPr>
        <w:jc w:val="center"/>
        <w:rPr>
          <w:rFonts w:ascii="Book Antiqua" w:hAnsi="Book Antiqua" w:cs="Arial"/>
          <w:b/>
        </w:rPr>
      </w:pPr>
    </w:p>
    <w:p w:rsidR="00584578" w:rsidRDefault="000B0B70" w:rsidP="000B0B70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AZHAR IQBAL</w:t>
      </w:r>
    </w:p>
    <w:p w:rsidR="009557D2" w:rsidRPr="00605FB8" w:rsidRDefault="009557D2" w:rsidP="009557D2">
      <w:pPr>
        <w:jc w:val="center"/>
        <w:rPr>
          <w:rFonts w:ascii="Book Antiqua" w:hAnsi="Book Antiqua" w:cs="Arial"/>
          <w:b/>
          <w:caps/>
          <w:sz w:val="22"/>
        </w:rPr>
      </w:pPr>
      <w:r w:rsidRPr="00605FB8">
        <w:rPr>
          <w:rFonts w:ascii="Book Antiqua" w:hAnsi="Book Antiqua" w:cs="Arial"/>
          <w:b/>
          <w:caps/>
          <w:sz w:val="22"/>
        </w:rPr>
        <w:t>(ANONYMITY DIRECTION</w:t>
      </w:r>
      <w:r w:rsidR="002B1039" w:rsidRPr="00605FB8">
        <w:rPr>
          <w:rFonts w:ascii="Book Antiqua" w:hAnsi="Book Antiqua" w:cs="Arial"/>
          <w:b/>
          <w:caps/>
          <w:sz w:val="22"/>
        </w:rPr>
        <w:t xml:space="preserve"> NOT MADE</w:t>
      </w:r>
      <w:r w:rsidRPr="00605FB8">
        <w:rPr>
          <w:rFonts w:ascii="Book Antiqua" w:hAnsi="Book Antiqua" w:cs="Arial"/>
          <w:b/>
          <w:caps/>
          <w:sz w:val="22"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B07F51" w:rsidRPr="000B0B70" w:rsidRDefault="002B1039" w:rsidP="00B07F51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1E443D">
        <w:rPr>
          <w:rFonts w:ascii="Book Antiqua" w:hAnsi="Book Antiqua" w:cs="Arial"/>
        </w:rPr>
        <w:t xml:space="preserve"> </w:t>
      </w:r>
      <w:r w:rsidR="00584578">
        <w:rPr>
          <w:rFonts w:ascii="Book Antiqua" w:hAnsi="Book Antiqua" w:cs="Arial"/>
        </w:rPr>
        <w:t>Pakistan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692BD0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28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October 1978</w:t>
      </w:r>
      <w:r w:rsidR="00584578">
        <w:rPr>
          <w:rFonts w:ascii="Book Antiqua" w:hAnsi="Book Antiqua" w:cs="Arial"/>
        </w:rPr>
        <w:t xml:space="preserve">. </w:t>
      </w:r>
      <w:r w:rsidR="000B0B70">
        <w:rPr>
          <w:rFonts w:ascii="Book Antiqua" w:hAnsi="Book Antiqua" w:cs="Arial"/>
        </w:rPr>
        <w:t>He</w:t>
      </w:r>
      <w:r w:rsidR="00AC58EC">
        <w:rPr>
          <w:rFonts w:ascii="Book Antiqua" w:hAnsi="Book Antiqua" w:cs="Arial"/>
        </w:rPr>
        <w:t xml:space="preserve">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</w:t>
      </w:r>
      <w:r w:rsidR="000B0B70">
        <w:rPr>
          <w:rFonts w:ascii="Book Antiqua" w:hAnsi="Book Antiqua" w:cs="Arial"/>
        </w:rPr>
        <w:t xml:space="preserve"> was</w:t>
      </w:r>
      <w:r w:rsidR="00AC58EC">
        <w:rPr>
          <w:rFonts w:ascii="Book Antiqua" w:hAnsi="Book Antiqua" w:cs="Arial"/>
        </w:rPr>
        <w:t xml:space="preserve"> refused </w:t>
      </w:r>
      <w:r w:rsidR="00FB2E65">
        <w:rPr>
          <w:rFonts w:ascii="Book Antiqua" w:hAnsi="Book Antiqua" w:cs="Arial"/>
        </w:rPr>
        <w:t xml:space="preserve">in a decision </w:t>
      </w:r>
      <w:r w:rsidR="0085343A">
        <w:rPr>
          <w:rFonts w:ascii="Book Antiqua" w:hAnsi="Book Antiqua" w:cs="Arial"/>
        </w:rPr>
        <w:t>dated</w:t>
      </w:r>
      <w:r w:rsidR="000B0B70">
        <w:rPr>
          <w:rFonts w:ascii="Book Antiqua" w:hAnsi="Book Antiqua" w:cs="Arial"/>
        </w:rPr>
        <w:t xml:space="preserve"> 5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85343A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 w:rsidR="000B0B70">
        <w:rPr>
          <w:rFonts w:ascii="Book Antiqua" w:hAnsi="Book Antiqua" w:cs="Arial"/>
        </w:rPr>
        <w:t>. That</w:t>
      </w:r>
      <w:r>
        <w:rPr>
          <w:rFonts w:ascii="Book Antiqua" w:hAnsi="Book Antiqua" w:cs="Arial"/>
        </w:rPr>
        <w:t xml:space="preserve"> appeal came before </w:t>
      </w:r>
      <w:r w:rsidR="00266524">
        <w:rPr>
          <w:rFonts w:ascii="Book Antiqua" w:hAnsi="Book Antiqua" w:cs="Arial"/>
        </w:rPr>
        <w:t xml:space="preserve">FtT Judge </w:t>
      </w:r>
      <w:r w:rsidR="000B0B70">
        <w:rPr>
          <w:rFonts w:ascii="Book Antiqua" w:hAnsi="Book Antiqua" w:cs="Arial"/>
        </w:rPr>
        <w:t>J Macdonald</w:t>
      </w:r>
      <w:r w:rsidR="0085343A">
        <w:rPr>
          <w:rFonts w:ascii="Book Antiqua" w:hAnsi="Book Antiqua" w:cs="Arial"/>
        </w:rPr>
        <w:t>, who concluded in a decision sent on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11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</w:t>
      </w:r>
      <w:r w:rsidR="00160903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lastRenderedPageBreak/>
        <w:t>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85343A" w:rsidRPr="00FF333B" w:rsidRDefault="001C2F68" w:rsidP="00FF333B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 xml:space="preserve">FtT </w:t>
      </w:r>
      <w:r w:rsidR="005F55BA">
        <w:rPr>
          <w:rFonts w:ascii="Book Antiqua" w:hAnsi="Book Antiqua" w:cs="Arial"/>
        </w:rPr>
        <w:t>Judge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Birrell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0B0B70">
        <w:rPr>
          <w:rFonts w:ascii="Book Antiqua" w:hAnsi="Book Antiqua" w:cs="Arial"/>
        </w:rPr>
        <w:t xml:space="preserve"> 20</w:t>
      </w:r>
      <w:r w:rsidR="001E443D">
        <w:rPr>
          <w:rFonts w:ascii="Book Antiqua" w:hAnsi="Book Antiqua" w:cs="Arial"/>
        </w:rPr>
        <w:t xml:space="preserve"> </w:t>
      </w:r>
      <w:r w:rsidR="000B0B70">
        <w:rPr>
          <w:rFonts w:ascii="Book Antiqua" w:hAnsi="Book Antiqua" w:cs="Arial"/>
        </w:rPr>
        <w:t>April</w:t>
      </w:r>
      <w:r w:rsidR="00266524">
        <w:rPr>
          <w:rFonts w:ascii="Book Antiqua" w:hAnsi="Book Antiqua" w:cs="Arial"/>
        </w:rPr>
        <w:t xml:space="preserve">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</w:t>
      </w:r>
      <w:r w:rsidR="00160903">
        <w:rPr>
          <w:rFonts w:ascii="Book Antiqua" w:hAnsi="Book Antiqua" w:cs="Arial"/>
        </w:rPr>
        <w:t>i</w:t>
      </w:r>
      <w:r w:rsidR="008C4D33">
        <w:rPr>
          <w:rFonts w:ascii="Book Antiqua" w:hAnsi="Book Antiqua" w:cs="Arial"/>
        </w:rPr>
        <w:t>d not have jurisdiction in this</w:t>
      </w:r>
      <w:r w:rsidR="001C2F68">
        <w:rPr>
          <w:rFonts w:ascii="Book Antiqua" w:hAnsi="Book Antiqua" w:cs="Arial"/>
        </w:rPr>
        <w:t xml:space="preserve">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</w:t>
      </w:r>
      <w:r w:rsidR="000B0B70">
        <w:rPr>
          <w:rFonts w:ascii="Book Antiqua" w:hAnsi="Book Antiqua" w:cs="Arial"/>
        </w:rPr>
        <w:t xml:space="preserve"> is</w:t>
      </w:r>
      <w:r>
        <w:rPr>
          <w:rFonts w:ascii="Book Antiqua" w:hAnsi="Book Antiqua" w:cs="Arial"/>
        </w:rPr>
        <w:t xml:space="preserve">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B07F51">
        <w:rPr>
          <w:rFonts w:ascii="Book Antiqua" w:hAnsi="Book Antiqua"/>
        </w:rPr>
        <w:t>17</w:t>
      </w:r>
      <w:r w:rsidR="001E443D">
        <w:rPr>
          <w:rFonts w:ascii="Book Antiqua" w:hAnsi="Book Antiqua"/>
        </w:rPr>
        <w:t xml:space="preserve"> </w:t>
      </w:r>
      <w:r w:rsidR="00266524">
        <w:rPr>
          <w:rFonts w:ascii="Book Antiqua" w:hAnsi="Book Antiqua"/>
        </w:rPr>
        <w:t xml:space="preserve">September </w:t>
      </w:r>
      <w:r w:rsidR="001E443D">
        <w:rPr>
          <w:rFonts w:ascii="Book Antiqua" w:hAnsi="Book Antiqua"/>
        </w:rPr>
        <w:t>2018</w:t>
      </w:r>
    </w:p>
    <w:p w:rsidR="006D0F59" w:rsidRPr="00893C5D" w:rsidRDefault="00FE61F9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A18" w:rsidRDefault="00B96A18">
      <w:r>
        <w:separator/>
      </w:r>
    </w:p>
  </w:endnote>
  <w:endnote w:type="continuationSeparator" w:id="0">
    <w:p w:rsidR="00B96A18" w:rsidRDefault="00B9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85207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A18" w:rsidRDefault="00B96A18">
      <w:r>
        <w:separator/>
      </w:r>
    </w:p>
  </w:footnote>
  <w:footnote w:type="continuationSeparator" w:id="0">
    <w:p w:rsidR="00B96A18" w:rsidRDefault="00B96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CA2EDD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B0B70"/>
    <w:rsid w:val="000D4BC0"/>
    <w:rsid w:val="000D54C4"/>
    <w:rsid w:val="000D5D94"/>
    <w:rsid w:val="001165A7"/>
    <w:rsid w:val="0014665B"/>
    <w:rsid w:val="00151BB7"/>
    <w:rsid w:val="00160903"/>
    <w:rsid w:val="0016457F"/>
    <w:rsid w:val="00166F2D"/>
    <w:rsid w:val="00167D3A"/>
    <w:rsid w:val="001A1E2C"/>
    <w:rsid w:val="001C2F68"/>
    <w:rsid w:val="001D2C37"/>
    <w:rsid w:val="001E443D"/>
    <w:rsid w:val="001F2716"/>
    <w:rsid w:val="0020133A"/>
    <w:rsid w:val="00207617"/>
    <w:rsid w:val="00266524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1B52"/>
    <w:rsid w:val="00423932"/>
    <w:rsid w:val="004249CB"/>
    <w:rsid w:val="00427A62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84578"/>
    <w:rsid w:val="00593795"/>
    <w:rsid w:val="005A75FF"/>
    <w:rsid w:val="005B7789"/>
    <w:rsid w:val="005F55BA"/>
    <w:rsid w:val="00605FB8"/>
    <w:rsid w:val="0061789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5343A"/>
    <w:rsid w:val="00870B1B"/>
    <w:rsid w:val="0087173B"/>
    <w:rsid w:val="00871D34"/>
    <w:rsid w:val="00877A7E"/>
    <w:rsid w:val="008B270C"/>
    <w:rsid w:val="008C3D3D"/>
    <w:rsid w:val="008C4D33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87B55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03360"/>
    <w:rsid w:val="00B07F51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A18"/>
    <w:rsid w:val="00B96FA0"/>
    <w:rsid w:val="00BB52AF"/>
    <w:rsid w:val="00BC7595"/>
    <w:rsid w:val="00BD4196"/>
    <w:rsid w:val="00BF22CA"/>
    <w:rsid w:val="00BF78B8"/>
    <w:rsid w:val="00C23295"/>
    <w:rsid w:val="00C26032"/>
    <w:rsid w:val="00C265B0"/>
    <w:rsid w:val="00C321B5"/>
    <w:rsid w:val="00C335D3"/>
    <w:rsid w:val="00C345E1"/>
    <w:rsid w:val="00C558C3"/>
    <w:rsid w:val="00C821CB"/>
    <w:rsid w:val="00C8322C"/>
    <w:rsid w:val="00C85207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363D9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61F9"/>
    <w:rsid w:val="00FE7617"/>
    <w:rsid w:val="00FF0F30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6CA85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2018-10-05T10:02:00Z</dcterms:created>
  <dcterms:modified xsi:type="dcterms:W3CDTF">2018-10-05T10:02:00Z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