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7F09D8" w:rsidRDefault="00423295" w:rsidP="00F97703">
      <w:pPr>
        <w:jc w:val="center"/>
        <w:rPr>
          <w:rFonts w:ascii="Book Antiqua" w:hAnsi="Book Antiqua" w:cs="Arial"/>
          <w:color w:val="000000"/>
          <w:sz w:val="16"/>
          <w:szCs w:val="16"/>
        </w:rPr>
      </w:pPr>
      <w:r w:rsidRPr="007F09D8">
        <w:rPr>
          <w:noProof/>
          <w:sz w:val="16"/>
          <w:szCs w:val="16"/>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Pr="00866ABD" w:rsidRDefault="00F97703" w:rsidP="00866ABD">
      <w:pPr>
        <w:tabs>
          <w:tab w:val="right" w:pos="9720"/>
        </w:tabs>
        <w:ind w:right="-82"/>
        <w:rPr>
          <w:rFonts w:ascii="Book Antiqua" w:hAnsi="Book Antiqua" w:cs="Arial"/>
          <w:b/>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866ABD">
        <w:rPr>
          <w:rFonts w:ascii="Book Antiqua" w:hAnsi="Book Antiqua" w:cs="Arial"/>
          <w:b/>
          <w:color w:val="000000"/>
        </w:rPr>
        <w:t xml:space="preserve">   </w:t>
      </w:r>
      <w:proofErr w:type="gramEnd"/>
      <w:r w:rsidR="00866ABD">
        <w:rPr>
          <w:rFonts w:ascii="Book Antiqua" w:hAnsi="Book Antiqua" w:cs="Arial"/>
          <w:b/>
          <w:color w:val="000000"/>
        </w:rPr>
        <w:t xml:space="preserve">                    </w:t>
      </w:r>
      <w:r w:rsidR="00B3524D" w:rsidRPr="00866ABD">
        <w:rPr>
          <w:rFonts w:ascii="Book Antiqua" w:hAnsi="Book Antiqua" w:cs="Arial"/>
          <w:b/>
          <w:color w:val="000000"/>
        </w:rPr>
        <w:t>Appeal Number</w:t>
      </w:r>
      <w:r w:rsidR="00D53769" w:rsidRPr="00866ABD">
        <w:rPr>
          <w:rFonts w:ascii="Book Antiqua" w:hAnsi="Book Antiqua" w:cs="Arial"/>
          <w:b/>
          <w:color w:val="000000"/>
        </w:rPr>
        <w:t>:</w:t>
      </w:r>
      <w:r w:rsidR="00984F35" w:rsidRPr="00866ABD">
        <w:rPr>
          <w:rFonts w:ascii="Book Antiqua" w:hAnsi="Book Antiqua" w:cs="Arial"/>
          <w:b/>
        </w:rPr>
        <w:t xml:space="preserve"> EA/08983/2016</w:t>
      </w:r>
    </w:p>
    <w:p w:rsidR="007F09D8" w:rsidRDefault="007F09D8" w:rsidP="007F09D8">
      <w:pPr>
        <w:jc w:val="center"/>
        <w:outlineLvl w:val="0"/>
        <w:rPr>
          <w:rFonts w:ascii="Book Antiqua" w:hAnsi="Book Antiqua" w:cs="Arial"/>
          <w:b/>
          <w:color w:val="000000"/>
          <w:u w:val="single"/>
        </w:rPr>
      </w:pPr>
    </w:p>
    <w:p w:rsidR="007F09D8" w:rsidRDefault="007F09D8" w:rsidP="007F09D8">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E533BA" w:rsidRPr="00D32B8A" w:rsidRDefault="00E533BA" w:rsidP="003446EF">
      <w:pPr>
        <w:tabs>
          <w:tab w:val="right" w:pos="9720"/>
        </w:tabs>
        <w:ind w:right="-82"/>
        <w:jc w:val="right"/>
        <w:rPr>
          <w:rFonts w:ascii="Book Antiqua" w:hAnsi="Book Antiqua" w:cs="Arial"/>
          <w:color w:val="000000"/>
        </w:rPr>
      </w:pPr>
    </w:p>
    <w:tbl>
      <w:tblPr>
        <w:tblW w:w="0" w:type="auto"/>
        <w:tblLook w:val="01E0" w:firstRow="1" w:lastRow="1" w:firstColumn="1" w:lastColumn="1" w:noHBand="0" w:noVBand="0"/>
      </w:tblPr>
      <w:tblGrid>
        <w:gridCol w:w="4962"/>
        <w:gridCol w:w="283"/>
        <w:gridCol w:w="4393"/>
      </w:tblGrid>
      <w:tr w:rsidR="00E533BA" w:rsidRPr="003C5723" w:rsidTr="00866ABD">
        <w:tc>
          <w:tcPr>
            <w:tcW w:w="5245" w:type="dxa"/>
            <w:gridSpan w:val="2"/>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984F35">
              <w:rPr>
                <w:rFonts w:ascii="Book Antiqua" w:hAnsi="Book Antiqua" w:cs="Arial"/>
                <w:b/>
              </w:rPr>
              <w:t>Liverpool</w:t>
            </w:r>
          </w:p>
        </w:tc>
        <w:tc>
          <w:tcPr>
            <w:tcW w:w="4393"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984F35">
              <w:rPr>
                <w:rFonts w:ascii="Book Antiqua" w:hAnsi="Book Antiqua" w:cs="Arial"/>
                <w:b/>
                <w:color w:val="000000"/>
              </w:rPr>
              <w:t>cision</w:t>
            </w:r>
            <w:r w:rsidR="0024770C">
              <w:rPr>
                <w:rFonts w:ascii="Book Antiqua" w:hAnsi="Book Antiqua" w:cs="Arial"/>
                <w:b/>
                <w:color w:val="000000"/>
              </w:rPr>
              <w:t xml:space="preserve"> &amp; Reasons P</w:t>
            </w:r>
            <w:r w:rsidRPr="003C5723">
              <w:rPr>
                <w:rFonts w:ascii="Book Antiqua" w:hAnsi="Book Antiqua" w:cs="Arial"/>
                <w:b/>
                <w:color w:val="000000"/>
              </w:rPr>
              <w:t>romulgated</w:t>
            </w:r>
          </w:p>
        </w:tc>
      </w:tr>
      <w:tr w:rsidR="00E533BA" w:rsidRPr="003C5723" w:rsidTr="00866ABD">
        <w:tc>
          <w:tcPr>
            <w:tcW w:w="4962" w:type="dxa"/>
            <w:shd w:val="clear" w:color="auto" w:fill="auto"/>
          </w:tcPr>
          <w:p w:rsidR="00E533BA" w:rsidRPr="003C5723" w:rsidRDefault="00E20E43" w:rsidP="003C5723">
            <w:pPr>
              <w:jc w:val="both"/>
              <w:rPr>
                <w:rFonts w:ascii="Book Antiqua" w:hAnsi="Book Antiqua" w:cs="Arial"/>
                <w:b/>
              </w:rPr>
            </w:pPr>
            <w:r>
              <w:rPr>
                <w:rFonts w:ascii="Book Antiqua" w:hAnsi="Book Antiqua" w:cs="Arial"/>
                <w:b/>
              </w:rPr>
              <w:t>O</w:t>
            </w:r>
            <w:bookmarkStart w:id="0" w:name="_GoBack"/>
            <w:bookmarkEnd w:id="0"/>
            <w:r w:rsidR="00E533BA" w:rsidRPr="003C5723">
              <w:rPr>
                <w:rFonts w:ascii="Book Antiqua" w:hAnsi="Book Antiqua" w:cs="Arial"/>
                <w:b/>
              </w:rPr>
              <w:t xml:space="preserve">n </w:t>
            </w:r>
            <w:r w:rsidR="00984F35">
              <w:rPr>
                <w:rFonts w:ascii="Book Antiqua" w:hAnsi="Book Antiqua" w:cs="Arial"/>
                <w:b/>
              </w:rPr>
              <w:t>14 August 2018</w:t>
            </w:r>
          </w:p>
        </w:tc>
        <w:tc>
          <w:tcPr>
            <w:tcW w:w="4676" w:type="dxa"/>
            <w:gridSpan w:val="2"/>
            <w:shd w:val="clear" w:color="auto" w:fill="auto"/>
          </w:tcPr>
          <w:p w:rsidR="00E533BA" w:rsidRPr="003C5723" w:rsidRDefault="004C4A0B" w:rsidP="003C5723">
            <w:pPr>
              <w:jc w:val="both"/>
              <w:rPr>
                <w:rFonts w:ascii="Book Antiqua" w:hAnsi="Book Antiqua" w:cs="Arial"/>
                <w:b/>
              </w:rPr>
            </w:pPr>
            <w:r>
              <w:rPr>
                <w:rFonts w:ascii="Book Antiqua" w:hAnsi="Book Antiqua" w:cs="Arial"/>
                <w:b/>
              </w:rPr>
              <w:t xml:space="preserve">     On 24 August 2018</w:t>
            </w:r>
          </w:p>
        </w:tc>
      </w:tr>
    </w:tbl>
    <w:p w:rsidR="00E533BA" w:rsidRPr="00D32B8A" w:rsidRDefault="00E533BA" w:rsidP="00C345E1">
      <w:pPr>
        <w:jc w:val="center"/>
        <w:rPr>
          <w:rFonts w:ascii="Book Antiqua" w:hAnsi="Book Antiqua" w:cs="Arial"/>
          <w:color w:val="000000"/>
        </w:rPr>
      </w:pPr>
    </w:p>
    <w:p w:rsidR="00C345E1" w:rsidRPr="00D32B8A" w:rsidRDefault="00C345E1" w:rsidP="00C345E1">
      <w:pPr>
        <w:jc w:val="center"/>
        <w:rPr>
          <w:rFonts w:ascii="Book Antiqua" w:hAnsi="Book Antiqua" w:cs="Arial"/>
          <w:b/>
          <w:u w:val="single"/>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4D7214" w:rsidRDefault="004D7214" w:rsidP="00B467EA">
      <w:pPr>
        <w:jc w:val="center"/>
        <w:outlineLvl w:val="0"/>
        <w:rPr>
          <w:rFonts w:ascii="Book Antiqua" w:hAnsi="Book Antiqua" w:cs="Arial"/>
          <w:b/>
        </w:rPr>
      </w:pPr>
    </w:p>
    <w:p w:rsidR="00866ABD" w:rsidRDefault="00866ABD" w:rsidP="00B467EA">
      <w:pPr>
        <w:jc w:val="center"/>
        <w:outlineLvl w:val="0"/>
        <w:rPr>
          <w:rFonts w:ascii="Book Antiqua" w:hAnsi="Book Antiqua" w:cs="Arial"/>
          <w:b/>
        </w:rPr>
      </w:pPr>
      <w:r>
        <w:rPr>
          <w:rFonts w:ascii="Book Antiqua" w:hAnsi="Book Antiqua" w:cs="Arial"/>
          <w:b/>
        </w:rPr>
        <w:t>THE SECRETARY OF STATE FOR THE HOME DEPARTMENT</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866ABD" w:rsidRDefault="00866ABD"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Default="00DD5071" w:rsidP="00B467EA">
      <w:pPr>
        <w:jc w:val="center"/>
        <w:outlineLvl w:val="0"/>
        <w:rPr>
          <w:rFonts w:ascii="Book Antiqua" w:hAnsi="Book Antiqua" w:cs="Arial"/>
          <w:b/>
        </w:rPr>
      </w:pPr>
    </w:p>
    <w:p w:rsidR="004D7214" w:rsidRDefault="004D7214" w:rsidP="004D7214">
      <w:pPr>
        <w:jc w:val="center"/>
        <w:rPr>
          <w:rFonts w:ascii="Book Antiqua" w:hAnsi="Book Antiqua" w:cs="Arial"/>
          <w:b/>
        </w:rPr>
      </w:pPr>
      <w:r>
        <w:rPr>
          <w:rFonts w:ascii="Book Antiqua" w:hAnsi="Book Antiqua" w:cs="Arial"/>
          <w:b/>
        </w:rPr>
        <w:t>MR AMADOU FALL BETTY BA</w:t>
      </w:r>
    </w:p>
    <w:p w:rsidR="004D7214" w:rsidRPr="00866ABD" w:rsidRDefault="00866ABD" w:rsidP="004D7214">
      <w:pPr>
        <w:jc w:val="center"/>
        <w:outlineLvl w:val="0"/>
        <w:rPr>
          <w:rFonts w:ascii="Book Antiqua" w:hAnsi="Book Antiqua" w:cs="Arial"/>
        </w:rPr>
      </w:pPr>
      <w:r w:rsidRPr="00866ABD">
        <w:rPr>
          <w:rFonts w:ascii="Book Antiqua" w:hAnsi="Book Antiqua" w:cs="Arial"/>
        </w:rPr>
        <w:t>(ANONYMITY DIRECTION NOT MADE)</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866ABD" w:rsidRDefault="00866ABD" w:rsidP="00B467EA">
      <w:pPr>
        <w:outlineLvl w:val="0"/>
        <w:rPr>
          <w:rFonts w:ascii="Book Antiqua" w:hAnsi="Book Antiqua" w:cs="Arial"/>
          <w:b/>
          <w:u w:val="single"/>
        </w:rPr>
      </w:pPr>
    </w:p>
    <w:p w:rsidR="00DD5071" w:rsidRDefault="00DE7DB7" w:rsidP="00B467EA">
      <w:pPr>
        <w:outlineLvl w:val="0"/>
        <w:rPr>
          <w:rFonts w:ascii="Book Antiqua" w:hAnsi="Book Antiqua" w:cs="Arial"/>
          <w:b/>
        </w:rPr>
      </w:pPr>
      <w:r w:rsidRPr="00D32B8A">
        <w:rPr>
          <w:rFonts w:ascii="Book Antiqua" w:hAnsi="Book Antiqua" w:cs="Arial"/>
          <w:b/>
          <w:u w:val="single"/>
        </w:rPr>
        <w:t>Representation</w:t>
      </w:r>
      <w:r w:rsidRPr="00D32B8A">
        <w:rPr>
          <w:rFonts w:ascii="Book Antiqua" w:hAnsi="Book Antiqua" w:cs="Arial"/>
          <w:b/>
        </w:rPr>
        <w:t>:</w:t>
      </w:r>
    </w:p>
    <w:p w:rsidR="00866ABD" w:rsidRPr="00D32B8A" w:rsidRDefault="00866ABD" w:rsidP="00B467EA">
      <w:pPr>
        <w:outlineLvl w:val="0"/>
        <w:rPr>
          <w:rFonts w:ascii="Book Antiqua" w:hAnsi="Book Antiqua" w:cs="Arial"/>
        </w:rPr>
      </w:pPr>
    </w:p>
    <w:p w:rsidR="00DE7DB7" w:rsidRPr="00D32B8A" w:rsidRDefault="00DE7DB7" w:rsidP="007F09D8">
      <w:pPr>
        <w:tabs>
          <w:tab w:val="left" w:pos="2552"/>
        </w:tabs>
        <w:outlineLvl w:val="0"/>
        <w:rPr>
          <w:rFonts w:ascii="Book Antiqua" w:hAnsi="Book Antiqua" w:cs="Arial"/>
        </w:rPr>
      </w:pPr>
      <w:r w:rsidRPr="00D32B8A">
        <w:rPr>
          <w:rFonts w:ascii="Book Antiqua" w:hAnsi="Book Antiqua" w:cs="Arial"/>
        </w:rPr>
        <w:t>For the Appellant:</w:t>
      </w:r>
      <w:r w:rsidR="006C4C2E">
        <w:rPr>
          <w:rFonts w:ascii="Book Antiqua" w:hAnsi="Book Antiqua" w:cs="Arial"/>
        </w:rPr>
        <w:t xml:space="preserve"> </w:t>
      </w:r>
      <w:r w:rsidR="007F09D8">
        <w:rPr>
          <w:rFonts w:ascii="Book Antiqua" w:hAnsi="Book Antiqua" w:cs="Arial"/>
        </w:rPr>
        <w:tab/>
      </w:r>
      <w:r w:rsidR="006C4C2E">
        <w:rPr>
          <w:rFonts w:ascii="Book Antiqua" w:hAnsi="Book Antiqua" w:cs="Arial"/>
        </w:rPr>
        <w:t>Mr C Bates Senior Home Office Presenting Officer</w:t>
      </w:r>
      <w:r w:rsidRPr="00D32B8A">
        <w:rPr>
          <w:rFonts w:ascii="Book Antiqua" w:hAnsi="Book Antiqua" w:cs="Arial"/>
        </w:rPr>
        <w:tab/>
      </w:r>
    </w:p>
    <w:p w:rsidR="00DE7DB7" w:rsidRPr="00D32B8A" w:rsidRDefault="00DE7DB7" w:rsidP="007F09D8">
      <w:pPr>
        <w:ind w:left="2552" w:hanging="2552"/>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7F09D8">
        <w:rPr>
          <w:rFonts w:ascii="Book Antiqua" w:hAnsi="Book Antiqua" w:cs="Arial"/>
        </w:rPr>
        <w:tab/>
      </w:r>
      <w:r w:rsidR="006C4C2E">
        <w:rPr>
          <w:rFonts w:ascii="Book Antiqua" w:hAnsi="Book Antiqua" w:cs="Arial"/>
        </w:rPr>
        <w:t>Mr Schwenk instructed by Broudie Jackson Canter (Manchester), Solicitors</w:t>
      </w:r>
    </w:p>
    <w:p w:rsidR="00DE7DB7"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6C4C2E">
        <w:rPr>
          <w:rFonts w:ascii="Book Antiqua" w:hAnsi="Book Antiqua"/>
          <w:b/>
          <w:u w:val="single"/>
        </w:rPr>
        <w:t>RRO</w:t>
      </w:r>
      <w:r w:rsidR="00A555AA">
        <w:rPr>
          <w:rFonts w:ascii="Book Antiqua" w:hAnsi="Book Antiqua"/>
          <w:b/>
          <w:u w:val="single"/>
        </w:rPr>
        <w:t xml:space="preserve">R OF LAW FINDING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A555AA" w:rsidP="009D193F">
      <w:pPr>
        <w:numPr>
          <w:ilvl w:val="0"/>
          <w:numId w:val="3"/>
        </w:numPr>
        <w:tabs>
          <w:tab w:val="left" w:pos="2520"/>
        </w:tabs>
        <w:jc w:val="both"/>
        <w:rPr>
          <w:rFonts w:ascii="Book Antiqua" w:hAnsi="Book Antiqua" w:cs="Arial"/>
        </w:rPr>
      </w:pPr>
      <w:r>
        <w:rPr>
          <w:rFonts w:ascii="Book Antiqua" w:hAnsi="Book Antiqua" w:cs="Arial"/>
        </w:rPr>
        <w:t>The Secretary of State appeals with permission a decision of the First-tier Tribunal Judge O R Williams who</w:t>
      </w:r>
      <w:r w:rsidR="00474DE1">
        <w:rPr>
          <w:rFonts w:ascii="Book Antiqua" w:hAnsi="Book Antiqua" w:cs="Arial"/>
        </w:rPr>
        <w:t>,</w:t>
      </w:r>
      <w:r>
        <w:rPr>
          <w:rFonts w:ascii="Book Antiqua" w:hAnsi="Book Antiqua" w:cs="Arial"/>
        </w:rPr>
        <w:t xml:space="preserve"> </w:t>
      </w:r>
      <w:r w:rsidR="00474DE1">
        <w:rPr>
          <w:rFonts w:ascii="Book Antiqua" w:hAnsi="Book Antiqua" w:cs="Arial"/>
        </w:rPr>
        <w:t xml:space="preserve">in </w:t>
      </w:r>
      <w:r>
        <w:rPr>
          <w:rFonts w:ascii="Book Antiqua" w:hAnsi="Book Antiqua" w:cs="Arial"/>
        </w:rPr>
        <w:t>a decision promulgated on 27 April 2018</w:t>
      </w:r>
      <w:r w:rsidR="00474DE1">
        <w:rPr>
          <w:rFonts w:ascii="Book Antiqua" w:hAnsi="Book Antiqua" w:cs="Arial"/>
        </w:rPr>
        <w:t>,</w:t>
      </w:r>
      <w:r>
        <w:rPr>
          <w:rFonts w:ascii="Book Antiqua" w:hAnsi="Book Antiqua" w:cs="Arial"/>
        </w:rPr>
        <w:t xml:space="preserve"> allowed the appeal against the decision to refuse</w:t>
      </w:r>
      <w:r w:rsidR="00320CA7">
        <w:rPr>
          <w:rFonts w:ascii="Book Antiqua" w:hAnsi="Book Antiqua" w:cs="Arial"/>
        </w:rPr>
        <w:t xml:space="preserve"> to issue Mr Ba with a Residence Card in recognition of </w:t>
      </w:r>
      <w:r w:rsidR="00474DE1">
        <w:rPr>
          <w:rFonts w:ascii="Book Antiqua" w:hAnsi="Book Antiqua" w:cs="Arial"/>
        </w:rPr>
        <w:t xml:space="preserve">a </w:t>
      </w:r>
      <w:r w:rsidR="00320CA7">
        <w:rPr>
          <w:rFonts w:ascii="Book Antiqua" w:hAnsi="Book Antiqua" w:cs="Arial"/>
        </w:rPr>
        <w:t xml:space="preserve">right </w:t>
      </w:r>
      <w:r w:rsidR="00474DE1">
        <w:rPr>
          <w:rFonts w:ascii="Book Antiqua" w:hAnsi="Book Antiqua" w:cs="Arial"/>
        </w:rPr>
        <w:t xml:space="preserve">of </w:t>
      </w:r>
      <w:r w:rsidR="00320CA7">
        <w:rPr>
          <w:rFonts w:ascii="Book Antiqua" w:hAnsi="Book Antiqua" w:cs="Arial"/>
        </w:rPr>
        <w:t>permanent</w:t>
      </w:r>
      <w:r w:rsidR="00474DE1">
        <w:rPr>
          <w:rFonts w:ascii="Book Antiqua" w:hAnsi="Book Antiqua" w:cs="Arial"/>
        </w:rPr>
        <w:t xml:space="preserve"> </w:t>
      </w:r>
      <w:r w:rsidR="00320CA7">
        <w:rPr>
          <w:rFonts w:ascii="Book Antiqua" w:hAnsi="Book Antiqua" w:cs="Arial"/>
        </w:rPr>
        <w:t>residen</w:t>
      </w:r>
      <w:r w:rsidR="00474DE1">
        <w:rPr>
          <w:rFonts w:ascii="Book Antiqua" w:hAnsi="Book Antiqua" w:cs="Arial"/>
        </w:rPr>
        <w:t xml:space="preserve">ce </w:t>
      </w:r>
      <w:r w:rsidR="00320CA7">
        <w:rPr>
          <w:rFonts w:ascii="Book Antiqua" w:hAnsi="Book Antiqua" w:cs="Arial"/>
        </w:rPr>
        <w:t>as the family member of an EEA national. The Secretary of State was not satisfied on the basis of the evidence provided that Mr Ba had provided sufficient evidence that the EEA sponsor was exercising treaty rights for a period of five years.</w:t>
      </w:r>
    </w:p>
    <w:p w:rsidR="00402B9E" w:rsidRPr="00D32B8A" w:rsidRDefault="00402B9E" w:rsidP="009D193F">
      <w:pPr>
        <w:tabs>
          <w:tab w:val="left" w:pos="2520"/>
        </w:tabs>
        <w:ind w:left="360" w:firstLine="60"/>
        <w:jc w:val="both"/>
        <w:rPr>
          <w:rFonts w:ascii="Book Antiqua" w:hAnsi="Book Antiqua" w:cs="Arial"/>
        </w:rPr>
      </w:pPr>
    </w:p>
    <w:p w:rsidR="00D32B8A" w:rsidRDefault="00482668" w:rsidP="009D193F">
      <w:pPr>
        <w:pStyle w:val="Heading5"/>
        <w:jc w:val="both"/>
        <w:rPr>
          <w:rFonts w:ascii="Book Antiqua" w:hAnsi="Book Antiqua" w:cs="Arial"/>
          <w:sz w:val="24"/>
        </w:rPr>
      </w:pPr>
      <w:r>
        <w:rPr>
          <w:rFonts w:ascii="Book Antiqua" w:hAnsi="Book Antiqua" w:cs="Arial"/>
          <w:sz w:val="24"/>
        </w:rPr>
        <w:t>Error of law finding</w:t>
      </w:r>
    </w:p>
    <w:p w:rsidR="00877F93" w:rsidRDefault="00877F93" w:rsidP="00877F93">
      <w:pPr>
        <w:rPr>
          <w:lang w:eastAsia="en-US"/>
        </w:rPr>
      </w:pPr>
    </w:p>
    <w:p w:rsidR="00FD1BDB" w:rsidRDefault="00320CA7" w:rsidP="009D193F">
      <w:pPr>
        <w:numPr>
          <w:ilvl w:val="0"/>
          <w:numId w:val="3"/>
        </w:numPr>
        <w:jc w:val="both"/>
        <w:rPr>
          <w:rFonts w:ascii="Book Antiqua" w:hAnsi="Book Antiqua" w:cs="Arial"/>
        </w:rPr>
      </w:pPr>
      <w:r>
        <w:rPr>
          <w:rFonts w:ascii="Book Antiqua" w:hAnsi="Book Antiqua" w:cs="Arial"/>
        </w:rPr>
        <w:t>Mr Ba is a citizen of Senegal born on 3 May 1973</w:t>
      </w:r>
      <w:r w:rsidR="00C53560">
        <w:rPr>
          <w:rFonts w:ascii="Book Antiqua" w:hAnsi="Book Antiqua" w:cs="Arial"/>
        </w:rPr>
        <w:t xml:space="preserve"> who applied for a Permanent Residence Card.</w:t>
      </w:r>
    </w:p>
    <w:p w:rsidR="00C53560" w:rsidRDefault="00C53560" w:rsidP="009D193F">
      <w:pPr>
        <w:numPr>
          <w:ilvl w:val="0"/>
          <w:numId w:val="3"/>
        </w:numPr>
        <w:jc w:val="both"/>
        <w:rPr>
          <w:rFonts w:ascii="Book Antiqua" w:hAnsi="Book Antiqua" w:cs="Arial"/>
        </w:rPr>
      </w:pPr>
      <w:r>
        <w:rPr>
          <w:rFonts w:ascii="Book Antiqua" w:hAnsi="Book Antiqua" w:cs="Arial"/>
        </w:rPr>
        <w:lastRenderedPageBreak/>
        <w:t xml:space="preserve">The Judge finds </w:t>
      </w:r>
      <w:r w:rsidR="003C5399">
        <w:rPr>
          <w:rFonts w:ascii="Book Antiqua" w:hAnsi="Book Antiqua" w:cs="Arial"/>
        </w:rPr>
        <w:t>a</w:t>
      </w:r>
      <w:r>
        <w:rPr>
          <w:rFonts w:ascii="Book Antiqua" w:hAnsi="Book Antiqua" w:cs="Arial"/>
        </w:rPr>
        <w:t>t [1</w:t>
      </w:r>
      <w:r w:rsidR="00B37D72">
        <w:rPr>
          <w:rFonts w:ascii="Book Antiqua" w:hAnsi="Book Antiqua" w:cs="Arial"/>
        </w:rPr>
        <w:t>1</w:t>
      </w:r>
      <w:r>
        <w:rPr>
          <w:rFonts w:ascii="Book Antiqua" w:hAnsi="Book Antiqua" w:cs="Arial"/>
        </w:rPr>
        <w:t>] that he was not satisfied</w:t>
      </w:r>
      <w:r w:rsidR="003C5399">
        <w:rPr>
          <w:rFonts w:ascii="Book Antiqua" w:hAnsi="Book Antiqua" w:cs="Arial"/>
        </w:rPr>
        <w:t xml:space="preserve"> </w:t>
      </w:r>
      <w:r w:rsidR="00932ED7">
        <w:rPr>
          <w:rFonts w:ascii="Book Antiqua" w:hAnsi="Book Antiqua" w:cs="Arial"/>
        </w:rPr>
        <w:t>the EEA national was exercising treaty rights in the UK for a five</w:t>
      </w:r>
      <w:r w:rsidR="00482668">
        <w:rPr>
          <w:rFonts w:ascii="Book Antiqua" w:hAnsi="Book Antiqua" w:cs="Arial"/>
        </w:rPr>
        <w:t>-</w:t>
      </w:r>
      <w:r w:rsidR="00932ED7">
        <w:rPr>
          <w:rFonts w:ascii="Book Antiqua" w:hAnsi="Book Antiqua" w:cs="Arial"/>
        </w:rPr>
        <w:t xml:space="preserve">year continuous period and could not meet the </w:t>
      </w:r>
      <w:r w:rsidR="00482668">
        <w:rPr>
          <w:rFonts w:ascii="Book Antiqua" w:hAnsi="Book Antiqua" w:cs="Arial"/>
        </w:rPr>
        <w:t>R</w:t>
      </w:r>
      <w:r w:rsidR="00932ED7">
        <w:rPr>
          <w:rFonts w:ascii="Book Antiqua" w:hAnsi="Book Antiqua" w:cs="Arial"/>
        </w:rPr>
        <w:t>egulations in relation to permanent residen</w:t>
      </w:r>
      <w:r w:rsidR="00482668">
        <w:rPr>
          <w:rFonts w:ascii="Book Antiqua" w:hAnsi="Book Antiqua" w:cs="Arial"/>
        </w:rPr>
        <w:t>ce</w:t>
      </w:r>
      <w:r w:rsidR="00932ED7">
        <w:rPr>
          <w:rFonts w:ascii="Book Antiqua" w:hAnsi="Book Antiqua" w:cs="Arial"/>
        </w:rPr>
        <w:t>. The appeal</w:t>
      </w:r>
      <w:r w:rsidR="00B37D72">
        <w:rPr>
          <w:rFonts w:ascii="Book Antiqua" w:hAnsi="Book Antiqua" w:cs="Arial"/>
        </w:rPr>
        <w:t xml:space="preserve"> on the basis of an entitlement to a permanent residence card was therefore dismissed</w:t>
      </w:r>
      <w:r w:rsidR="00482668">
        <w:rPr>
          <w:rFonts w:ascii="Book Antiqua" w:hAnsi="Book Antiqua" w:cs="Arial"/>
        </w:rPr>
        <w:t xml:space="preserve">.  There </w:t>
      </w:r>
      <w:r w:rsidR="00B37D72">
        <w:rPr>
          <w:rFonts w:ascii="Book Antiqua" w:hAnsi="Book Antiqua" w:cs="Arial"/>
        </w:rPr>
        <w:t>is no cross-appeal against this aspect of the decision.</w:t>
      </w:r>
    </w:p>
    <w:p w:rsidR="00B37D72" w:rsidRDefault="00B37D72" w:rsidP="009D193F">
      <w:pPr>
        <w:numPr>
          <w:ilvl w:val="0"/>
          <w:numId w:val="3"/>
        </w:numPr>
        <w:jc w:val="both"/>
        <w:rPr>
          <w:rFonts w:ascii="Book Antiqua" w:hAnsi="Book Antiqua" w:cs="Arial"/>
        </w:rPr>
      </w:pPr>
      <w:r>
        <w:rPr>
          <w:rFonts w:ascii="Book Antiqua" w:hAnsi="Book Antiqua" w:cs="Arial"/>
        </w:rPr>
        <w:t>The Judge found the EEA national is self-employed exercising treaty rights on the basis of evidence from HMRC at [12] of the decision which is written in the following terms:</w:t>
      </w:r>
    </w:p>
    <w:p w:rsidR="00B37D72" w:rsidRDefault="00B37D72" w:rsidP="009D193F">
      <w:pPr>
        <w:ind w:left="1080"/>
        <w:jc w:val="both"/>
        <w:rPr>
          <w:rFonts w:ascii="Book Antiqua" w:hAnsi="Book Antiqua" w:cs="Arial"/>
        </w:rPr>
      </w:pPr>
    </w:p>
    <w:p w:rsidR="00B37D72" w:rsidRDefault="00B37D72" w:rsidP="009D193F">
      <w:pPr>
        <w:ind w:left="1701"/>
        <w:jc w:val="both"/>
        <w:rPr>
          <w:rFonts w:ascii="Book Antiqua" w:hAnsi="Book Antiqua" w:cs="Arial"/>
          <w:sz w:val="22"/>
          <w:szCs w:val="22"/>
        </w:rPr>
      </w:pPr>
      <w:r>
        <w:rPr>
          <w:rFonts w:ascii="Book Antiqua" w:hAnsi="Book Antiqua" w:cs="Arial"/>
          <w:sz w:val="22"/>
          <w:szCs w:val="22"/>
        </w:rPr>
        <w:t>“I am however satisfied that the EEA national is self-employed and exercising treaty rights.</w:t>
      </w:r>
      <w:r w:rsidR="0050417C">
        <w:rPr>
          <w:rFonts w:ascii="Book Antiqua" w:hAnsi="Book Antiqua" w:cs="Arial"/>
          <w:sz w:val="22"/>
          <w:szCs w:val="22"/>
        </w:rPr>
        <w:t xml:space="preserve"> The HMRC record indicates that she was self-employed during the tax year 2015/16 and she gave satisfactory oral evidence that she has continued to work buying and selling/hairdressing and cleaning, the appellant has a specific skill as an African hairdresser and as a jobseeker seeking work as a French/English translator (she submitted a curriculum vitae to an online service). While separated, the EEA national and appellant remain married. I</w:t>
      </w:r>
      <w:r w:rsidR="00DD1EC9">
        <w:rPr>
          <w:rFonts w:ascii="Book Antiqua" w:hAnsi="Book Antiqua" w:cs="Arial"/>
          <w:sz w:val="22"/>
          <w:szCs w:val="22"/>
        </w:rPr>
        <w:t xml:space="preserve"> am </w:t>
      </w:r>
      <w:r w:rsidR="0050417C">
        <w:rPr>
          <w:rFonts w:ascii="Book Antiqua" w:hAnsi="Book Antiqua" w:cs="Arial"/>
          <w:sz w:val="22"/>
          <w:szCs w:val="22"/>
        </w:rPr>
        <w:t>satisfied therefore that the appellant should be allowed to maintain his current status</w:t>
      </w:r>
      <w:r w:rsidR="001F6548">
        <w:rPr>
          <w:rFonts w:ascii="Book Antiqua" w:hAnsi="Book Antiqua" w:cs="Arial"/>
          <w:sz w:val="22"/>
          <w:szCs w:val="22"/>
        </w:rPr>
        <w:t xml:space="preserve"> as the family member of an EEA national exercising treaty rights.</w:t>
      </w:r>
      <w:r w:rsidR="00DD1EC9">
        <w:rPr>
          <w:rFonts w:ascii="Book Antiqua" w:hAnsi="Book Antiqua" w:cs="Arial"/>
          <w:sz w:val="22"/>
          <w:szCs w:val="22"/>
        </w:rPr>
        <w:t>”</w:t>
      </w:r>
    </w:p>
    <w:p w:rsidR="001F6548" w:rsidRPr="00B37D72" w:rsidRDefault="001F6548" w:rsidP="009D193F">
      <w:pPr>
        <w:ind w:left="1701"/>
        <w:jc w:val="both"/>
        <w:rPr>
          <w:rFonts w:ascii="Book Antiqua" w:hAnsi="Book Antiqua" w:cs="Arial"/>
          <w:sz w:val="22"/>
          <w:szCs w:val="22"/>
        </w:rPr>
      </w:pPr>
    </w:p>
    <w:p w:rsidR="00B37D72" w:rsidRDefault="001F6548" w:rsidP="009D193F">
      <w:pPr>
        <w:numPr>
          <w:ilvl w:val="0"/>
          <w:numId w:val="3"/>
        </w:numPr>
        <w:jc w:val="both"/>
        <w:rPr>
          <w:rFonts w:ascii="Book Antiqua" w:hAnsi="Book Antiqua" w:cs="Arial"/>
        </w:rPr>
      </w:pPr>
      <w:r>
        <w:rPr>
          <w:rFonts w:ascii="Book Antiqua" w:hAnsi="Book Antiqua" w:cs="Arial"/>
        </w:rPr>
        <w:t xml:space="preserve">Ground </w:t>
      </w:r>
      <w:r w:rsidR="00DD1EC9">
        <w:rPr>
          <w:rFonts w:ascii="Book Antiqua" w:hAnsi="Book Antiqua" w:cs="Arial"/>
        </w:rPr>
        <w:t>1</w:t>
      </w:r>
      <w:r>
        <w:rPr>
          <w:rFonts w:ascii="Book Antiqua" w:hAnsi="Book Antiqua" w:cs="Arial"/>
        </w:rPr>
        <w:t xml:space="preserve"> upon which the Secretary of State so</w:t>
      </w:r>
      <w:r w:rsidR="00DD1EC9">
        <w:rPr>
          <w:rFonts w:ascii="Book Antiqua" w:hAnsi="Book Antiqua" w:cs="Arial"/>
        </w:rPr>
        <w:t xml:space="preserve">ught </w:t>
      </w:r>
      <w:r>
        <w:rPr>
          <w:rFonts w:ascii="Book Antiqua" w:hAnsi="Book Antiqua" w:cs="Arial"/>
        </w:rPr>
        <w:t>permission to appeal asserted the Judge had provided unclear and inadequate reasoning at [12] as to why the EEA national</w:t>
      </w:r>
      <w:r w:rsidR="00DD1EC9">
        <w:rPr>
          <w:rFonts w:ascii="Book Antiqua" w:hAnsi="Book Antiqua" w:cs="Arial"/>
        </w:rPr>
        <w:t xml:space="preserve"> estranged </w:t>
      </w:r>
      <w:r>
        <w:rPr>
          <w:rFonts w:ascii="Book Antiqua" w:hAnsi="Book Antiqua" w:cs="Arial"/>
        </w:rPr>
        <w:t>spouse is a qualified person if not one with Permanent Rights of Residen</w:t>
      </w:r>
      <w:r w:rsidR="004F2F89">
        <w:rPr>
          <w:rFonts w:ascii="Book Antiqua" w:hAnsi="Book Antiqua" w:cs="Arial"/>
        </w:rPr>
        <w:t xml:space="preserve">ce </w:t>
      </w:r>
      <w:r>
        <w:rPr>
          <w:rFonts w:ascii="Book Antiqua" w:hAnsi="Book Antiqua" w:cs="Arial"/>
        </w:rPr>
        <w:t>and why it is relevant that the non-EEA, non-divorced applicant is a jobseeker. It is submitted that the</w:t>
      </w:r>
      <w:r w:rsidR="0001239E">
        <w:rPr>
          <w:rFonts w:ascii="Book Antiqua" w:hAnsi="Book Antiqua" w:cs="Arial"/>
        </w:rPr>
        <w:t xml:space="preserve"> First-tier Tribunal holds on thin reasoning that because the EEA spouse</w:t>
      </w:r>
      <w:r w:rsidR="004F2F89">
        <w:rPr>
          <w:rFonts w:ascii="Book Antiqua" w:hAnsi="Book Antiqua" w:cs="Arial"/>
        </w:rPr>
        <w:t xml:space="preserve"> i</w:t>
      </w:r>
      <w:r w:rsidR="0001239E">
        <w:rPr>
          <w:rFonts w:ascii="Book Antiqua" w:hAnsi="Book Antiqua" w:cs="Arial"/>
        </w:rPr>
        <w:t>s here and self-employed then the estranged applicant is still a family member on Diatta principles. It is submitted the First-tier Tribunal did</w:t>
      </w:r>
      <w:r w:rsidR="006873D3">
        <w:rPr>
          <w:rFonts w:ascii="Book Antiqua" w:hAnsi="Book Antiqua" w:cs="Arial"/>
        </w:rPr>
        <w:t xml:space="preserve"> not </w:t>
      </w:r>
      <w:r w:rsidR="0001239E">
        <w:rPr>
          <w:rFonts w:ascii="Book Antiqua" w:hAnsi="Book Antiqua" w:cs="Arial"/>
        </w:rPr>
        <w:t xml:space="preserve">mention the marginal and </w:t>
      </w:r>
      <w:r w:rsidR="006873D3">
        <w:rPr>
          <w:rFonts w:ascii="Book Antiqua" w:hAnsi="Book Antiqua" w:cs="Arial"/>
        </w:rPr>
        <w:t xml:space="preserve">ancillary </w:t>
      </w:r>
      <w:r w:rsidR="0001239E">
        <w:rPr>
          <w:rFonts w:ascii="Book Antiqua" w:hAnsi="Book Antiqua" w:cs="Arial"/>
        </w:rPr>
        <w:t>nature of the EEA national</w:t>
      </w:r>
      <w:r w:rsidR="006873D3">
        <w:rPr>
          <w:rFonts w:ascii="Book Antiqua" w:hAnsi="Book Antiqua" w:cs="Arial"/>
        </w:rPr>
        <w:t>’</w:t>
      </w:r>
      <w:r w:rsidR="0001239E">
        <w:rPr>
          <w:rFonts w:ascii="Book Antiqua" w:hAnsi="Book Antiqua" w:cs="Arial"/>
        </w:rPr>
        <w:t>s self-employment.</w:t>
      </w:r>
    </w:p>
    <w:p w:rsidR="0001239E" w:rsidRDefault="0001239E" w:rsidP="009D193F">
      <w:pPr>
        <w:numPr>
          <w:ilvl w:val="0"/>
          <w:numId w:val="3"/>
        </w:numPr>
        <w:jc w:val="both"/>
        <w:rPr>
          <w:rFonts w:ascii="Book Antiqua" w:hAnsi="Book Antiqua" w:cs="Arial"/>
        </w:rPr>
      </w:pPr>
      <w:r>
        <w:rPr>
          <w:rFonts w:ascii="Book Antiqua" w:hAnsi="Book Antiqua" w:cs="Arial"/>
        </w:rPr>
        <w:t>Both advocates accept that if the finding in [12] is sustainable and not infected by arguable legal error</w:t>
      </w:r>
      <w:r w:rsidR="00236541">
        <w:rPr>
          <w:rFonts w:ascii="Book Antiqua" w:hAnsi="Book Antiqua" w:cs="Arial"/>
        </w:rPr>
        <w:t xml:space="preserve"> then the appeal must fail</w:t>
      </w:r>
      <w:r w:rsidR="006873D3">
        <w:rPr>
          <w:rFonts w:ascii="Book Antiqua" w:hAnsi="Book Antiqua" w:cs="Arial"/>
        </w:rPr>
        <w:t>,</w:t>
      </w:r>
      <w:r w:rsidR="00236541">
        <w:rPr>
          <w:rFonts w:ascii="Book Antiqua" w:hAnsi="Book Antiqua" w:cs="Arial"/>
        </w:rPr>
        <w:t xml:space="preserve"> as Mr Ba will be entitled to the Residence Card as a family member of an EEA national exercising treaty rights.</w:t>
      </w:r>
    </w:p>
    <w:p w:rsidR="00236541" w:rsidRDefault="00236541" w:rsidP="009D193F">
      <w:pPr>
        <w:numPr>
          <w:ilvl w:val="0"/>
          <w:numId w:val="3"/>
        </w:numPr>
        <w:jc w:val="both"/>
        <w:rPr>
          <w:rFonts w:ascii="Book Antiqua" w:hAnsi="Book Antiqua" w:cs="Arial"/>
        </w:rPr>
      </w:pPr>
      <w:r>
        <w:rPr>
          <w:rFonts w:ascii="Book Antiqua" w:hAnsi="Book Antiqua" w:cs="Arial"/>
        </w:rPr>
        <w:t>This is not a case, contrary to the submissions of Mr Bates</w:t>
      </w:r>
      <w:r w:rsidR="006873D3">
        <w:rPr>
          <w:rFonts w:ascii="Book Antiqua" w:hAnsi="Book Antiqua" w:cs="Arial"/>
        </w:rPr>
        <w:t>,</w:t>
      </w:r>
      <w:r>
        <w:rPr>
          <w:rFonts w:ascii="Book Antiqua" w:hAnsi="Book Antiqua" w:cs="Arial"/>
        </w:rPr>
        <w:t xml:space="preserve"> in which the Judge found the EEA national</w:t>
      </w:r>
      <w:r w:rsidR="006873D3">
        <w:rPr>
          <w:rFonts w:ascii="Book Antiqua" w:hAnsi="Book Antiqua" w:cs="Arial"/>
        </w:rPr>
        <w:t xml:space="preserve"> i</w:t>
      </w:r>
      <w:r>
        <w:rPr>
          <w:rFonts w:ascii="Book Antiqua" w:hAnsi="Book Antiqua" w:cs="Arial"/>
        </w:rPr>
        <w:t>s exercising treaty rights solely on the basis of the evidence from HMRC, even though that evidence did confirm that at the date of the application</w:t>
      </w:r>
      <w:r w:rsidR="005F4BA9">
        <w:rPr>
          <w:rFonts w:ascii="Book Antiqua" w:hAnsi="Book Antiqua" w:cs="Arial"/>
        </w:rPr>
        <w:t xml:space="preserve"> </w:t>
      </w:r>
      <w:r w:rsidR="00E777D3">
        <w:rPr>
          <w:rFonts w:ascii="Book Antiqua" w:hAnsi="Book Antiqua" w:cs="Arial"/>
        </w:rPr>
        <w:t xml:space="preserve">the </w:t>
      </w:r>
      <w:r w:rsidR="005F4BA9">
        <w:rPr>
          <w:rFonts w:ascii="Book Antiqua" w:hAnsi="Book Antiqua" w:cs="Arial"/>
        </w:rPr>
        <w:t>EEA national was self-employed. The Judge specifically refers</w:t>
      </w:r>
      <w:r w:rsidR="00E777D3">
        <w:rPr>
          <w:rFonts w:ascii="Book Antiqua" w:hAnsi="Book Antiqua" w:cs="Arial"/>
        </w:rPr>
        <w:t>,</w:t>
      </w:r>
      <w:r w:rsidR="005F4BA9">
        <w:rPr>
          <w:rFonts w:ascii="Book Antiqua" w:hAnsi="Book Antiqua" w:cs="Arial"/>
        </w:rPr>
        <w:t xml:space="preserve"> in addition</w:t>
      </w:r>
      <w:r w:rsidR="00E777D3">
        <w:rPr>
          <w:rFonts w:ascii="Book Antiqua" w:hAnsi="Book Antiqua" w:cs="Arial"/>
        </w:rPr>
        <w:t>,</w:t>
      </w:r>
      <w:r w:rsidR="005F4BA9">
        <w:rPr>
          <w:rFonts w:ascii="Book Antiqua" w:hAnsi="Book Antiqua" w:cs="Arial"/>
        </w:rPr>
        <w:t xml:space="preserve"> to the fact EEA national gave “satisfactory oral evidence”. </w:t>
      </w:r>
      <w:r w:rsidR="0092142E">
        <w:rPr>
          <w:rFonts w:ascii="Book Antiqua" w:hAnsi="Book Antiqua" w:cs="Arial"/>
        </w:rPr>
        <w:t>The EEA national was questioned about exercising treaty rights.</w:t>
      </w:r>
      <w:r w:rsidR="0046319C">
        <w:rPr>
          <w:rFonts w:ascii="Book Antiqua" w:hAnsi="Book Antiqua" w:cs="Arial"/>
        </w:rPr>
        <w:t xml:space="preserve"> What the Record of Proceedings does not disclose, as submitted by Mr Schwenk, is th</w:t>
      </w:r>
      <w:r w:rsidR="00E777D3">
        <w:rPr>
          <w:rFonts w:ascii="Book Antiqua" w:hAnsi="Book Antiqua" w:cs="Arial"/>
        </w:rPr>
        <w:t xml:space="preserve">at any </w:t>
      </w:r>
      <w:r w:rsidR="0046319C">
        <w:rPr>
          <w:rFonts w:ascii="Book Antiqua" w:hAnsi="Book Antiqua" w:cs="Arial"/>
        </w:rPr>
        <w:t>issue in relation to whether the EEA national</w:t>
      </w:r>
      <w:r w:rsidR="006921CD">
        <w:rPr>
          <w:rFonts w:ascii="Book Antiqua" w:hAnsi="Book Antiqua" w:cs="Arial"/>
        </w:rPr>
        <w:t>’</w:t>
      </w:r>
      <w:r w:rsidR="0046319C">
        <w:rPr>
          <w:rFonts w:ascii="Book Antiqua" w:hAnsi="Book Antiqua" w:cs="Arial"/>
        </w:rPr>
        <w:t xml:space="preserve">s employment or self-employment was marginal and ancillary was raised by the </w:t>
      </w:r>
      <w:r w:rsidR="006921CD">
        <w:rPr>
          <w:rFonts w:ascii="Book Antiqua" w:hAnsi="Book Antiqua" w:cs="Arial"/>
        </w:rPr>
        <w:t>P</w:t>
      </w:r>
      <w:r w:rsidR="0046319C">
        <w:rPr>
          <w:rFonts w:ascii="Book Antiqua" w:hAnsi="Book Antiqua" w:cs="Arial"/>
        </w:rPr>
        <w:t xml:space="preserve">resenting </w:t>
      </w:r>
      <w:r w:rsidR="006921CD">
        <w:rPr>
          <w:rFonts w:ascii="Book Antiqua" w:hAnsi="Book Antiqua" w:cs="Arial"/>
        </w:rPr>
        <w:t>O</w:t>
      </w:r>
      <w:r w:rsidR="0046319C">
        <w:rPr>
          <w:rFonts w:ascii="Book Antiqua" w:hAnsi="Book Antiqua" w:cs="Arial"/>
        </w:rPr>
        <w:t>fficer at the hearing before the First-tier Tribunal. It appears that this was not an issue taken at that stage and is a matter that only arises in the application for permission to appeal.</w:t>
      </w:r>
    </w:p>
    <w:p w:rsidR="0046319C" w:rsidRDefault="00FF05BB" w:rsidP="009D193F">
      <w:pPr>
        <w:numPr>
          <w:ilvl w:val="0"/>
          <w:numId w:val="3"/>
        </w:numPr>
        <w:jc w:val="both"/>
        <w:rPr>
          <w:rFonts w:ascii="Book Antiqua" w:hAnsi="Book Antiqua" w:cs="Arial"/>
        </w:rPr>
      </w:pPr>
      <w:r>
        <w:rPr>
          <w:rFonts w:ascii="Book Antiqua" w:hAnsi="Book Antiqua" w:cs="Arial"/>
        </w:rPr>
        <w:t>The Reasons for Refusal letter rejected Mr Ba’s application, stating “you have not provided any evidence of your EEA sponsor exercising treaty rights in the United Kingdom, as a result, this department is unable to establish whether your EEA sponsor has been exercising treaty rights in the United Kingdom for a continuous period of five years whilst employed/self-employed/jobseeker/</w:t>
      </w:r>
      <w:r w:rsidR="006921CD">
        <w:rPr>
          <w:rFonts w:ascii="Book Antiqua" w:hAnsi="Book Antiqua" w:cs="Arial"/>
        </w:rPr>
        <w:t>self</w:t>
      </w:r>
      <w:r w:rsidR="00D36561">
        <w:rPr>
          <w:rFonts w:ascii="Book Antiqua" w:hAnsi="Book Antiqua" w:cs="Arial"/>
        </w:rPr>
        <w:t>-</w:t>
      </w:r>
      <w:r>
        <w:rPr>
          <w:rFonts w:ascii="Book Antiqua" w:hAnsi="Book Antiqua" w:cs="Arial"/>
        </w:rPr>
        <w:t>sufficient/a student.</w:t>
      </w:r>
    </w:p>
    <w:p w:rsidR="000774E5" w:rsidRDefault="000774E5" w:rsidP="009D193F">
      <w:pPr>
        <w:numPr>
          <w:ilvl w:val="0"/>
          <w:numId w:val="3"/>
        </w:numPr>
        <w:jc w:val="both"/>
        <w:rPr>
          <w:rFonts w:ascii="Book Antiqua" w:hAnsi="Book Antiqua" w:cs="Arial"/>
        </w:rPr>
      </w:pPr>
      <w:r>
        <w:rPr>
          <w:rFonts w:ascii="Book Antiqua" w:hAnsi="Book Antiqua" w:cs="Arial"/>
        </w:rPr>
        <w:lastRenderedPageBreak/>
        <w:t xml:space="preserve">The Judge had the advantage of seeing both Mr Ba and the EEA national give evidence, in addition to considering the documentary </w:t>
      </w:r>
      <w:r w:rsidR="00D36561">
        <w:rPr>
          <w:rFonts w:ascii="Book Antiqua" w:hAnsi="Book Antiqua" w:cs="Arial"/>
        </w:rPr>
        <w:t>material</w:t>
      </w:r>
      <w:r>
        <w:rPr>
          <w:rFonts w:ascii="Book Antiqua" w:hAnsi="Book Antiqua" w:cs="Arial"/>
        </w:rPr>
        <w:t>. It is not made out the conclusion the EEA national is exercising treaty rights as a self-employed person</w:t>
      </w:r>
      <w:r w:rsidR="0037753D">
        <w:rPr>
          <w:rFonts w:ascii="Book Antiqua" w:hAnsi="Book Antiqua" w:cs="Arial"/>
        </w:rPr>
        <w:t xml:space="preserve"> within the United Kingdom is outside the range of findings reasonably open to the Judge on the evidence. Accordingly, the Secretary of State fails to establish the existence of an arguable legal error material to the decision to allow the appeal.</w:t>
      </w:r>
    </w:p>
    <w:p w:rsidR="0037753D" w:rsidRDefault="0037753D" w:rsidP="009D193F">
      <w:pPr>
        <w:numPr>
          <w:ilvl w:val="0"/>
          <w:numId w:val="3"/>
        </w:numPr>
        <w:jc w:val="both"/>
        <w:rPr>
          <w:rFonts w:ascii="Book Antiqua" w:hAnsi="Book Antiqua" w:cs="Arial"/>
        </w:rPr>
      </w:pPr>
      <w:r>
        <w:rPr>
          <w:rFonts w:ascii="Book Antiqua" w:hAnsi="Book Antiqua" w:cs="Arial"/>
        </w:rPr>
        <w:t>Although not strictly required at this stage in light of the finding above, the</w:t>
      </w:r>
      <w:r w:rsidR="002F0434">
        <w:rPr>
          <w:rFonts w:ascii="Book Antiqua" w:hAnsi="Book Antiqua" w:cs="Arial"/>
        </w:rPr>
        <w:t xml:space="preserve"> Secretary State relied </w:t>
      </w:r>
      <w:r w:rsidR="00D36561">
        <w:rPr>
          <w:rFonts w:ascii="Book Antiqua" w:hAnsi="Book Antiqua" w:cs="Arial"/>
        </w:rPr>
        <w:t xml:space="preserve">upon two </w:t>
      </w:r>
      <w:r w:rsidR="002F0434">
        <w:rPr>
          <w:rFonts w:ascii="Book Antiqua" w:hAnsi="Book Antiqua" w:cs="Arial"/>
        </w:rPr>
        <w:t xml:space="preserve">further grounds of challenge to the Judge’s decision. Ground </w:t>
      </w:r>
      <w:r w:rsidR="00D36561">
        <w:rPr>
          <w:rFonts w:ascii="Book Antiqua" w:hAnsi="Book Antiqua" w:cs="Arial"/>
        </w:rPr>
        <w:t>2</w:t>
      </w:r>
      <w:r w:rsidR="002F0434">
        <w:rPr>
          <w:rFonts w:ascii="Book Antiqua" w:hAnsi="Book Antiqua" w:cs="Arial"/>
        </w:rPr>
        <w:t xml:space="preserve"> submitted that </w:t>
      </w:r>
      <w:r w:rsidR="00D36561">
        <w:rPr>
          <w:rFonts w:ascii="Book Antiqua" w:hAnsi="Book Antiqua" w:cs="Arial"/>
        </w:rPr>
        <w:t xml:space="preserve">the Judges </w:t>
      </w:r>
      <w:r w:rsidR="002F0434">
        <w:rPr>
          <w:rFonts w:ascii="Book Antiqua" w:hAnsi="Book Antiqua" w:cs="Arial"/>
        </w:rPr>
        <w:t xml:space="preserve">analysis of </w:t>
      </w:r>
      <w:r w:rsidR="00C420F2">
        <w:rPr>
          <w:rFonts w:ascii="Book Antiqua" w:hAnsi="Book Antiqua" w:cs="Arial"/>
        </w:rPr>
        <w:t xml:space="preserve">Mr Ba’s </w:t>
      </w:r>
      <w:r w:rsidR="002F0434">
        <w:rPr>
          <w:rFonts w:ascii="Book Antiqua" w:hAnsi="Book Antiqua" w:cs="Arial"/>
        </w:rPr>
        <w:t>eligibility under Regulation 15</w:t>
      </w:r>
      <w:proofErr w:type="gramStart"/>
      <w:r w:rsidR="002F0434">
        <w:rPr>
          <w:rFonts w:ascii="Book Antiqua" w:hAnsi="Book Antiqua" w:cs="Arial"/>
        </w:rPr>
        <w:t>A(</w:t>
      </w:r>
      <w:proofErr w:type="gramEnd"/>
      <w:r w:rsidR="002F0434">
        <w:rPr>
          <w:rFonts w:ascii="Book Antiqua" w:hAnsi="Book Antiqua" w:cs="Arial"/>
        </w:rPr>
        <w:t>3)/(4) is incorrect as the First-tier Tribunal had found that the EEA national is an “exempt person” under Regulation 15(6)(c</w:t>
      </w:r>
      <w:r w:rsidR="00764F2A">
        <w:rPr>
          <w:rFonts w:ascii="Book Antiqua" w:hAnsi="Book Antiqua" w:cs="Arial"/>
        </w:rPr>
        <w:t>)(i) as she enjoys a right under another part of the Regulations and therefore Mr Ba cannot be a primary carer by sharing care with her.</w:t>
      </w:r>
    </w:p>
    <w:p w:rsidR="00764F2A" w:rsidRDefault="00764F2A" w:rsidP="009D193F">
      <w:pPr>
        <w:numPr>
          <w:ilvl w:val="0"/>
          <w:numId w:val="3"/>
        </w:numPr>
        <w:jc w:val="both"/>
        <w:rPr>
          <w:rFonts w:ascii="Book Antiqua" w:hAnsi="Book Antiqua" w:cs="Arial"/>
        </w:rPr>
      </w:pPr>
      <w:r>
        <w:rPr>
          <w:rFonts w:ascii="Book Antiqua" w:hAnsi="Book Antiqua" w:cs="Arial"/>
        </w:rPr>
        <w:t xml:space="preserve">Ground </w:t>
      </w:r>
      <w:r w:rsidR="00C420F2">
        <w:rPr>
          <w:rFonts w:ascii="Book Antiqua" w:hAnsi="Book Antiqua" w:cs="Arial"/>
        </w:rPr>
        <w:t>3</w:t>
      </w:r>
      <w:r>
        <w:rPr>
          <w:rFonts w:ascii="Book Antiqua" w:hAnsi="Book Antiqua" w:cs="Arial"/>
        </w:rPr>
        <w:t xml:space="preserve"> asserts a procedural irregularity in that in coming to the findings pursuant to Regulation 15A </w:t>
      </w:r>
      <w:r w:rsidR="00C420F2">
        <w:rPr>
          <w:rFonts w:ascii="Book Antiqua" w:hAnsi="Book Antiqua" w:cs="Arial"/>
        </w:rPr>
        <w:t xml:space="preserve">the </w:t>
      </w:r>
      <w:r>
        <w:rPr>
          <w:rFonts w:ascii="Book Antiqua" w:hAnsi="Book Antiqua" w:cs="Arial"/>
        </w:rPr>
        <w:t xml:space="preserve">Judge committed a procedural irregularity by considering a </w:t>
      </w:r>
      <w:r w:rsidR="00C420F2">
        <w:rPr>
          <w:rFonts w:ascii="Book Antiqua" w:hAnsi="Book Antiqua" w:cs="Arial"/>
        </w:rPr>
        <w:t>‘</w:t>
      </w:r>
      <w:r>
        <w:rPr>
          <w:rFonts w:ascii="Book Antiqua" w:hAnsi="Book Antiqua" w:cs="Arial"/>
        </w:rPr>
        <w:t>new matter</w:t>
      </w:r>
      <w:r w:rsidR="00C420F2">
        <w:rPr>
          <w:rFonts w:ascii="Book Antiqua" w:hAnsi="Book Antiqua" w:cs="Arial"/>
        </w:rPr>
        <w:t>’</w:t>
      </w:r>
      <w:r>
        <w:rPr>
          <w:rFonts w:ascii="Book Antiqua" w:hAnsi="Book Antiqua" w:cs="Arial"/>
        </w:rPr>
        <w:t xml:space="preserve"> as the matter of eligibility for a derived right had not been raised previously </w:t>
      </w:r>
      <w:r w:rsidR="00C420F2">
        <w:rPr>
          <w:rFonts w:ascii="Book Antiqua" w:hAnsi="Book Antiqua" w:cs="Arial"/>
        </w:rPr>
        <w:t xml:space="preserve">with </w:t>
      </w:r>
      <w:r>
        <w:rPr>
          <w:rFonts w:ascii="Book Antiqua" w:hAnsi="Book Antiqua" w:cs="Arial"/>
        </w:rPr>
        <w:t>the Secretary of State.</w:t>
      </w:r>
    </w:p>
    <w:p w:rsidR="00EB632D" w:rsidRDefault="00EB632D" w:rsidP="009D193F">
      <w:pPr>
        <w:numPr>
          <w:ilvl w:val="0"/>
          <w:numId w:val="3"/>
        </w:numPr>
        <w:jc w:val="both"/>
        <w:rPr>
          <w:rFonts w:ascii="Book Antiqua" w:hAnsi="Book Antiqua" w:cs="Arial"/>
        </w:rPr>
      </w:pPr>
      <w:r>
        <w:rPr>
          <w:rFonts w:ascii="Book Antiqua" w:hAnsi="Book Antiqua" w:cs="Arial"/>
        </w:rPr>
        <w:t>The Judge in the decision under challenge went on to consider an</w:t>
      </w:r>
      <w:r w:rsidR="00C420F2">
        <w:rPr>
          <w:rFonts w:ascii="Book Antiqua" w:hAnsi="Book Antiqua" w:cs="Arial"/>
        </w:rPr>
        <w:t>y</w:t>
      </w:r>
      <w:r>
        <w:rPr>
          <w:rFonts w:ascii="Book Antiqua" w:hAnsi="Book Antiqua" w:cs="Arial"/>
        </w:rPr>
        <w:t xml:space="preserve"> eligibility to a Derived right of residence from [13] of the decision under challenge. Mr Bates highlighted a number of difficulties with the approach adopted by the </w:t>
      </w:r>
      <w:r w:rsidR="00C420F2">
        <w:rPr>
          <w:rFonts w:ascii="Book Antiqua" w:hAnsi="Book Antiqua" w:cs="Arial"/>
        </w:rPr>
        <w:t xml:space="preserve">Judge </w:t>
      </w:r>
      <w:r>
        <w:rPr>
          <w:rFonts w:ascii="Book Antiqua" w:hAnsi="Book Antiqua" w:cs="Arial"/>
        </w:rPr>
        <w:t>in the way in which the Regulation was applied</w:t>
      </w:r>
      <w:r w:rsidR="00C420F2">
        <w:rPr>
          <w:rFonts w:ascii="Book Antiqua" w:hAnsi="Book Antiqua" w:cs="Arial"/>
        </w:rPr>
        <w:t>;</w:t>
      </w:r>
      <w:r>
        <w:rPr>
          <w:rFonts w:ascii="Book Antiqua" w:hAnsi="Book Antiqua" w:cs="Arial"/>
        </w:rPr>
        <w:t xml:space="preserve"> which may </w:t>
      </w:r>
      <w:r w:rsidR="00C420F2">
        <w:rPr>
          <w:rFonts w:ascii="Book Antiqua" w:hAnsi="Book Antiqua" w:cs="Arial"/>
        </w:rPr>
        <w:t xml:space="preserve">amount to </w:t>
      </w:r>
      <w:r>
        <w:rPr>
          <w:rFonts w:ascii="Book Antiqua" w:hAnsi="Book Antiqua" w:cs="Arial"/>
        </w:rPr>
        <w:t>arguable legal errors.</w:t>
      </w:r>
    </w:p>
    <w:p w:rsidR="00EB632D" w:rsidRDefault="00EB632D" w:rsidP="009D193F">
      <w:pPr>
        <w:numPr>
          <w:ilvl w:val="0"/>
          <w:numId w:val="3"/>
        </w:numPr>
        <w:jc w:val="both"/>
        <w:rPr>
          <w:rFonts w:ascii="Book Antiqua" w:hAnsi="Book Antiqua" w:cs="Arial"/>
        </w:rPr>
      </w:pPr>
      <w:r>
        <w:rPr>
          <w:rFonts w:ascii="Book Antiqua" w:hAnsi="Book Antiqua" w:cs="Arial"/>
        </w:rPr>
        <w:t>The fundamental issue is, however, whether</w:t>
      </w:r>
      <w:r w:rsidR="00C66B5B">
        <w:rPr>
          <w:rFonts w:ascii="Book Antiqua" w:hAnsi="Book Antiqua" w:cs="Arial"/>
        </w:rPr>
        <w:t xml:space="preserve"> there is any merit in the assertion of a procedural irregularity. Although the Grounds refer to section 84 of the Nationality, Immigration and Asylum </w:t>
      </w:r>
      <w:r w:rsidR="00C420F2">
        <w:rPr>
          <w:rFonts w:ascii="Book Antiqua" w:hAnsi="Book Antiqua" w:cs="Arial"/>
        </w:rPr>
        <w:t>A</w:t>
      </w:r>
      <w:r w:rsidR="00C66B5B">
        <w:rPr>
          <w:rFonts w:ascii="Book Antiqua" w:hAnsi="Book Antiqua" w:cs="Arial"/>
        </w:rPr>
        <w:t>ct 2002 the correct statutory provision is section 85.</w:t>
      </w:r>
    </w:p>
    <w:p w:rsidR="00C66B5B" w:rsidRDefault="00C66B5B" w:rsidP="009D193F">
      <w:pPr>
        <w:numPr>
          <w:ilvl w:val="0"/>
          <w:numId w:val="3"/>
        </w:numPr>
        <w:jc w:val="both"/>
        <w:rPr>
          <w:rFonts w:ascii="Book Antiqua" w:hAnsi="Book Antiqua" w:cs="Arial"/>
        </w:rPr>
      </w:pPr>
      <w:r>
        <w:rPr>
          <w:rFonts w:ascii="Book Antiqua" w:hAnsi="Book Antiqua" w:cs="Arial"/>
        </w:rPr>
        <w:t>It was not argued that the current version of section 85</w:t>
      </w:r>
      <w:r w:rsidR="008A6BD6">
        <w:rPr>
          <w:rFonts w:ascii="Book Antiqua" w:hAnsi="Book Antiqua" w:cs="Arial"/>
        </w:rPr>
        <w:t xml:space="preserve"> is not applicable to this appeal. Mr Schwenk in his skeleton argument raised the issue of an entitlement to a Derived </w:t>
      </w:r>
      <w:r w:rsidR="00D16E80">
        <w:rPr>
          <w:rFonts w:ascii="Book Antiqua" w:hAnsi="Book Antiqua" w:cs="Arial"/>
        </w:rPr>
        <w:t>r</w:t>
      </w:r>
      <w:r w:rsidR="008A6BD6">
        <w:rPr>
          <w:rFonts w:ascii="Book Antiqua" w:hAnsi="Book Antiqua" w:cs="Arial"/>
        </w:rPr>
        <w:t xml:space="preserve">ight of </w:t>
      </w:r>
      <w:r w:rsidR="00D16E80">
        <w:rPr>
          <w:rFonts w:ascii="Book Antiqua" w:hAnsi="Book Antiqua" w:cs="Arial"/>
        </w:rPr>
        <w:t>r</w:t>
      </w:r>
      <w:r w:rsidR="008A6BD6">
        <w:rPr>
          <w:rFonts w:ascii="Book Antiqua" w:hAnsi="Book Antiqua" w:cs="Arial"/>
        </w:rPr>
        <w:t xml:space="preserve">esidence but it does not appear that either of the advocates nor the Judge considered whether this was a </w:t>
      </w:r>
      <w:r w:rsidR="00D16E80">
        <w:rPr>
          <w:rFonts w:ascii="Book Antiqua" w:hAnsi="Book Antiqua" w:cs="Arial"/>
        </w:rPr>
        <w:t>‘</w:t>
      </w:r>
      <w:r w:rsidR="008A6BD6">
        <w:rPr>
          <w:rFonts w:ascii="Book Antiqua" w:hAnsi="Book Antiqua" w:cs="Arial"/>
        </w:rPr>
        <w:t>new matter</w:t>
      </w:r>
      <w:r w:rsidR="00D16E80">
        <w:rPr>
          <w:rFonts w:ascii="Book Antiqua" w:hAnsi="Book Antiqua" w:cs="Arial"/>
        </w:rPr>
        <w:t>’</w:t>
      </w:r>
      <w:r w:rsidR="008A6BD6">
        <w:rPr>
          <w:rFonts w:ascii="Book Antiqua" w:hAnsi="Book Antiqua" w:cs="Arial"/>
        </w:rPr>
        <w:t>.</w:t>
      </w:r>
    </w:p>
    <w:p w:rsidR="008A6BD6" w:rsidRDefault="008A6BD6" w:rsidP="009D193F">
      <w:pPr>
        <w:numPr>
          <w:ilvl w:val="0"/>
          <w:numId w:val="3"/>
        </w:numPr>
        <w:jc w:val="both"/>
        <w:rPr>
          <w:rFonts w:ascii="Book Antiqua" w:hAnsi="Book Antiqua" w:cs="Arial"/>
        </w:rPr>
      </w:pPr>
      <w:r>
        <w:rPr>
          <w:rFonts w:ascii="Book Antiqua" w:hAnsi="Book Antiqua" w:cs="Arial"/>
        </w:rPr>
        <w:t>Section 85(5)</w:t>
      </w:r>
      <w:r w:rsidR="00676CF5">
        <w:rPr>
          <w:rFonts w:ascii="Book Antiqua" w:hAnsi="Book Antiqua" w:cs="Arial"/>
        </w:rPr>
        <w:t xml:space="preserve"> specifically prevents the Tribunal considering a </w:t>
      </w:r>
      <w:r w:rsidR="00D16E80">
        <w:rPr>
          <w:rFonts w:ascii="Book Antiqua" w:hAnsi="Book Antiqua" w:cs="Arial"/>
        </w:rPr>
        <w:t>‘</w:t>
      </w:r>
      <w:r w:rsidR="00676CF5">
        <w:rPr>
          <w:rFonts w:ascii="Book Antiqua" w:hAnsi="Book Antiqua" w:cs="Arial"/>
        </w:rPr>
        <w:t>new matter</w:t>
      </w:r>
      <w:r w:rsidR="00D16E80">
        <w:rPr>
          <w:rFonts w:ascii="Book Antiqua" w:hAnsi="Book Antiqua" w:cs="Arial"/>
        </w:rPr>
        <w:t>’</w:t>
      </w:r>
      <w:r w:rsidR="00676CF5">
        <w:rPr>
          <w:rFonts w:ascii="Book Antiqua" w:hAnsi="Book Antiqua" w:cs="Arial"/>
        </w:rPr>
        <w:t xml:space="preserve"> unless the Secretary of State </w:t>
      </w:r>
      <w:r w:rsidR="00D16E80">
        <w:rPr>
          <w:rFonts w:ascii="Book Antiqua" w:hAnsi="Book Antiqua" w:cs="Arial"/>
        </w:rPr>
        <w:t xml:space="preserve">has </w:t>
      </w:r>
      <w:r w:rsidR="00676CF5">
        <w:rPr>
          <w:rFonts w:ascii="Book Antiqua" w:hAnsi="Book Antiqua" w:cs="Arial"/>
        </w:rPr>
        <w:t xml:space="preserve">given the Tribunal consent to do so. Section 85 (6) defines when a matter is a “new matter” which in relation to the requirement for it </w:t>
      </w:r>
      <w:r w:rsidR="00D16E80">
        <w:rPr>
          <w:rFonts w:ascii="Book Antiqua" w:hAnsi="Book Antiqua" w:cs="Arial"/>
        </w:rPr>
        <w:t xml:space="preserve">to </w:t>
      </w:r>
      <w:r w:rsidR="00676CF5">
        <w:rPr>
          <w:rFonts w:ascii="Book Antiqua" w:hAnsi="Book Antiqua" w:cs="Arial"/>
        </w:rPr>
        <w:t>constitute a ground of appeal of a kind listed in section 8</w:t>
      </w:r>
      <w:r w:rsidR="00A17366">
        <w:rPr>
          <w:rFonts w:ascii="Book Antiqua" w:hAnsi="Book Antiqua" w:cs="Arial"/>
        </w:rPr>
        <w:t>4</w:t>
      </w:r>
      <w:r w:rsidR="00676CF5">
        <w:rPr>
          <w:rFonts w:ascii="Book Antiqua" w:hAnsi="Book Antiqua" w:cs="Arial"/>
        </w:rPr>
        <w:t xml:space="preserve"> and </w:t>
      </w:r>
      <w:r w:rsidR="00D16E80">
        <w:rPr>
          <w:rFonts w:ascii="Book Antiqua" w:hAnsi="Book Antiqua" w:cs="Arial"/>
        </w:rPr>
        <w:t>for it to be a matter the</w:t>
      </w:r>
      <w:r w:rsidR="00676CF5">
        <w:rPr>
          <w:rFonts w:ascii="Book Antiqua" w:hAnsi="Book Antiqua" w:cs="Arial"/>
        </w:rPr>
        <w:t xml:space="preserve"> Secretary of State has not previously considered in the context of the decision mentioned in section 82(1), or statement made by the appellant under section 120</w:t>
      </w:r>
      <w:r w:rsidR="004C73C5">
        <w:rPr>
          <w:rFonts w:ascii="Book Antiqua" w:hAnsi="Book Antiqua" w:cs="Arial"/>
        </w:rPr>
        <w:t>, i</w:t>
      </w:r>
      <w:r w:rsidR="00BE0BD4">
        <w:rPr>
          <w:rFonts w:ascii="Book Antiqua" w:hAnsi="Book Antiqua" w:cs="Arial"/>
        </w:rPr>
        <w:t xml:space="preserve">t is not argued that the derived right of residence aspect does not constitute a ground of appeal and it is not disputed that the Secretary State </w:t>
      </w:r>
      <w:r w:rsidR="004C73C5">
        <w:rPr>
          <w:rFonts w:ascii="Book Antiqua" w:hAnsi="Book Antiqua" w:cs="Arial"/>
        </w:rPr>
        <w:t xml:space="preserve">has </w:t>
      </w:r>
      <w:r w:rsidR="00BE0BD4">
        <w:rPr>
          <w:rFonts w:ascii="Book Antiqua" w:hAnsi="Book Antiqua" w:cs="Arial"/>
        </w:rPr>
        <w:t>not previously considered the matter. Indeed</w:t>
      </w:r>
      <w:r w:rsidR="004C73C5">
        <w:rPr>
          <w:rFonts w:ascii="Book Antiqua" w:hAnsi="Book Antiqua" w:cs="Arial"/>
        </w:rPr>
        <w:t>,</w:t>
      </w:r>
      <w:r w:rsidR="00BE0BD4">
        <w:rPr>
          <w:rFonts w:ascii="Book Antiqua" w:hAnsi="Book Antiqua" w:cs="Arial"/>
        </w:rPr>
        <w:t xml:space="preserve"> a reading of the Reasons for </w:t>
      </w:r>
      <w:r w:rsidR="004C73C5">
        <w:rPr>
          <w:rFonts w:ascii="Book Antiqua" w:hAnsi="Book Antiqua" w:cs="Arial"/>
        </w:rPr>
        <w:t>R</w:t>
      </w:r>
      <w:r w:rsidR="00BE0BD4">
        <w:rPr>
          <w:rFonts w:ascii="Book Antiqua" w:hAnsi="Book Antiqua" w:cs="Arial"/>
        </w:rPr>
        <w:t>efusal shows it was not part of Mr Ba’s case previously.</w:t>
      </w:r>
    </w:p>
    <w:p w:rsidR="00BE0BD4" w:rsidRDefault="00BE0BD4" w:rsidP="009D193F">
      <w:pPr>
        <w:numPr>
          <w:ilvl w:val="0"/>
          <w:numId w:val="3"/>
        </w:numPr>
        <w:jc w:val="both"/>
        <w:rPr>
          <w:rFonts w:ascii="Book Antiqua" w:hAnsi="Book Antiqua" w:cs="Arial"/>
        </w:rPr>
      </w:pPr>
      <w:r>
        <w:rPr>
          <w:rFonts w:ascii="Book Antiqua" w:hAnsi="Book Antiqua" w:cs="Arial"/>
        </w:rPr>
        <w:t xml:space="preserve">The judge granting permission to appeal to the Secretary State refers to the decision of the Upper Tribunal in </w:t>
      </w:r>
      <w:r w:rsidRPr="004C73C5">
        <w:rPr>
          <w:rFonts w:ascii="Book Antiqua" w:hAnsi="Book Antiqua" w:cs="Arial"/>
          <w:i/>
        </w:rPr>
        <w:t>Mahmud (S85 NIAA 2002</w:t>
      </w:r>
      <w:r w:rsidR="0051264F" w:rsidRPr="004C73C5">
        <w:rPr>
          <w:rFonts w:ascii="Book Antiqua" w:hAnsi="Book Antiqua" w:cs="Arial"/>
          <w:i/>
        </w:rPr>
        <w:t xml:space="preserve"> – “new matters”) [2017] UKUT 488 </w:t>
      </w:r>
      <w:r w:rsidR="0051264F">
        <w:rPr>
          <w:rFonts w:ascii="Book Antiqua" w:hAnsi="Book Antiqua" w:cs="Arial"/>
        </w:rPr>
        <w:t>in which it was held that whether something is or is not a new matter goes to the jurisdiction of the First-tier Tribunal</w:t>
      </w:r>
      <w:r w:rsidR="00A17366">
        <w:rPr>
          <w:rFonts w:ascii="Book Antiqua" w:hAnsi="Book Antiqua" w:cs="Arial"/>
        </w:rPr>
        <w:t xml:space="preserve"> and that that Tribunal must therefore determine for itself the issue. It was found that the matter must be factually distinct from that previously raised by an appellant as opposed to </w:t>
      </w:r>
      <w:r w:rsidR="00A17366">
        <w:rPr>
          <w:rFonts w:ascii="Book Antiqua" w:hAnsi="Book Antiqua" w:cs="Arial"/>
        </w:rPr>
        <w:lastRenderedPageBreak/>
        <w:t xml:space="preserve">further or better evidence of an existing matter which </w:t>
      </w:r>
      <w:r w:rsidR="00F138C8">
        <w:rPr>
          <w:rFonts w:ascii="Book Antiqua" w:hAnsi="Book Antiqua" w:cs="Arial"/>
        </w:rPr>
        <w:t xml:space="preserve">will be a </w:t>
      </w:r>
      <w:r w:rsidR="00A17366">
        <w:rPr>
          <w:rFonts w:ascii="Book Antiqua" w:hAnsi="Book Antiqua" w:cs="Arial"/>
        </w:rPr>
        <w:t>fact sensitive assessment.</w:t>
      </w:r>
    </w:p>
    <w:p w:rsidR="008D7C2B" w:rsidRDefault="008D7C2B" w:rsidP="009D193F">
      <w:pPr>
        <w:numPr>
          <w:ilvl w:val="0"/>
          <w:numId w:val="3"/>
        </w:numPr>
        <w:jc w:val="both"/>
        <w:rPr>
          <w:rFonts w:ascii="Book Antiqua" w:hAnsi="Book Antiqua" w:cs="Arial"/>
        </w:rPr>
      </w:pPr>
      <w:r>
        <w:rPr>
          <w:rFonts w:ascii="Book Antiqua" w:hAnsi="Book Antiqua" w:cs="Arial"/>
        </w:rPr>
        <w:t>In this case</w:t>
      </w:r>
      <w:r w:rsidR="00F138C8">
        <w:rPr>
          <w:rFonts w:ascii="Book Antiqua" w:hAnsi="Book Antiqua" w:cs="Arial"/>
        </w:rPr>
        <w:t>,</w:t>
      </w:r>
      <w:r>
        <w:rPr>
          <w:rFonts w:ascii="Book Antiqua" w:hAnsi="Book Antiqua" w:cs="Arial"/>
        </w:rPr>
        <w:t xml:space="preserve"> the derived </w:t>
      </w:r>
      <w:r w:rsidR="00F138C8">
        <w:rPr>
          <w:rFonts w:ascii="Book Antiqua" w:hAnsi="Book Antiqua" w:cs="Arial"/>
        </w:rPr>
        <w:t xml:space="preserve">right </w:t>
      </w:r>
      <w:r>
        <w:rPr>
          <w:rFonts w:ascii="Book Antiqua" w:hAnsi="Book Antiqua" w:cs="Arial"/>
        </w:rPr>
        <w:t xml:space="preserve">argument </w:t>
      </w:r>
      <w:r w:rsidR="00F138C8">
        <w:rPr>
          <w:rFonts w:ascii="Book Antiqua" w:hAnsi="Book Antiqua" w:cs="Arial"/>
        </w:rPr>
        <w:t>i</w:t>
      </w:r>
      <w:r>
        <w:rPr>
          <w:rFonts w:ascii="Book Antiqua" w:hAnsi="Book Antiqua" w:cs="Arial"/>
        </w:rPr>
        <w:t xml:space="preserve">s a new matter which </w:t>
      </w:r>
      <w:r w:rsidR="00F138C8">
        <w:rPr>
          <w:rFonts w:ascii="Book Antiqua" w:hAnsi="Book Antiqua" w:cs="Arial"/>
        </w:rPr>
        <w:t>i</w:t>
      </w:r>
      <w:r>
        <w:rPr>
          <w:rFonts w:ascii="Book Antiqua" w:hAnsi="Book Antiqua" w:cs="Arial"/>
        </w:rPr>
        <w:t>s factually distinct from the basis on which Mr Ba claimed an entitlement to a Residence Card in his application. That constituted a “new matter” which</w:t>
      </w:r>
      <w:r w:rsidR="000B077F">
        <w:rPr>
          <w:rFonts w:ascii="Book Antiqua" w:hAnsi="Book Antiqua" w:cs="Arial"/>
        </w:rPr>
        <w:t xml:space="preserve"> should have</w:t>
      </w:r>
      <w:r>
        <w:rPr>
          <w:rFonts w:ascii="Book Antiqua" w:hAnsi="Book Antiqua" w:cs="Arial"/>
        </w:rPr>
        <w:t xml:space="preserve"> alerted the Judge to the requirements</w:t>
      </w:r>
      <w:r w:rsidR="00CA1C37">
        <w:rPr>
          <w:rFonts w:ascii="Book Antiqua" w:hAnsi="Book Antiqua" w:cs="Arial"/>
        </w:rPr>
        <w:t xml:space="preserve"> of section 85(5). Failure to do so is an arguable legal error.</w:t>
      </w:r>
    </w:p>
    <w:p w:rsidR="00CA1C37" w:rsidRDefault="00CA1C37" w:rsidP="009D193F">
      <w:pPr>
        <w:numPr>
          <w:ilvl w:val="0"/>
          <w:numId w:val="3"/>
        </w:numPr>
        <w:jc w:val="both"/>
        <w:rPr>
          <w:rFonts w:ascii="Book Antiqua" w:hAnsi="Book Antiqua" w:cs="Arial"/>
        </w:rPr>
      </w:pPr>
      <w:r>
        <w:rPr>
          <w:rFonts w:ascii="Book Antiqua" w:hAnsi="Book Antiqua" w:cs="Arial"/>
        </w:rPr>
        <w:t xml:space="preserve">Mr Schwenk submitted that even though the </w:t>
      </w:r>
      <w:r w:rsidR="00F138C8">
        <w:rPr>
          <w:rFonts w:ascii="Book Antiqua" w:hAnsi="Book Antiqua" w:cs="Arial"/>
        </w:rPr>
        <w:t>J</w:t>
      </w:r>
      <w:r>
        <w:rPr>
          <w:rFonts w:ascii="Book Antiqua" w:hAnsi="Book Antiqua" w:cs="Arial"/>
        </w:rPr>
        <w:t xml:space="preserve">udge erred in this respect it was not material as this issue was not raised at the hearing </w:t>
      </w:r>
      <w:r w:rsidR="00F138C8">
        <w:rPr>
          <w:rFonts w:ascii="Book Antiqua" w:hAnsi="Book Antiqua" w:cs="Arial"/>
        </w:rPr>
        <w:t xml:space="preserve">and </w:t>
      </w:r>
      <w:r>
        <w:rPr>
          <w:rFonts w:ascii="Book Antiqua" w:hAnsi="Book Antiqua" w:cs="Arial"/>
        </w:rPr>
        <w:t xml:space="preserve">the Judge went on to determine the merits of Mr Ba’s claim under this heading. Mr Schwenk submitted that it can be inferred that the Judge considered he had jurisdiction and that the </w:t>
      </w:r>
      <w:r w:rsidR="006C6133">
        <w:rPr>
          <w:rFonts w:ascii="Book Antiqua" w:hAnsi="Book Antiqua" w:cs="Arial"/>
        </w:rPr>
        <w:t>P</w:t>
      </w:r>
      <w:r>
        <w:rPr>
          <w:rFonts w:ascii="Book Antiqua" w:hAnsi="Book Antiqua" w:cs="Arial"/>
        </w:rPr>
        <w:t xml:space="preserve">resenting </w:t>
      </w:r>
      <w:r w:rsidR="006C6133">
        <w:rPr>
          <w:rFonts w:ascii="Book Antiqua" w:hAnsi="Book Antiqua" w:cs="Arial"/>
        </w:rPr>
        <w:t>O</w:t>
      </w:r>
      <w:r>
        <w:rPr>
          <w:rFonts w:ascii="Book Antiqua" w:hAnsi="Book Antiqua" w:cs="Arial"/>
        </w:rPr>
        <w:t>fficer</w:t>
      </w:r>
      <w:r w:rsidR="00FC7E99">
        <w:rPr>
          <w:rFonts w:ascii="Book Antiqua" w:hAnsi="Book Antiqua" w:cs="Arial"/>
        </w:rPr>
        <w:t xml:space="preserve"> consented to the new matter being raised. The difficulty with that argument is that there is no basis to support such a contention. The section specifically excludes the First-tier Tribunal from considering a new matter unless the Secretary of State </w:t>
      </w:r>
      <w:r w:rsidR="006C6133">
        <w:rPr>
          <w:rFonts w:ascii="Book Antiqua" w:hAnsi="Book Antiqua" w:cs="Arial"/>
        </w:rPr>
        <w:t xml:space="preserve">has </w:t>
      </w:r>
      <w:r w:rsidR="00FC7E99">
        <w:rPr>
          <w:rFonts w:ascii="Book Antiqua" w:hAnsi="Book Antiqua" w:cs="Arial"/>
        </w:rPr>
        <w:t xml:space="preserve">given the Tribunal consent to do so. This is matter </w:t>
      </w:r>
      <w:r w:rsidR="006C6133">
        <w:rPr>
          <w:rFonts w:ascii="Book Antiqua" w:hAnsi="Book Antiqua" w:cs="Arial"/>
        </w:rPr>
        <w:t>o</w:t>
      </w:r>
      <w:r w:rsidR="00FC7E99">
        <w:rPr>
          <w:rFonts w:ascii="Book Antiqua" w:hAnsi="Book Antiqua" w:cs="Arial"/>
        </w:rPr>
        <w:t xml:space="preserve">n which unless such consent </w:t>
      </w:r>
      <w:r w:rsidR="006C6133">
        <w:rPr>
          <w:rFonts w:ascii="Book Antiqua" w:hAnsi="Book Antiqua" w:cs="Arial"/>
        </w:rPr>
        <w:t xml:space="preserve">was </w:t>
      </w:r>
      <w:r w:rsidR="00FC7E99">
        <w:rPr>
          <w:rFonts w:ascii="Book Antiqua" w:hAnsi="Book Antiqua" w:cs="Arial"/>
        </w:rPr>
        <w:t xml:space="preserve">given there </w:t>
      </w:r>
      <w:r w:rsidR="006C6133">
        <w:rPr>
          <w:rFonts w:ascii="Book Antiqua" w:hAnsi="Book Antiqua" w:cs="Arial"/>
        </w:rPr>
        <w:t xml:space="preserve">was </w:t>
      </w:r>
      <w:r w:rsidR="00FC7E99">
        <w:rPr>
          <w:rFonts w:ascii="Book Antiqua" w:hAnsi="Book Antiqua" w:cs="Arial"/>
        </w:rPr>
        <w:t xml:space="preserve">no jurisdictional basis upon which the </w:t>
      </w:r>
      <w:r w:rsidR="006C6133">
        <w:rPr>
          <w:rFonts w:ascii="Book Antiqua" w:hAnsi="Book Antiqua" w:cs="Arial"/>
        </w:rPr>
        <w:t>T</w:t>
      </w:r>
      <w:r w:rsidR="00FC7E99">
        <w:rPr>
          <w:rFonts w:ascii="Book Antiqua" w:hAnsi="Book Antiqua" w:cs="Arial"/>
        </w:rPr>
        <w:t>ribunal c</w:t>
      </w:r>
      <w:r w:rsidR="006C6133">
        <w:rPr>
          <w:rFonts w:ascii="Book Antiqua" w:hAnsi="Book Antiqua" w:cs="Arial"/>
        </w:rPr>
        <w:t>ould have c</w:t>
      </w:r>
      <w:r w:rsidR="00FC7E99">
        <w:rPr>
          <w:rFonts w:ascii="Book Antiqua" w:hAnsi="Book Antiqua" w:cs="Arial"/>
        </w:rPr>
        <w:t>onsider</w:t>
      </w:r>
      <w:r w:rsidR="006C6133">
        <w:rPr>
          <w:rFonts w:ascii="Book Antiqua" w:hAnsi="Book Antiqua" w:cs="Arial"/>
        </w:rPr>
        <w:t>ed</w:t>
      </w:r>
      <w:r w:rsidR="00FC7E99">
        <w:rPr>
          <w:rFonts w:ascii="Book Antiqua" w:hAnsi="Book Antiqua" w:cs="Arial"/>
        </w:rPr>
        <w:t xml:space="preserve"> the new matter.</w:t>
      </w:r>
      <w:r w:rsidR="00E2566A">
        <w:rPr>
          <w:rFonts w:ascii="Book Antiqua" w:hAnsi="Book Antiqua" w:cs="Arial"/>
        </w:rPr>
        <w:t xml:space="preserve"> In cases where these points are raised </w:t>
      </w:r>
      <w:r w:rsidR="006C6133">
        <w:rPr>
          <w:rFonts w:ascii="Book Antiqua" w:hAnsi="Book Antiqua" w:cs="Arial"/>
        </w:rPr>
        <w:t>P</w:t>
      </w:r>
      <w:r w:rsidR="00E2566A">
        <w:rPr>
          <w:rFonts w:ascii="Book Antiqua" w:hAnsi="Book Antiqua" w:cs="Arial"/>
        </w:rPr>
        <w:t xml:space="preserve">resenting </w:t>
      </w:r>
      <w:r w:rsidR="006C6133">
        <w:rPr>
          <w:rFonts w:ascii="Book Antiqua" w:hAnsi="Book Antiqua" w:cs="Arial"/>
        </w:rPr>
        <w:t>O</w:t>
      </w:r>
      <w:r w:rsidR="00E2566A">
        <w:rPr>
          <w:rFonts w:ascii="Book Antiqua" w:hAnsi="Book Antiqua" w:cs="Arial"/>
        </w:rPr>
        <w:t xml:space="preserve">fficers ordinarily consult with </w:t>
      </w:r>
      <w:r w:rsidR="00A34174">
        <w:rPr>
          <w:rFonts w:ascii="Book Antiqua" w:hAnsi="Book Antiqua" w:cs="Arial"/>
        </w:rPr>
        <w:t>a S</w:t>
      </w:r>
      <w:r w:rsidR="00E2566A">
        <w:rPr>
          <w:rFonts w:ascii="Book Antiqua" w:hAnsi="Book Antiqua" w:cs="Arial"/>
        </w:rPr>
        <w:t xml:space="preserve">enior </w:t>
      </w:r>
      <w:r w:rsidR="00A34174">
        <w:rPr>
          <w:rFonts w:ascii="Book Antiqua" w:hAnsi="Book Antiqua" w:cs="Arial"/>
        </w:rPr>
        <w:t xml:space="preserve">Presenting Officer, </w:t>
      </w:r>
      <w:r w:rsidR="00E2566A">
        <w:rPr>
          <w:rFonts w:ascii="Book Antiqua" w:hAnsi="Book Antiqua" w:cs="Arial"/>
        </w:rPr>
        <w:t xml:space="preserve">indicating their own guidance indicates a set procedure to enable </w:t>
      </w:r>
      <w:r w:rsidR="00A34174">
        <w:rPr>
          <w:rFonts w:ascii="Book Antiqua" w:hAnsi="Book Antiqua" w:cs="Arial"/>
        </w:rPr>
        <w:t xml:space="preserve">such </w:t>
      </w:r>
      <w:r w:rsidR="00E2566A">
        <w:rPr>
          <w:rFonts w:ascii="Book Antiqua" w:hAnsi="Book Antiqua" w:cs="Arial"/>
        </w:rPr>
        <w:t xml:space="preserve">matters to be considered. Such procedure was considered by the Upper Tribunal in </w:t>
      </w:r>
      <w:r w:rsidR="00E2566A" w:rsidRPr="00A34174">
        <w:rPr>
          <w:rFonts w:ascii="Book Antiqua" w:hAnsi="Book Antiqua" w:cs="Arial"/>
          <w:i/>
        </w:rPr>
        <w:t>Qaudoo (new matter: procedure/process) [2018] UKUT 00087</w:t>
      </w:r>
      <w:r w:rsidR="00925A67">
        <w:rPr>
          <w:rFonts w:ascii="Book Antiqua" w:hAnsi="Book Antiqua" w:cs="Arial"/>
        </w:rPr>
        <w:t xml:space="preserve"> in which was found </w:t>
      </w:r>
      <w:r w:rsidR="00A34174">
        <w:rPr>
          <w:rFonts w:ascii="Book Antiqua" w:hAnsi="Book Antiqua" w:cs="Arial"/>
        </w:rPr>
        <w:t xml:space="preserve">that </w:t>
      </w:r>
      <w:r w:rsidR="00925A67">
        <w:rPr>
          <w:rFonts w:ascii="Book Antiqua" w:hAnsi="Book Antiqua" w:cs="Arial"/>
        </w:rPr>
        <w:t xml:space="preserve">if the Secretary States representative applies for an adjournment for further time to consider </w:t>
      </w:r>
      <w:r w:rsidR="008E5CA2">
        <w:rPr>
          <w:rFonts w:ascii="Book Antiqua" w:hAnsi="Book Antiqua" w:cs="Arial"/>
        </w:rPr>
        <w:t xml:space="preserve">whether </w:t>
      </w:r>
      <w:r w:rsidR="00925A67">
        <w:rPr>
          <w:rFonts w:ascii="Book Antiqua" w:hAnsi="Book Antiqua" w:cs="Arial"/>
        </w:rPr>
        <w:t>to give such consent it would generally be appropriate to grant such an adjournment rather than proceed without consideration of the new matter.</w:t>
      </w:r>
    </w:p>
    <w:p w:rsidR="00925A67" w:rsidRPr="00071CCF" w:rsidRDefault="00925A67" w:rsidP="009D193F">
      <w:pPr>
        <w:numPr>
          <w:ilvl w:val="0"/>
          <w:numId w:val="3"/>
        </w:numPr>
        <w:jc w:val="both"/>
        <w:rPr>
          <w:rFonts w:ascii="Book Antiqua" w:hAnsi="Book Antiqua" w:cs="Arial"/>
        </w:rPr>
      </w:pPr>
      <w:r>
        <w:rPr>
          <w:rFonts w:ascii="Book Antiqua" w:hAnsi="Book Antiqua" w:cs="Arial"/>
        </w:rPr>
        <w:t>Any argument it was too late at this stage to raise this matter in the grounds of appeal has no arguable merit. A failure to appreciate the law and to obtain the requisite consent of the Secretary of State does not confer jurisdiction upon the First-tier Tribunal to consider a new matter. Mistake or misunderstanding of practice and procedure cannot override the statutory</w:t>
      </w:r>
      <w:r w:rsidR="000E536B">
        <w:rPr>
          <w:rFonts w:ascii="Book Antiqua" w:hAnsi="Book Antiqua" w:cs="Arial"/>
        </w:rPr>
        <w:t xml:space="preserve"> restriction. The point of jurisdiction can be taken by the Upper Tribunal at any stage in the proceedings even if not taken by the First-tier Tribunal. See, for example, Virk v Secretary State the Home Department</w:t>
      </w:r>
      <w:r w:rsidR="00933347">
        <w:rPr>
          <w:rFonts w:ascii="Book Antiqua" w:hAnsi="Book Antiqua" w:cs="Arial"/>
        </w:rPr>
        <w:t xml:space="preserve"> [2013] EWCA Civ 652 </w:t>
      </w:r>
      <w:r w:rsidR="00071CCF">
        <w:rPr>
          <w:rFonts w:ascii="Book Antiqua" w:hAnsi="Book Antiqua" w:cs="Arial"/>
        </w:rPr>
        <w:t>i</w:t>
      </w:r>
      <w:r w:rsidR="00933347">
        <w:rPr>
          <w:rFonts w:ascii="Book Antiqua" w:hAnsi="Book Antiqua" w:cs="Arial"/>
        </w:rPr>
        <w:t xml:space="preserve">n which was found that </w:t>
      </w:r>
      <w:r w:rsidR="00933347" w:rsidRPr="00071CCF">
        <w:rPr>
          <w:rFonts w:ascii="Book Antiqua" w:hAnsi="Book Antiqua" w:cs="Arial"/>
          <w:i/>
        </w:rPr>
        <w:t>“</w:t>
      </w:r>
      <w:bookmarkStart w:id="1" w:name="para23"/>
      <w:r w:rsidR="00933347" w:rsidRPr="00071CCF">
        <w:rPr>
          <w:rFonts w:ascii="Book Antiqua" w:hAnsi="Book Antiqua"/>
          <w:i/>
        </w:rPr>
        <w:t>Statutory jurisdiction cannot be conferred by waiver or agreement; or by the failure of the parties or the tribunal to be alive to the point.</w:t>
      </w:r>
      <w:bookmarkEnd w:id="1"/>
      <w:r w:rsidR="00071CCF" w:rsidRPr="00071CCF">
        <w:rPr>
          <w:rFonts w:ascii="Book Antiqua" w:hAnsi="Book Antiqua"/>
          <w:i/>
        </w:rPr>
        <w:t>”</w:t>
      </w:r>
    </w:p>
    <w:p w:rsidR="00071CCF" w:rsidRDefault="00071CCF" w:rsidP="009D193F">
      <w:pPr>
        <w:numPr>
          <w:ilvl w:val="0"/>
          <w:numId w:val="3"/>
        </w:numPr>
        <w:jc w:val="both"/>
        <w:rPr>
          <w:rFonts w:ascii="Book Antiqua" w:hAnsi="Book Antiqua" w:cs="Arial"/>
        </w:rPr>
      </w:pPr>
      <w:r>
        <w:rPr>
          <w:rFonts w:ascii="Book Antiqua" w:hAnsi="Book Antiqua" w:cs="Arial"/>
        </w:rPr>
        <w:t xml:space="preserve">I find the Secretary State makes out the challenge on Ground </w:t>
      </w:r>
      <w:r w:rsidR="00354451">
        <w:rPr>
          <w:rFonts w:ascii="Book Antiqua" w:hAnsi="Book Antiqua" w:cs="Arial"/>
        </w:rPr>
        <w:t>3</w:t>
      </w:r>
      <w:r>
        <w:rPr>
          <w:rFonts w:ascii="Book Antiqua" w:hAnsi="Book Antiqua" w:cs="Arial"/>
        </w:rPr>
        <w:t xml:space="preserve"> and set aside the decision of the Judge</w:t>
      </w:r>
      <w:r w:rsidR="007D1323">
        <w:rPr>
          <w:rFonts w:ascii="Book Antiqua" w:hAnsi="Book Antiqua" w:cs="Arial"/>
        </w:rPr>
        <w:t xml:space="preserve"> in relation to the findings from [13 – 23] of the decision under challenge </w:t>
      </w:r>
      <w:r w:rsidR="00354451">
        <w:rPr>
          <w:rFonts w:ascii="Book Antiqua" w:hAnsi="Book Antiqua" w:cs="Arial"/>
        </w:rPr>
        <w:t xml:space="preserve">and </w:t>
      </w:r>
      <w:r w:rsidR="007D1323">
        <w:rPr>
          <w:rFonts w:ascii="Book Antiqua" w:hAnsi="Book Antiqua" w:cs="Arial"/>
        </w:rPr>
        <w:t>the conclusion Mr Ba is entitled to a derived right of residence.</w:t>
      </w:r>
    </w:p>
    <w:p w:rsidR="007D1323" w:rsidRDefault="007D1323" w:rsidP="009D193F">
      <w:pPr>
        <w:numPr>
          <w:ilvl w:val="0"/>
          <w:numId w:val="3"/>
        </w:numPr>
        <w:jc w:val="both"/>
        <w:rPr>
          <w:rFonts w:ascii="Book Antiqua" w:hAnsi="Book Antiqua" w:cs="Arial"/>
        </w:rPr>
      </w:pPr>
      <w:r>
        <w:rPr>
          <w:rFonts w:ascii="Book Antiqua" w:hAnsi="Book Antiqua" w:cs="Arial"/>
        </w:rPr>
        <w:t xml:space="preserve">I do not go on to remake the decision on this particular point as it remains a “new matter” and in light of the core finding that the Secretary of State’s </w:t>
      </w:r>
      <w:r w:rsidR="00233851">
        <w:rPr>
          <w:rFonts w:ascii="Book Antiqua" w:hAnsi="Book Antiqua" w:cs="Arial"/>
        </w:rPr>
        <w:t>appeal is dismissed on the basis that the decision to allow the appeal as a family member of an EEA national exercising treaty rights has not been shown to be affected by arguable legal error. The reference in the refusal letter to the fact Mr Ba an</w:t>
      </w:r>
      <w:r w:rsidR="00353DCE">
        <w:rPr>
          <w:rFonts w:ascii="Book Antiqua" w:hAnsi="Book Antiqua" w:cs="Arial"/>
        </w:rPr>
        <w:t xml:space="preserve">d the </w:t>
      </w:r>
      <w:r w:rsidR="00233851">
        <w:rPr>
          <w:rFonts w:ascii="Book Antiqua" w:hAnsi="Book Antiqua" w:cs="Arial"/>
        </w:rPr>
        <w:t xml:space="preserve">EEA national </w:t>
      </w:r>
      <w:r w:rsidR="00353DCE">
        <w:rPr>
          <w:rFonts w:ascii="Book Antiqua" w:hAnsi="Book Antiqua" w:cs="Arial"/>
        </w:rPr>
        <w:t xml:space="preserve">are </w:t>
      </w:r>
      <w:r w:rsidR="00233851">
        <w:rPr>
          <w:rFonts w:ascii="Book Antiqua" w:hAnsi="Book Antiqua" w:cs="Arial"/>
        </w:rPr>
        <w:t>separated does not establish arguable legal error as they remain spouses</w:t>
      </w:r>
      <w:r w:rsidR="00353DCE">
        <w:rPr>
          <w:rFonts w:ascii="Book Antiqua" w:hAnsi="Book Antiqua" w:cs="Arial"/>
        </w:rPr>
        <w:t>,</w:t>
      </w:r>
      <w:r w:rsidR="00233851">
        <w:rPr>
          <w:rFonts w:ascii="Book Antiqua" w:hAnsi="Book Antiqua" w:cs="Arial"/>
        </w:rPr>
        <w:t xml:space="preserve"> having not commenced any proceedings to dissolve the marriage at the applicable dates.</w:t>
      </w:r>
    </w:p>
    <w:p w:rsidR="00874BC6" w:rsidRDefault="00874BC6" w:rsidP="009D193F">
      <w:pPr>
        <w:pStyle w:val="BodyTextIndent"/>
        <w:ind w:left="0"/>
        <w:jc w:val="both"/>
        <w:rPr>
          <w:rFonts w:ascii="Book Antiqua" w:hAnsi="Book Antiqua" w:cs="Arial"/>
          <w:b/>
          <w:bCs/>
          <w:sz w:val="24"/>
          <w:u w:val="single"/>
        </w:rPr>
      </w:pPr>
    </w:p>
    <w:p w:rsidR="00C0548C" w:rsidRDefault="00C0548C" w:rsidP="009D193F">
      <w:pPr>
        <w:pStyle w:val="BodyTextIndent"/>
        <w:ind w:left="0"/>
        <w:jc w:val="both"/>
        <w:rPr>
          <w:rFonts w:ascii="Book Antiqua" w:hAnsi="Book Antiqua" w:cs="Arial"/>
          <w:b/>
          <w:bCs/>
          <w:sz w:val="24"/>
          <w:u w:val="single"/>
        </w:rPr>
      </w:pPr>
    </w:p>
    <w:p w:rsidR="00C0548C" w:rsidRDefault="00C0548C" w:rsidP="009D193F">
      <w:pPr>
        <w:pStyle w:val="BodyTextIndent"/>
        <w:ind w:left="0"/>
        <w:jc w:val="both"/>
        <w:rPr>
          <w:rFonts w:ascii="Book Antiqua" w:hAnsi="Book Antiqua" w:cs="Arial"/>
          <w:b/>
          <w:bCs/>
          <w:sz w:val="24"/>
          <w:u w:val="single"/>
        </w:rPr>
      </w:pPr>
    </w:p>
    <w:p w:rsidR="00D32B8A" w:rsidRPr="00D32B8A" w:rsidRDefault="00D32B8A" w:rsidP="009D193F">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lastRenderedPageBreak/>
        <w:t>Decision</w:t>
      </w:r>
    </w:p>
    <w:p w:rsidR="00D32B8A" w:rsidRPr="00D32B8A" w:rsidRDefault="00D32B8A" w:rsidP="009D193F">
      <w:pPr>
        <w:pStyle w:val="BodyTextIndent"/>
        <w:ind w:left="0"/>
        <w:jc w:val="both"/>
        <w:rPr>
          <w:rFonts w:ascii="Book Antiqua" w:hAnsi="Book Antiqua" w:cs="Arial"/>
          <w:b/>
          <w:bCs/>
          <w:sz w:val="24"/>
          <w:u w:val="single"/>
        </w:rPr>
      </w:pPr>
    </w:p>
    <w:p w:rsidR="00813355" w:rsidRDefault="00D32B8A" w:rsidP="009D193F">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9D193F">
      <w:pPr>
        <w:pStyle w:val="BodyTextIndent"/>
        <w:jc w:val="both"/>
        <w:rPr>
          <w:rFonts w:ascii="Book Antiqua" w:hAnsi="Book Antiqua" w:cs="Arial"/>
          <w:b/>
          <w:sz w:val="24"/>
        </w:rPr>
      </w:pPr>
    </w:p>
    <w:p w:rsidR="00813355" w:rsidRPr="00DB5024" w:rsidRDefault="00813355" w:rsidP="009D193F">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9D193F">
      <w:pPr>
        <w:pStyle w:val="BodyTextIndent"/>
        <w:ind w:left="360"/>
        <w:jc w:val="both"/>
        <w:rPr>
          <w:rFonts w:ascii="Book Antiqua" w:hAnsi="Book Antiqua" w:cs="Arial"/>
          <w:sz w:val="24"/>
        </w:rPr>
      </w:pPr>
    </w:p>
    <w:p w:rsidR="00813355" w:rsidRPr="00DB5024" w:rsidRDefault="00813355" w:rsidP="009D193F">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9D193F">
      <w:pPr>
        <w:pStyle w:val="BodyTextIndent"/>
        <w:ind w:left="360"/>
        <w:jc w:val="both"/>
        <w:rPr>
          <w:rFonts w:ascii="Book Antiqua" w:hAnsi="Book Antiqua" w:cs="Arial"/>
          <w:sz w:val="24"/>
        </w:rPr>
      </w:pPr>
    </w:p>
    <w:p w:rsidR="00813355" w:rsidRDefault="00813355" w:rsidP="009D193F">
      <w:pPr>
        <w:pStyle w:val="BodyTextIndent"/>
        <w:jc w:val="both"/>
        <w:rPr>
          <w:rFonts w:ascii="Book Antiqua" w:eastAsia="Book Antiqua,Arial" w:hAnsi="Book Antiqua" w:cs="Book Antiqua,Arial"/>
          <w:sz w:val="24"/>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874BC6">
        <w:rPr>
          <w:rFonts w:ascii="Book Antiqua" w:eastAsia="Book Antiqua,Arial" w:hAnsi="Book Antiqua" w:cs="Book Antiqua,Arial"/>
          <w:sz w:val="24"/>
        </w:rPr>
        <w:t>.</w:t>
      </w:r>
    </w:p>
    <w:p w:rsidR="00874BC6" w:rsidRPr="008E55FE" w:rsidRDefault="00874BC6" w:rsidP="009D193F">
      <w:pPr>
        <w:pStyle w:val="BodyTextIndent"/>
        <w:ind w:left="0"/>
        <w:rPr>
          <w:rFonts w:ascii="Book Antiqua" w:hAnsi="Book Antiqua" w:cs="Arial"/>
          <w:sz w:val="24"/>
          <w:u w:val="single"/>
        </w:rPr>
      </w:pPr>
    </w:p>
    <w:p w:rsidR="008E55FE" w:rsidRPr="00D32B8A" w:rsidRDefault="008E55FE"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874BC6">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Dated the</w:t>
      </w:r>
      <w:r w:rsidR="009D193F">
        <w:rPr>
          <w:rFonts w:ascii="Book Antiqua" w:hAnsi="Book Antiqua" w:cs="Arial"/>
          <w:sz w:val="24"/>
        </w:rPr>
        <w:t xml:space="preserve"> 15 August 2018</w:t>
      </w:r>
      <w:r w:rsidR="00874BC6">
        <w:rPr>
          <w:rFonts w:ascii="Book Antiqua" w:hAnsi="Book Antiqua" w:cs="Arial"/>
          <w:sz w:val="24"/>
        </w:rPr>
        <w:t xml:space="preserve">      </w:t>
      </w:r>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877F93">
      <w:headerReference w:type="default" r:id="rId8"/>
      <w:footerReference w:type="default" r:id="rId9"/>
      <w:footerReference w:type="first" r:id="rId10"/>
      <w:pgSz w:w="11906" w:h="16838"/>
      <w:pgMar w:top="851"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F09" w:rsidRDefault="00B87F09">
      <w:r>
        <w:separator/>
      </w:r>
    </w:p>
  </w:endnote>
  <w:endnote w:type="continuationSeparator" w:id="0">
    <w:p w:rsidR="00B87F09" w:rsidRDefault="00B87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5150D" w:rsidRDefault="00FD1BDB" w:rsidP="00593795">
    <w:pPr>
      <w:pStyle w:val="Footer"/>
      <w:jc w:val="center"/>
      <w:rPr>
        <w:rFonts w:ascii="Book Antiqua" w:hAnsi="Book Antiqua" w:cs="Arial"/>
      </w:rPr>
    </w:pPr>
    <w:r w:rsidRPr="0055150D">
      <w:rPr>
        <w:rStyle w:val="PageNumber"/>
        <w:rFonts w:ascii="Book Antiqua" w:hAnsi="Book Antiqua" w:cs="Arial"/>
      </w:rPr>
      <w:fldChar w:fldCharType="begin"/>
    </w:r>
    <w:r w:rsidRPr="0055150D">
      <w:rPr>
        <w:rStyle w:val="PageNumber"/>
        <w:rFonts w:ascii="Book Antiqua" w:hAnsi="Book Antiqua" w:cs="Arial"/>
      </w:rPr>
      <w:instrText xml:space="preserve"> PAGE </w:instrText>
    </w:r>
    <w:r w:rsidRPr="0055150D">
      <w:rPr>
        <w:rStyle w:val="PageNumber"/>
        <w:rFonts w:ascii="Book Antiqua" w:hAnsi="Book Antiqua" w:cs="Arial"/>
      </w:rPr>
      <w:fldChar w:fldCharType="separate"/>
    </w:r>
    <w:r w:rsidR="008A427F">
      <w:rPr>
        <w:rStyle w:val="PageNumber"/>
        <w:rFonts w:ascii="Book Antiqua" w:hAnsi="Book Antiqua" w:cs="Arial"/>
        <w:noProof/>
      </w:rPr>
      <w:t>5</w:t>
    </w:r>
    <w:r w:rsidRPr="0055150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5150D" w:rsidRDefault="00FD1BDB" w:rsidP="00090CF9">
    <w:pPr>
      <w:jc w:val="center"/>
      <w:rPr>
        <w:rFonts w:ascii="Book Antiqua" w:hAnsi="Book Antiqua" w:cs="Arial"/>
        <w:b/>
      </w:rPr>
    </w:pPr>
    <w:r w:rsidRPr="0055150D">
      <w:rPr>
        <w:rFonts w:ascii="Book Antiqua" w:hAnsi="Book Antiqua" w:cs="Arial"/>
        <w:b/>
        <w:spacing w:val="-6"/>
      </w:rPr>
      <w:t>©</w:t>
    </w:r>
    <w:r w:rsidR="00FB3BB0" w:rsidRPr="0055150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F09" w:rsidRDefault="00B87F09">
      <w:r>
        <w:separator/>
      </w:r>
    </w:p>
  </w:footnote>
  <w:footnote w:type="continuationSeparator" w:id="0">
    <w:p w:rsidR="00B87F09" w:rsidRDefault="00B87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Default="00FD1BDB" w:rsidP="00593795">
    <w:pPr>
      <w:pStyle w:val="Header"/>
      <w:jc w:val="right"/>
      <w:rPr>
        <w:rFonts w:ascii="Book Antiqua" w:hAnsi="Book Antiqua" w:cs="Arial"/>
        <w:sz w:val="16"/>
        <w:szCs w:val="16"/>
      </w:rPr>
    </w:pPr>
    <w:r w:rsidRPr="0055150D">
      <w:rPr>
        <w:rFonts w:ascii="Book Antiqua" w:hAnsi="Book Antiqua" w:cs="Arial"/>
        <w:sz w:val="16"/>
        <w:szCs w:val="16"/>
      </w:rPr>
      <w:t xml:space="preserve">Appeal Number: </w:t>
    </w:r>
    <w:r w:rsidR="00C53560" w:rsidRPr="0055150D">
      <w:rPr>
        <w:rFonts w:ascii="Book Antiqua" w:hAnsi="Book Antiqua" w:cs="Arial"/>
        <w:sz w:val="16"/>
        <w:szCs w:val="16"/>
      </w:rPr>
      <w:t>EA/08983/2016</w:t>
    </w:r>
  </w:p>
  <w:p w:rsidR="0055150D" w:rsidRPr="0055150D" w:rsidRDefault="0055150D"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8BA369D-B4AB-48B2-A577-9944FCF8A1DB}"/>
    <w:docVar w:name="dgnword-eventsink" w:val="411062592"/>
  </w:docVars>
  <w:rsids>
    <w:rsidRoot w:val="00C26032"/>
    <w:rsid w:val="00000621"/>
    <w:rsid w:val="0000285C"/>
    <w:rsid w:val="000036C2"/>
    <w:rsid w:val="0001239E"/>
    <w:rsid w:val="00033D3D"/>
    <w:rsid w:val="00057601"/>
    <w:rsid w:val="00062F02"/>
    <w:rsid w:val="00071A7E"/>
    <w:rsid w:val="00071CCF"/>
    <w:rsid w:val="000746C0"/>
    <w:rsid w:val="00074D1D"/>
    <w:rsid w:val="000774E5"/>
    <w:rsid w:val="00090CF9"/>
    <w:rsid w:val="00092580"/>
    <w:rsid w:val="00093D4D"/>
    <w:rsid w:val="000B077F"/>
    <w:rsid w:val="000D5D94"/>
    <w:rsid w:val="000E536B"/>
    <w:rsid w:val="000F1A0E"/>
    <w:rsid w:val="001165A7"/>
    <w:rsid w:val="00167D3A"/>
    <w:rsid w:val="001A3082"/>
    <w:rsid w:val="001B186A"/>
    <w:rsid w:val="001B2F75"/>
    <w:rsid w:val="001F2716"/>
    <w:rsid w:val="001F6548"/>
    <w:rsid w:val="002051D7"/>
    <w:rsid w:val="00207617"/>
    <w:rsid w:val="0023134B"/>
    <w:rsid w:val="00233851"/>
    <w:rsid w:val="00236541"/>
    <w:rsid w:val="00237CDE"/>
    <w:rsid w:val="00243EB4"/>
    <w:rsid w:val="0024770C"/>
    <w:rsid w:val="0026015E"/>
    <w:rsid w:val="002667BE"/>
    <w:rsid w:val="00270E13"/>
    <w:rsid w:val="00283659"/>
    <w:rsid w:val="002B5149"/>
    <w:rsid w:val="002C6BD4"/>
    <w:rsid w:val="002D68BF"/>
    <w:rsid w:val="002F0434"/>
    <w:rsid w:val="002F6B98"/>
    <w:rsid w:val="00320CA7"/>
    <w:rsid w:val="00324B30"/>
    <w:rsid w:val="00336CBF"/>
    <w:rsid w:val="00343FE3"/>
    <w:rsid w:val="003446EF"/>
    <w:rsid w:val="00353DCE"/>
    <w:rsid w:val="00354451"/>
    <w:rsid w:val="003546C8"/>
    <w:rsid w:val="0037753D"/>
    <w:rsid w:val="003A7CF2"/>
    <w:rsid w:val="003C5399"/>
    <w:rsid w:val="003C5723"/>
    <w:rsid w:val="003C5CE5"/>
    <w:rsid w:val="003E267B"/>
    <w:rsid w:val="003E5773"/>
    <w:rsid w:val="003E7CD1"/>
    <w:rsid w:val="00402B9E"/>
    <w:rsid w:val="00412714"/>
    <w:rsid w:val="00420643"/>
    <w:rsid w:val="00422BF2"/>
    <w:rsid w:val="00423295"/>
    <w:rsid w:val="004249CB"/>
    <w:rsid w:val="0044127D"/>
    <w:rsid w:val="004448DB"/>
    <w:rsid w:val="00446C9A"/>
    <w:rsid w:val="00452F2B"/>
    <w:rsid w:val="0046319C"/>
    <w:rsid w:val="00474DE1"/>
    <w:rsid w:val="00477193"/>
    <w:rsid w:val="00482668"/>
    <w:rsid w:val="004A1848"/>
    <w:rsid w:val="004A6F4A"/>
    <w:rsid w:val="004C4A0B"/>
    <w:rsid w:val="004C73C5"/>
    <w:rsid w:val="004D7214"/>
    <w:rsid w:val="004E4717"/>
    <w:rsid w:val="004F2F89"/>
    <w:rsid w:val="005035E7"/>
    <w:rsid w:val="0050417C"/>
    <w:rsid w:val="00507FEC"/>
    <w:rsid w:val="00510F0E"/>
    <w:rsid w:val="0051264F"/>
    <w:rsid w:val="00520CF2"/>
    <w:rsid w:val="00542C29"/>
    <w:rsid w:val="005479E1"/>
    <w:rsid w:val="0055150D"/>
    <w:rsid w:val="00553E0A"/>
    <w:rsid w:val="005570FD"/>
    <w:rsid w:val="005575EA"/>
    <w:rsid w:val="0057790C"/>
    <w:rsid w:val="00593795"/>
    <w:rsid w:val="00593821"/>
    <w:rsid w:val="005A549B"/>
    <w:rsid w:val="005A75FF"/>
    <w:rsid w:val="005D10AB"/>
    <w:rsid w:val="005F1F19"/>
    <w:rsid w:val="005F4BA9"/>
    <w:rsid w:val="00601D8F"/>
    <w:rsid w:val="00611011"/>
    <w:rsid w:val="00611B31"/>
    <w:rsid w:val="00612FAD"/>
    <w:rsid w:val="00653E97"/>
    <w:rsid w:val="00676204"/>
    <w:rsid w:val="00676CF5"/>
    <w:rsid w:val="00684A74"/>
    <w:rsid w:val="006873D3"/>
    <w:rsid w:val="00690B8A"/>
    <w:rsid w:val="006921CD"/>
    <w:rsid w:val="006C4C2E"/>
    <w:rsid w:val="006C6133"/>
    <w:rsid w:val="006F2CF1"/>
    <w:rsid w:val="007038ED"/>
    <w:rsid w:val="00703BC3"/>
    <w:rsid w:val="00704B61"/>
    <w:rsid w:val="007334B3"/>
    <w:rsid w:val="007552A9"/>
    <w:rsid w:val="00761858"/>
    <w:rsid w:val="00764F2A"/>
    <w:rsid w:val="00767D59"/>
    <w:rsid w:val="00776E97"/>
    <w:rsid w:val="00780F86"/>
    <w:rsid w:val="007912AD"/>
    <w:rsid w:val="007A282A"/>
    <w:rsid w:val="007A37E8"/>
    <w:rsid w:val="007B0824"/>
    <w:rsid w:val="007B5D3C"/>
    <w:rsid w:val="007D1323"/>
    <w:rsid w:val="007F09D8"/>
    <w:rsid w:val="0080410F"/>
    <w:rsid w:val="00813355"/>
    <w:rsid w:val="00821B72"/>
    <w:rsid w:val="00823EF2"/>
    <w:rsid w:val="00825708"/>
    <w:rsid w:val="00827E1E"/>
    <w:rsid w:val="008303B8"/>
    <w:rsid w:val="00833DCE"/>
    <w:rsid w:val="00866ABD"/>
    <w:rsid w:val="00870C49"/>
    <w:rsid w:val="00871D34"/>
    <w:rsid w:val="00874BC6"/>
    <w:rsid w:val="00877F93"/>
    <w:rsid w:val="008A427F"/>
    <w:rsid w:val="008A6BD6"/>
    <w:rsid w:val="008B270C"/>
    <w:rsid w:val="008B382D"/>
    <w:rsid w:val="008B5078"/>
    <w:rsid w:val="008C3D3D"/>
    <w:rsid w:val="008D4131"/>
    <w:rsid w:val="008D7C2B"/>
    <w:rsid w:val="008E55FE"/>
    <w:rsid w:val="008E5CA2"/>
    <w:rsid w:val="008F1932"/>
    <w:rsid w:val="008F2F5B"/>
    <w:rsid w:val="00907F6B"/>
    <w:rsid w:val="00921062"/>
    <w:rsid w:val="0092142E"/>
    <w:rsid w:val="00925A67"/>
    <w:rsid w:val="00925AB2"/>
    <w:rsid w:val="00932ED7"/>
    <w:rsid w:val="00933347"/>
    <w:rsid w:val="009722BC"/>
    <w:rsid w:val="009727A3"/>
    <w:rsid w:val="00984F35"/>
    <w:rsid w:val="00987774"/>
    <w:rsid w:val="009A11E8"/>
    <w:rsid w:val="009D193F"/>
    <w:rsid w:val="009D595D"/>
    <w:rsid w:val="009F5220"/>
    <w:rsid w:val="00A15234"/>
    <w:rsid w:val="00A17366"/>
    <w:rsid w:val="00A201AB"/>
    <w:rsid w:val="00A240AA"/>
    <w:rsid w:val="00A253BF"/>
    <w:rsid w:val="00A31C8B"/>
    <w:rsid w:val="00A34174"/>
    <w:rsid w:val="00A509FA"/>
    <w:rsid w:val="00A555AA"/>
    <w:rsid w:val="00A845DC"/>
    <w:rsid w:val="00AE582E"/>
    <w:rsid w:val="00B26AA2"/>
    <w:rsid w:val="00B3524D"/>
    <w:rsid w:val="00B37D72"/>
    <w:rsid w:val="00B40F69"/>
    <w:rsid w:val="00B414F3"/>
    <w:rsid w:val="00B46616"/>
    <w:rsid w:val="00B467EA"/>
    <w:rsid w:val="00B7040A"/>
    <w:rsid w:val="00B83391"/>
    <w:rsid w:val="00B87F09"/>
    <w:rsid w:val="00B95326"/>
    <w:rsid w:val="00BC3879"/>
    <w:rsid w:val="00BD4196"/>
    <w:rsid w:val="00BE0BD4"/>
    <w:rsid w:val="00BE485D"/>
    <w:rsid w:val="00BF22CA"/>
    <w:rsid w:val="00BF23BB"/>
    <w:rsid w:val="00C0548C"/>
    <w:rsid w:val="00C12F97"/>
    <w:rsid w:val="00C26032"/>
    <w:rsid w:val="00C345E1"/>
    <w:rsid w:val="00C420F2"/>
    <w:rsid w:val="00C43BFD"/>
    <w:rsid w:val="00C51218"/>
    <w:rsid w:val="00C53560"/>
    <w:rsid w:val="00C66B5B"/>
    <w:rsid w:val="00CA1C37"/>
    <w:rsid w:val="00CB6E35"/>
    <w:rsid w:val="00CE1A46"/>
    <w:rsid w:val="00D16E80"/>
    <w:rsid w:val="00D20757"/>
    <w:rsid w:val="00D22636"/>
    <w:rsid w:val="00D25E86"/>
    <w:rsid w:val="00D32B8A"/>
    <w:rsid w:val="00D36561"/>
    <w:rsid w:val="00D40FD9"/>
    <w:rsid w:val="00D53769"/>
    <w:rsid w:val="00D63887"/>
    <w:rsid w:val="00D85C13"/>
    <w:rsid w:val="00D9111A"/>
    <w:rsid w:val="00D91BE3"/>
    <w:rsid w:val="00D94527"/>
    <w:rsid w:val="00D94AFC"/>
    <w:rsid w:val="00DB70AE"/>
    <w:rsid w:val="00DD1EC9"/>
    <w:rsid w:val="00DD5071"/>
    <w:rsid w:val="00DD5C39"/>
    <w:rsid w:val="00DE7DB7"/>
    <w:rsid w:val="00E00A0A"/>
    <w:rsid w:val="00E066DE"/>
    <w:rsid w:val="00E07F57"/>
    <w:rsid w:val="00E20E43"/>
    <w:rsid w:val="00E2566A"/>
    <w:rsid w:val="00E303E0"/>
    <w:rsid w:val="00E30683"/>
    <w:rsid w:val="00E453D8"/>
    <w:rsid w:val="00E50BCE"/>
    <w:rsid w:val="00E533BA"/>
    <w:rsid w:val="00E54934"/>
    <w:rsid w:val="00E574BF"/>
    <w:rsid w:val="00E61292"/>
    <w:rsid w:val="00E777D3"/>
    <w:rsid w:val="00E77C4D"/>
    <w:rsid w:val="00E80AD9"/>
    <w:rsid w:val="00E81D01"/>
    <w:rsid w:val="00EB632D"/>
    <w:rsid w:val="00EE43F3"/>
    <w:rsid w:val="00EE45D8"/>
    <w:rsid w:val="00F138C8"/>
    <w:rsid w:val="00F22EDA"/>
    <w:rsid w:val="00F65E87"/>
    <w:rsid w:val="00F97703"/>
    <w:rsid w:val="00FB3BB0"/>
    <w:rsid w:val="00FC7E99"/>
    <w:rsid w:val="00FD1BDB"/>
    <w:rsid w:val="00FD5FBD"/>
    <w:rsid w:val="00FF0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C9B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2012</Words>
  <Characters>9984</Characters>
  <Application>Microsoft Office Word</Application>
  <DocSecurity>0</DocSecurity>
  <Lines>83</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2018-09-07T12:51:00Z</dcterms:created>
  <dcterms:modified xsi:type="dcterms:W3CDTF">2018-09-07T12:51:00Z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