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226CB2" w:rsidP="00C321B5">
      <w:pPr>
        <w:jc w:val="center"/>
        <w:rPr>
          <w:rFonts w:ascii="Book Antiqua" w:hAnsi="Book Antiqua" w:cs="Arial"/>
          <w:sz w:val="16"/>
          <w:szCs w:val="16"/>
        </w:rPr>
      </w:pPr>
      <w:r>
        <w:rPr>
          <w:noProof/>
        </w:rPr>
        <w:drawing>
          <wp:inline distT="0" distB="0" distL="0" distR="0" wp14:anchorId="2F081C52" wp14:editId="653347C2">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31B01"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31B01">
        <w:rPr>
          <w:rFonts w:ascii="Book Antiqua" w:hAnsi="Book Antiqua" w:cs="Arial"/>
          <w:b/>
        </w:rPr>
        <w:t xml:space="preserve">   </w:t>
      </w:r>
      <w:proofErr w:type="gramEnd"/>
      <w:r w:rsidR="00531B01">
        <w:rPr>
          <w:rFonts w:ascii="Book Antiqua" w:hAnsi="Book Antiqua" w:cs="Arial"/>
          <w:b/>
        </w:rPr>
        <w:t xml:space="preserve">                     </w:t>
      </w:r>
      <w:r w:rsidR="00B3524D" w:rsidRPr="00531B01">
        <w:rPr>
          <w:rFonts w:ascii="Book Antiqua" w:hAnsi="Book Antiqua" w:cs="Arial"/>
          <w:b/>
        </w:rPr>
        <w:t>Appeal Number</w:t>
      </w:r>
      <w:r w:rsidR="00D53769" w:rsidRPr="00531B01">
        <w:rPr>
          <w:rFonts w:ascii="Book Antiqua" w:hAnsi="Book Antiqua" w:cs="Arial"/>
          <w:b/>
        </w:rPr>
        <w:t>:</w:t>
      </w:r>
      <w:r w:rsidR="00B3524D" w:rsidRPr="00531B01">
        <w:rPr>
          <w:rFonts w:ascii="Book Antiqua" w:hAnsi="Book Antiqua" w:cs="Arial"/>
          <w:b/>
        </w:rPr>
        <w:t xml:space="preserve"> </w:t>
      </w:r>
      <w:r w:rsidR="00A80E1F" w:rsidRPr="00531B01">
        <w:rPr>
          <w:rFonts w:ascii="Book Antiqua" w:hAnsi="Book Antiqua" w:cs="Arial"/>
          <w:b/>
          <w:caps/>
        </w:rPr>
        <w:t>EA/09073/2017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F5664C" w:rsidTr="00531B01">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A80E1F">
              <w:rPr>
                <w:rFonts w:ascii="Book Antiqua" w:hAnsi="Book Antiqua" w:cs="Arial"/>
                <w:b/>
              </w:rPr>
              <w:t>Field House</w:t>
            </w:r>
          </w:p>
        </w:tc>
        <w:tc>
          <w:tcPr>
            <w:tcW w:w="4621"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31B01">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015AB">
              <w:rPr>
                <w:rFonts w:ascii="Book Antiqua" w:hAnsi="Book Antiqua" w:cs="Arial"/>
                <w:b/>
              </w:rPr>
              <w:t>20</w:t>
            </w:r>
            <w:r w:rsidR="004015AB" w:rsidRPr="004015AB">
              <w:rPr>
                <w:rFonts w:ascii="Book Antiqua" w:hAnsi="Book Antiqua" w:cs="Arial"/>
                <w:b/>
                <w:vertAlign w:val="superscript"/>
              </w:rPr>
              <w:t>th</w:t>
            </w:r>
            <w:r w:rsidR="004015AB">
              <w:rPr>
                <w:rFonts w:ascii="Book Antiqua" w:hAnsi="Book Antiqua" w:cs="Arial"/>
                <w:b/>
              </w:rPr>
              <w:t xml:space="preserve"> </w:t>
            </w:r>
            <w:r w:rsidR="00A80E1F">
              <w:rPr>
                <w:rFonts w:ascii="Book Antiqua" w:hAnsi="Book Antiqua" w:cs="Arial"/>
                <w:b/>
              </w:rPr>
              <w:t>September 201</w:t>
            </w:r>
            <w:r w:rsidR="004015AB">
              <w:rPr>
                <w:rFonts w:ascii="Book Antiqua" w:hAnsi="Book Antiqua" w:cs="Arial"/>
                <w:b/>
              </w:rPr>
              <w:t>8</w:t>
            </w:r>
          </w:p>
        </w:tc>
        <w:tc>
          <w:tcPr>
            <w:tcW w:w="4621" w:type="dxa"/>
          </w:tcPr>
          <w:p w:rsidR="00D22636" w:rsidRPr="00F5664C" w:rsidRDefault="004015AB" w:rsidP="004A1848">
            <w:pPr>
              <w:jc w:val="both"/>
              <w:rPr>
                <w:rFonts w:ascii="Book Antiqua" w:hAnsi="Book Antiqua" w:cs="Arial"/>
                <w:b/>
              </w:rPr>
            </w:pPr>
            <w:r>
              <w:rPr>
                <w:rFonts w:ascii="Book Antiqua" w:hAnsi="Book Antiqua" w:cs="Arial"/>
                <w:b/>
              </w:rPr>
              <w:t>On 21</w:t>
            </w:r>
            <w:r w:rsidRPr="004015AB">
              <w:rPr>
                <w:rFonts w:ascii="Book Antiqua" w:hAnsi="Book Antiqua" w:cs="Arial"/>
                <w:b/>
                <w:vertAlign w:val="superscript"/>
              </w:rPr>
              <w:t>st</w:t>
            </w:r>
            <w:r>
              <w:rPr>
                <w:rFonts w:ascii="Book Antiqua" w:hAnsi="Book Antiqua" w:cs="Arial"/>
                <w:b/>
              </w:rPr>
              <w:t xml:space="preserve"> September 2018</w:t>
            </w:r>
          </w:p>
        </w:tc>
      </w:tr>
      <w:tr w:rsidR="00D22636" w:rsidRPr="00F5664C" w:rsidTr="00531B01">
        <w:tc>
          <w:tcPr>
            <w:tcW w:w="5387" w:type="dxa"/>
          </w:tcPr>
          <w:p w:rsidR="00D22636" w:rsidRPr="00F5664C" w:rsidRDefault="00D22636" w:rsidP="004A1848">
            <w:pPr>
              <w:jc w:val="both"/>
              <w:rPr>
                <w:rFonts w:ascii="Book Antiqua" w:hAnsi="Book Antiqua" w:cs="Arial"/>
                <w:b/>
              </w:rPr>
            </w:pPr>
          </w:p>
        </w:tc>
        <w:tc>
          <w:tcPr>
            <w:tcW w:w="4621"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A80E1F">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083969">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80E1F" w:rsidP="00742A8D">
      <w:pPr>
        <w:jc w:val="center"/>
        <w:rPr>
          <w:rFonts w:ascii="Book Antiqua" w:hAnsi="Book Antiqua" w:cs="Arial"/>
          <w:b/>
          <w:caps/>
        </w:rPr>
      </w:pPr>
      <w:r>
        <w:rPr>
          <w:rFonts w:ascii="Book Antiqua" w:hAnsi="Book Antiqua" w:cs="Arial"/>
          <w:b/>
          <w:caps/>
        </w:rPr>
        <w:t>mr mumtaz saqib</w:t>
      </w:r>
    </w:p>
    <w:p w:rsidR="00F13D39" w:rsidRPr="00531B01" w:rsidRDefault="00F13D39" w:rsidP="00F13D39">
      <w:pPr>
        <w:jc w:val="center"/>
        <w:rPr>
          <w:rFonts w:ascii="Book Antiqua" w:hAnsi="Book Antiqua" w:cs="Arial"/>
          <w:caps/>
        </w:rPr>
      </w:pPr>
      <w:r w:rsidRPr="00531B01">
        <w:rPr>
          <w:rFonts w:ascii="Book Antiqua" w:hAnsi="Book Antiqua" w:cs="Arial"/>
          <w:caps/>
        </w:rPr>
        <w:t xml:space="preserve">(ANONYMITY DIRECTION </w:t>
      </w:r>
      <w:r w:rsidR="00352944" w:rsidRPr="00531B01">
        <w:rPr>
          <w:rFonts w:ascii="Book Antiqua" w:hAnsi="Book Antiqua" w:cs="Arial"/>
          <w:caps/>
        </w:rPr>
        <w:t>NOT MADE</w:t>
      </w:r>
      <w:r w:rsidRPr="00531B01">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31B01" w:rsidRPr="00F5664C" w:rsidRDefault="00531B01"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80E1F">
        <w:rPr>
          <w:rFonts w:ascii="Book Antiqua" w:hAnsi="Book Antiqua" w:cs="Arial"/>
        </w:rPr>
        <w:t>Mr C Mannan (</w:t>
      </w:r>
      <w:r w:rsidR="00352944">
        <w:rPr>
          <w:rFonts w:ascii="Book Antiqua" w:hAnsi="Book Antiqua" w:cs="Arial"/>
        </w:rPr>
        <w:t>instructed by Archbold,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80E1F">
        <w:rPr>
          <w:rFonts w:ascii="Book Antiqua" w:hAnsi="Book Antiqua" w:cs="Arial"/>
        </w:rPr>
        <w:t>Mr T Wilding</w:t>
      </w:r>
      <w:r w:rsidR="00352944">
        <w:rPr>
          <w:rFonts w:ascii="Book Antiqua" w:hAnsi="Book Antiqua" w:cs="Arial"/>
        </w:rPr>
        <w:t xml:space="preserve"> (Senior</w:t>
      </w:r>
      <w:r w:rsidR="00A80E1F">
        <w:rPr>
          <w:rFonts w:ascii="Book Antiqua" w:hAnsi="Book Antiqua" w:cs="Arial"/>
        </w:rPr>
        <w:t xml:space="preserve"> Home Office Presenting Officer</w:t>
      </w:r>
      <w:r w:rsidR="00352944">
        <w:rPr>
          <w:rFonts w:ascii="Book Antiqua" w:hAnsi="Book Antiqua" w:cs="Arial"/>
        </w:rPr>
        <w:t>)</w:t>
      </w:r>
      <w:r w:rsidR="00A80E1F">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9A1ED5" w:rsidRDefault="00A80E1F" w:rsidP="009A1ED5">
      <w:pPr>
        <w:numPr>
          <w:ilvl w:val="0"/>
          <w:numId w:val="3"/>
        </w:numPr>
        <w:spacing w:before="240"/>
        <w:jc w:val="both"/>
        <w:rPr>
          <w:rFonts w:ascii="Book Antiqua" w:hAnsi="Book Antiqua" w:cs="Arial"/>
        </w:rPr>
      </w:pPr>
      <w:r>
        <w:rPr>
          <w:rFonts w:ascii="Book Antiqua" w:hAnsi="Book Antiqua" w:cs="Arial"/>
        </w:rPr>
        <w:t xml:space="preserve">This is an appeal to the Upper Tribunal with permission by the Appellant.  The Appellant is a national of Pakistan and he had made an application to the Secretary of State for a residence card as the spouse which means </w:t>
      </w:r>
      <w:r w:rsidR="00352944">
        <w:rPr>
          <w:rFonts w:ascii="Book Antiqua" w:hAnsi="Book Antiqua" w:cs="Arial"/>
        </w:rPr>
        <w:t>as a</w:t>
      </w:r>
      <w:r>
        <w:rPr>
          <w:rFonts w:ascii="Book Antiqua" w:hAnsi="Book Antiqua" w:cs="Arial"/>
        </w:rPr>
        <w:t xml:space="preserve"> family member of an EEA national exercising </w:t>
      </w:r>
      <w:r w:rsidR="00352944">
        <w:rPr>
          <w:rFonts w:ascii="Book Antiqua" w:hAnsi="Book Antiqua" w:cs="Arial"/>
        </w:rPr>
        <w:t>Treaty</w:t>
      </w:r>
      <w:r>
        <w:rPr>
          <w:rFonts w:ascii="Book Antiqua" w:hAnsi="Book Antiqua" w:cs="Arial"/>
        </w:rPr>
        <w:t xml:space="preserve"> rights.</w:t>
      </w:r>
    </w:p>
    <w:p w:rsidR="00A80E1F" w:rsidRDefault="00A80E1F" w:rsidP="009A1ED5">
      <w:pPr>
        <w:numPr>
          <w:ilvl w:val="0"/>
          <w:numId w:val="3"/>
        </w:numPr>
        <w:spacing w:before="240"/>
        <w:jc w:val="both"/>
        <w:rPr>
          <w:rFonts w:ascii="Book Antiqua" w:hAnsi="Book Antiqua" w:cs="Arial"/>
        </w:rPr>
      </w:pPr>
      <w:r>
        <w:rPr>
          <w:rFonts w:ascii="Book Antiqua" w:hAnsi="Book Antiqua" w:cs="Arial"/>
        </w:rPr>
        <w:t>The sole reason that the Secretary of State refused the application</w:t>
      </w:r>
      <w:r w:rsidR="00352944">
        <w:rPr>
          <w:rFonts w:ascii="Book Antiqua" w:hAnsi="Book Antiqua" w:cs="Arial"/>
        </w:rPr>
        <w:t>,</w:t>
      </w:r>
      <w:r>
        <w:rPr>
          <w:rFonts w:ascii="Book Antiqua" w:hAnsi="Book Antiqua" w:cs="Arial"/>
        </w:rPr>
        <w:t xml:space="preserve"> according to a fairly brief </w:t>
      </w:r>
      <w:r w:rsidR="00352944">
        <w:rPr>
          <w:rFonts w:ascii="Book Antiqua" w:hAnsi="Book Antiqua" w:cs="Arial"/>
        </w:rPr>
        <w:t>R</w:t>
      </w:r>
      <w:r>
        <w:rPr>
          <w:rFonts w:ascii="Book Antiqua" w:hAnsi="Book Antiqua" w:cs="Arial"/>
        </w:rPr>
        <w:t>efusal</w:t>
      </w:r>
      <w:r w:rsidR="00352944">
        <w:rPr>
          <w:rFonts w:ascii="Book Antiqua" w:hAnsi="Book Antiqua" w:cs="Arial"/>
        </w:rPr>
        <w:t>,</w:t>
      </w:r>
      <w:r>
        <w:rPr>
          <w:rFonts w:ascii="Book Antiqua" w:hAnsi="Book Antiqua" w:cs="Arial"/>
        </w:rPr>
        <w:t xml:space="preserve"> is that it is said that the Secretary of State’s official interviewed the EEA national’</w:t>
      </w:r>
      <w:r w:rsidR="006F29AA">
        <w:rPr>
          <w:rFonts w:ascii="Book Antiqua" w:hAnsi="Book Antiqua" w:cs="Arial"/>
        </w:rPr>
        <w:t xml:space="preserve">s brother who </w:t>
      </w:r>
      <w:r>
        <w:rPr>
          <w:rFonts w:ascii="Book Antiqua" w:hAnsi="Book Antiqua" w:cs="Arial"/>
        </w:rPr>
        <w:t xml:space="preserve">supposedly told the interviewing officer that the </w:t>
      </w:r>
      <w:r w:rsidR="00E33819">
        <w:rPr>
          <w:rFonts w:ascii="Book Antiqua" w:hAnsi="Book Antiqua" w:cs="Arial"/>
        </w:rPr>
        <w:t xml:space="preserve">Sponsor </w:t>
      </w:r>
      <w:r>
        <w:rPr>
          <w:rFonts w:ascii="Book Antiqua" w:hAnsi="Book Antiqua" w:cs="Arial"/>
        </w:rPr>
        <w:t xml:space="preserve">had left the country with no intention of returning.  On that basis </w:t>
      </w:r>
      <w:r w:rsidR="00352944">
        <w:rPr>
          <w:rFonts w:ascii="Book Antiqua" w:hAnsi="Book Antiqua" w:cs="Arial"/>
        </w:rPr>
        <w:t xml:space="preserve">the Appellant </w:t>
      </w:r>
      <w:r>
        <w:rPr>
          <w:rFonts w:ascii="Book Antiqua" w:hAnsi="Book Antiqua" w:cs="Arial"/>
        </w:rPr>
        <w:t xml:space="preserve">was not exercising </w:t>
      </w:r>
      <w:r w:rsidR="00352944">
        <w:rPr>
          <w:rFonts w:ascii="Book Antiqua" w:hAnsi="Book Antiqua" w:cs="Arial"/>
        </w:rPr>
        <w:t>Treaty</w:t>
      </w:r>
      <w:r>
        <w:rPr>
          <w:rFonts w:ascii="Book Antiqua" w:hAnsi="Book Antiqua" w:cs="Arial"/>
        </w:rPr>
        <w:t xml:space="preserve"> rights and therefore was not entitled to a residence card.</w:t>
      </w:r>
    </w:p>
    <w:p w:rsidR="0011025C" w:rsidRDefault="0011025C" w:rsidP="009A1ED5">
      <w:pPr>
        <w:numPr>
          <w:ilvl w:val="0"/>
          <w:numId w:val="3"/>
        </w:numPr>
        <w:spacing w:before="240"/>
        <w:jc w:val="both"/>
        <w:rPr>
          <w:rFonts w:ascii="Book Antiqua" w:hAnsi="Book Antiqua" w:cs="Arial"/>
        </w:rPr>
      </w:pPr>
      <w:r>
        <w:rPr>
          <w:rFonts w:ascii="Book Antiqua" w:hAnsi="Book Antiqua" w:cs="Arial"/>
        </w:rPr>
        <w:lastRenderedPageBreak/>
        <w:t>It is quite clear from th</w:t>
      </w:r>
      <w:r w:rsidR="00352944">
        <w:rPr>
          <w:rFonts w:ascii="Book Antiqua" w:hAnsi="Book Antiqua" w:cs="Arial"/>
        </w:rPr>
        <w:t>e R</w:t>
      </w:r>
      <w:r>
        <w:rPr>
          <w:rFonts w:ascii="Book Antiqua" w:hAnsi="Book Antiqua" w:cs="Arial"/>
        </w:rPr>
        <w:t>efusal what the issue was</w:t>
      </w:r>
      <w:r w:rsidR="00352944">
        <w:rPr>
          <w:rFonts w:ascii="Book Antiqua" w:hAnsi="Book Antiqua" w:cs="Arial"/>
        </w:rPr>
        <w:t>,</w:t>
      </w:r>
      <w:r>
        <w:rPr>
          <w:rFonts w:ascii="Book Antiqua" w:hAnsi="Book Antiqua" w:cs="Arial"/>
        </w:rPr>
        <w:t xml:space="preserve"> namely whether the</w:t>
      </w:r>
      <w:bookmarkStart w:id="0" w:name="_GoBack"/>
      <w:bookmarkEnd w:id="0"/>
      <w:r>
        <w:rPr>
          <w:rFonts w:ascii="Book Antiqua" w:hAnsi="Book Antiqua" w:cs="Arial"/>
        </w:rPr>
        <w:t xml:space="preserve"> spouse was exercising </w:t>
      </w:r>
      <w:r w:rsidR="00352944">
        <w:rPr>
          <w:rFonts w:ascii="Book Antiqua" w:hAnsi="Book Antiqua" w:cs="Arial"/>
        </w:rPr>
        <w:t>Treaty</w:t>
      </w:r>
      <w:r>
        <w:rPr>
          <w:rFonts w:ascii="Book Antiqua" w:hAnsi="Book Antiqua" w:cs="Arial"/>
        </w:rPr>
        <w:t xml:space="preserve"> </w:t>
      </w:r>
      <w:r w:rsidR="00083969">
        <w:rPr>
          <w:rFonts w:ascii="Book Antiqua" w:hAnsi="Book Antiqua" w:cs="Arial"/>
        </w:rPr>
        <w:t>rights.</w:t>
      </w:r>
      <w:r>
        <w:rPr>
          <w:rFonts w:ascii="Book Antiqua" w:hAnsi="Book Antiqua" w:cs="Arial"/>
        </w:rPr>
        <w:t xml:space="preserve"> </w:t>
      </w:r>
      <w:r w:rsidR="00083969">
        <w:rPr>
          <w:rFonts w:ascii="Book Antiqua" w:hAnsi="Book Antiqua" w:cs="Arial"/>
        </w:rPr>
        <w:t>T</w:t>
      </w:r>
      <w:r>
        <w:rPr>
          <w:rFonts w:ascii="Book Antiqua" w:hAnsi="Book Antiqua" w:cs="Arial"/>
        </w:rPr>
        <w:t xml:space="preserve">he final paragraph on the first page of </w:t>
      </w:r>
      <w:r w:rsidR="00083969">
        <w:rPr>
          <w:rFonts w:ascii="Book Antiqua" w:hAnsi="Book Antiqua" w:cs="Arial"/>
        </w:rPr>
        <w:t>the R</w:t>
      </w:r>
      <w:r>
        <w:rPr>
          <w:rFonts w:ascii="Book Antiqua" w:hAnsi="Book Antiqua" w:cs="Arial"/>
        </w:rPr>
        <w:t xml:space="preserve">efusal specifically says </w:t>
      </w:r>
      <w:r w:rsidR="00083969">
        <w:rPr>
          <w:rFonts w:ascii="Book Antiqua" w:hAnsi="Book Antiqua" w:cs="Arial"/>
        </w:rPr>
        <w:t>that “a</w:t>
      </w:r>
      <w:r>
        <w:rPr>
          <w:rFonts w:ascii="Book Antiqua" w:hAnsi="Book Antiqua" w:cs="Arial"/>
        </w:rPr>
        <w:t xml:space="preserve">s the EEA national is not exercising </w:t>
      </w:r>
      <w:r w:rsidR="00352944">
        <w:rPr>
          <w:rFonts w:ascii="Book Antiqua" w:hAnsi="Book Antiqua" w:cs="Arial"/>
        </w:rPr>
        <w:t>Treaty</w:t>
      </w:r>
      <w:r>
        <w:rPr>
          <w:rFonts w:ascii="Book Antiqua" w:hAnsi="Book Antiqua" w:cs="Arial"/>
        </w:rPr>
        <w:t xml:space="preserve"> rights you currently have no entitlement under EEA Regulations.</w:t>
      </w:r>
      <w:r w:rsidR="00083969">
        <w:rPr>
          <w:rFonts w:ascii="Book Antiqua" w:hAnsi="Book Antiqua" w:cs="Arial"/>
        </w:rPr>
        <w:t>”</w:t>
      </w:r>
      <w:r>
        <w:rPr>
          <w:rFonts w:ascii="Book Antiqua" w:hAnsi="Book Antiqua" w:cs="Arial"/>
        </w:rPr>
        <w:t xml:space="preserve">  The issue therefore in the appeal was whether or not the Appellant’s wife was exercising </w:t>
      </w:r>
      <w:r w:rsidR="00352944">
        <w:rPr>
          <w:rFonts w:ascii="Book Antiqua" w:hAnsi="Book Antiqua" w:cs="Arial"/>
        </w:rPr>
        <w:t>Treaty</w:t>
      </w:r>
      <w:r>
        <w:rPr>
          <w:rFonts w:ascii="Book Antiqua" w:hAnsi="Book Antiqua" w:cs="Arial"/>
        </w:rPr>
        <w:t xml:space="preserve"> rights.</w:t>
      </w:r>
    </w:p>
    <w:p w:rsidR="00CA040E" w:rsidRDefault="0011025C" w:rsidP="009A1ED5">
      <w:pPr>
        <w:numPr>
          <w:ilvl w:val="0"/>
          <w:numId w:val="3"/>
        </w:numPr>
        <w:spacing w:before="240"/>
        <w:jc w:val="both"/>
        <w:rPr>
          <w:rFonts w:ascii="Book Antiqua" w:hAnsi="Book Antiqua" w:cs="Arial"/>
        </w:rPr>
      </w:pPr>
      <w:r>
        <w:rPr>
          <w:rFonts w:ascii="Book Antiqua" w:hAnsi="Book Antiqua" w:cs="Arial"/>
        </w:rPr>
        <w:t xml:space="preserve">The Appellant had originally asked for an oral hearing but then decided that he preferred it to be dealt with on the papers.  The </w:t>
      </w:r>
      <w:r w:rsidR="00083969">
        <w:rPr>
          <w:rFonts w:ascii="Book Antiqua" w:hAnsi="Book Antiqua" w:cs="Arial"/>
        </w:rPr>
        <w:t>Judge</w:t>
      </w:r>
      <w:r>
        <w:rPr>
          <w:rFonts w:ascii="Book Antiqua" w:hAnsi="Book Antiqua" w:cs="Arial"/>
        </w:rPr>
        <w:t xml:space="preserve"> set out in paragraph 6 of his </w:t>
      </w:r>
      <w:r w:rsidR="00083969">
        <w:rPr>
          <w:rFonts w:ascii="Book Antiqua" w:hAnsi="Book Antiqua" w:cs="Arial"/>
        </w:rPr>
        <w:t xml:space="preserve">Decision and Reasons </w:t>
      </w:r>
      <w:r>
        <w:rPr>
          <w:rFonts w:ascii="Book Antiqua" w:hAnsi="Book Antiqua" w:cs="Arial"/>
        </w:rPr>
        <w:t xml:space="preserve">the considerable number of documents lodged in support of the appeal.  A total of 35 separate documents are listed.  </w:t>
      </w:r>
    </w:p>
    <w:p w:rsidR="0011025C" w:rsidRPr="00CA040E" w:rsidRDefault="0011025C" w:rsidP="00CA040E">
      <w:pPr>
        <w:numPr>
          <w:ilvl w:val="0"/>
          <w:numId w:val="3"/>
        </w:numPr>
        <w:spacing w:before="240"/>
        <w:jc w:val="both"/>
        <w:rPr>
          <w:rFonts w:ascii="Book Antiqua" w:hAnsi="Book Antiqua" w:cs="Arial"/>
        </w:rPr>
      </w:pPr>
      <w:r>
        <w:rPr>
          <w:rFonts w:ascii="Book Antiqua" w:hAnsi="Book Antiqua" w:cs="Arial"/>
        </w:rPr>
        <w:t xml:space="preserve">The </w:t>
      </w:r>
      <w:r w:rsidR="00083969">
        <w:rPr>
          <w:rFonts w:ascii="Book Antiqua" w:hAnsi="Book Antiqua" w:cs="Arial"/>
        </w:rPr>
        <w:t>Judge</w:t>
      </w:r>
      <w:r w:rsidR="00696ECF">
        <w:rPr>
          <w:rFonts w:ascii="Book Antiqua" w:hAnsi="Book Antiqua" w:cs="Arial"/>
        </w:rPr>
        <w:t xml:space="preserve"> was not provided with a </w:t>
      </w:r>
      <w:r w:rsidR="00E33819">
        <w:rPr>
          <w:rFonts w:ascii="Book Antiqua" w:hAnsi="Book Antiqua" w:cs="Arial"/>
        </w:rPr>
        <w:t xml:space="preserve">Respondent’s </w:t>
      </w:r>
      <w:r w:rsidR="00696ECF">
        <w:rPr>
          <w:rFonts w:ascii="Book Antiqua" w:hAnsi="Book Antiqua" w:cs="Arial"/>
        </w:rPr>
        <w:t>bundle and therefore there was no evidence about the interview having taken place or what was said.</w:t>
      </w:r>
      <w:r w:rsidR="006D7708">
        <w:rPr>
          <w:rFonts w:ascii="Book Antiqua" w:hAnsi="Book Antiqua" w:cs="Arial"/>
        </w:rPr>
        <w:t xml:space="preserve">  </w:t>
      </w:r>
      <w:r w:rsidR="006D7708" w:rsidRPr="00CA040E">
        <w:rPr>
          <w:rFonts w:ascii="Book Antiqua" w:hAnsi="Book Antiqua" w:cs="Arial"/>
        </w:rPr>
        <w:t xml:space="preserve">The </w:t>
      </w:r>
      <w:r w:rsidR="00083969">
        <w:rPr>
          <w:rFonts w:ascii="Book Antiqua" w:hAnsi="Book Antiqua" w:cs="Arial"/>
        </w:rPr>
        <w:t>Judge</w:t>
      </w:r>
      <w:r w:rsidR="006D7708" w:rsidRPr="00CA040E">
        <w:rPr>
          <w:rFonts w:ascii="Book Antiqua" w:hAnsi="Book Antiqua" w:cs="Arial"/>
        </w:rPr>
        <w:t xml:space="preserve"> was aware of that and he set out in the </w:t>
      </w:r>
      <w:r w:rsidR="00083969">
        <w:rPr>
          <w:rFonts w:ascii="Book Antiqua" w:hAnsi="Book Antiqua" w:cs="Arial"/>
        </w:rPr>
        <w:t xml:space="preserve">Decision and Reasons </w:t>
      </w:r>
      <w:r w:rsidR="006D7708" w:rsidRPr="00CA040E">
        <w:rPr>
          <w:rFonts w:ascii="Book Antiqua" w:hAnsi="Book Antiqua" w:cs="Arial"/>
        </w:rPr>
        <w:t>what the Appellant, his wife and the wife’s brother said about that interview</w:t>
      </w:r>
      <w:r w:rsidR="00083969">
        <w:rPr>
          <w:rFonts w:ascii="Book Antiqua" w:hAnsi="Book Antiqua" w:cs="Arial"/>
        </w:rPr>
        <w:t>,</w:t>
      </w:r>
      <w:r w:rsidR="006D7708" w:rsidRPr="00CA040E">
        <w:rPr>
          <w:rFonts w:ascii="Book Antiqua" w:hAnsi="Book Antiqua" w:cs="Arial"/>
        </w:rPr>
        <w:t xml:space="preserve"> namely that the official misunderstood what had been said and in fact what had been said was that she had left the country temporarily and was coming back</w:t>
      </w:r>
      <w:r w:rsidR="00083969">
        <w:rPr>
          <w:rFonts w:ascii="Book Antiqua" w:hAnsi="Book Antiqua" w:cs="Arial"/>
        </w:rPr>
        <w:t>.</w:t>
      </w:r>
      <w:r w:rsidR="006D7708" w:rsidRPr="00CA040E">
        <w:rPr>
          <w:rFonts w:ascii="Book Antiqua" w:hAnsi="Book Antiqua" w:cs="Arial"/>
        </w:rPr>
        <w:t xml:space="preserve"> </w:t>
      </w:r>
      <w:r w:rsidR="00083969">
        <w:rPr>
          <w:rFonts w:ascii="Book Antiqua" w:hAnsi="Book Antiqua" w:cs="Arial"/>
        </w:rPr>
        <w:t>I</w:t>
      </w:r>
      <w:r w:rsidR="00CA040E">
        <w:rPr>
          <w:rFonts w:ascii="Book Antiqua" w:hAnsi="Book Antiqua" w:cs="Arial"/>
        </w:rPr>
        <w:t xml:space="preserve">t is </w:t>
      </w:r>
      <w:r w:rsidR="006D7708" w:rsidRPr="00CA040E">
        <w:rPr>
          <w:rFonts w:ascii="Book Antiqua" w:hAnsi="Book Antiqua" w:cs="Arial"/>
        </w:rPr>
        <w:t xml:space="preserve">said </w:t>
      </w:r>
      <w:r w:rsidR="00083969">
        <w:rPr>
          <w:rFonts w:ascii="Book Antiqua" w:hAnsi="Book Antiqua" w:cs="Arial"/>
        </w:rPr>
        <w:t xml:space="preserve">that </w:t>
      </w:r>
      <w:r w:rsidR="006D7708" w:rsidRPr="00CA040E">
        <w:rPr>
          <w:rFonts w:ascii="Book Antiqua" w:hAnsi="Book Antiqua" w:cs="Arial"/>
        </w:rPr>
        <w:t>she was back by the t</w:t>
      </w:r>
      <w:r w:rsidR="00721195" w:rsidRPr="00CA040E">
        <w:rPr>
          <w:rFonts w:ascii="Book Antiqua" w:hAnsi="Book Antiqua" w:cs="Arial"/>
        </w:rPr>
        <w:t>i</w:t>
      </w:r>
      <w:r w:rsidR="006D7708" w:rsidRPr="00CA040E">
        <w:rPr>
          <w:rFonts w:ascii="Book Antiqua" w:hAnsi="Book Antiqua" w:cs="Arial"/>
        </w:rPr>
        <w:t xml:space="preserve">me the </w:t>
      </w:r>
      <w:r w:rsidR="00083969">
        <w:rPr>
          <w:rFonts w:ascii="Book Antiqua" w:hAnsi="Book Antiqua" w:cs="Arial"/>
        </w:rPr>
        <w:t>appeal</w:t>
      </w:r>
      <w:r w:rsidR="006D7708" w:rsidRPr="00CA040E">
        <w:rPr>
          <w:rFonts w:ascii="Book Antiqua" w:hAnsi="Book Antiqua" w:cs="Arial"/>
        </w:rPr>
        <w:t xml:space="preserve"> was determined.  </w:t>
      </w:r>
    </w:p>
    <w:p w:rsidR="0034144F" w:rsidRDefault="00721195" w:rsidP="009A1ED5">
      <w:pPr>
        <w:numPr>
          <w:ilvl w:val="0"/>
          <w:numId w:val="3"/>
        </w:numPr>
        <w:spacing w:before="240"/>
        <w:jc w:val="both"/>
        <w:rPr>
          <w:rFonts w:ascii="Book Antiqua" w:hAnsi="Book Antiqua" w:cs="Arial"/>
        </w:rPr>
      </w:pPr>
      <w:r>
        <w:rPr>
          <w:rFonts w:ascii="Book Antiqua" w:hAnsi="Book Antiqua" w:cs="Arial"/>
        </w:rPr>
        <w:t xml:space="preserve">The </w:t>
      </w:r>
      <w:r w:rsidR="00083969">
        <w:rPr>
          <w:rFonts w:ascii="Book Antiqua" w:hAnsi="Book Antiqua" w:cs="Arial"/>
        </w:rPr>
        <w:t>Judge</w:t>
      </w:r>
      <w:r>
        <w:rPr>
          <w:rFonts w:ascii="Book Antiqua" w:hAnsi="Book Antiqua" w:cs="Arial"/>
        </w:rPr>
        <w:t xml:space="preserve"> noted in the </w:t>
      </w:r>
      <w:r w:rsidR="00083969">
        <w:rPr>
          <w:rFonts w:ascii="Book Antiqua" w:hAnsi="Book Antiqua" w:cs="Arial"/>
        </w:rPr>
        <w:t xml:space="preserve">Decision and Reasons </w:t>
      </w:r>
      <w:r>
        <w:rPr>
          <w:rFonts w:ascii="Book Antiqua" w:hAnsi="Book Antiqua" w:cs="Arial"/>
        </w:rPr>
        <w:t xml:space="preserve">that he was not helped by the absence of oral evidence.  He therefore had to decide whether in fact the Sponsor was exercising </w:t>
      </w:r>
      <w:r w:rsidR="00352944">
        <w:rPr>
          <w:rFonts w:ascii="Book Antiqua" w:hAnsi="Book Antiqua" w:cs="Arial"/>
        </w:rPr>
        <w:t>Treaty</w:t>
      </w:r>
      <w:r>
        <w:rPr>
          <w:rFonts w:ascii="Book Antiqua" w:hAnsi="Book Antiqua" w:cs="Arial"/>
        </w:rPr>
        <w:t xml:space="preserve"> rights.  He did so by looking at the various documents and at paragraph 11 referred to a considerable amount of evidence showing the Sponsor had been in the UK and on a self-employed basis but also noted that the bank statements that he had</w:t>
      </w:r>
      <w:r w:rsidR="00083969">
        <w:rPr>
          <w:rFonts w:ascii="Book Antiqua" w:hAnsi="Book Antiqua" w:cs="Arial"/>
        </w:rPr>
        <w:t>,</w:t>
      </w:r>
      <w:r>
        <w:rPr>
          <w:rFonts w:ascii="Book Antiqua" w:hAnsi="Book Antiqua" w:cs="Arial"/>
        </w:rPr>
        <w:t xml:space="preserve"> which were </w:t>
      </w:r>
      <w:r w:rsidR="00083969">
        <w:rPr>
          <w:rFonts w:ascii="Book Antiqua" w:hAnsi="Book Antiqua" w:cs="Arial"/>
        </w:rPr>
        <w:t>from</w:t>
      </w:r>
      <w:r>
        <w:rPr>
          <w:rFonts w:ascii="Book Antiqua" w:hAnsi="Book Antiqua" w:cs="Arial"/>
        </w:rPr>
        <w:t xml:space="preserve"> May of 2017</w:t>
      </w:r>
      <w:r w:rsidR="00083969">
        <w:rPr>
          <w:rFonts w:ascii="Book Antiqua" w:hAnsi="Book Antiqua" w:cs="Arial"/>
        </w:rPr>
        <w:t>,</w:t>
      </w:r>
      <w:r>
        <w:rPr>
          <w:rFonts w:ascii="Book Antiqua" w:hAnsi="Book Antiqua" w:cs="Arial"/>
        </w:rPr>
        <w:t xml:space="preserve"> were in summary form only</w:t>
      </w:r>
      <w:r w:rsidR="00083969">
        <w:rPr>
          <w:rFonts w:ascii="Book Antiqua" w:hAnsi="Book Antiqua" w:cs="Arial"/>
        </w:rPr>
        <w:t>.</w:t>
      </w:r>
      <w:r>
        <w:rPr>
          <w:rFonts w:ascii="Book Antiqua" w:hAnsi="Book Antiqua" w:cs="Arial"/>
        </w:rPr>
        <w:t xml:space="preserve"> </w:t>
      </w:r>
      <w:r w:rsidR="00083969">
        <w:rPr>
          <w:rFonts w:ascii="Book Antiqua" w:hAnsi="Book Antiqua" w:cs="Arial"/>
        </w:rPr>
        <w:t>H</w:t>
      </w:r>
      <w:r>
        <w:rPr>
          <w:rFonts w:ascii="Book Antiqua" w:hAnsi="Book Antiqua" w:cs="Arial"/>
        </w:rPr>
        <w:t xml:space="preserve">e also noted at paragraph 13 that the most recent independent documentary evidence that the Sponsor was exercising </w:t>
      </w:r>
      <w:r w:rsidR="00352944">
        <w:rPr>
          <w:rFonts w:ascii="Book Antiqua" w:hAnsi="Book Antiqua" w:cs="Arial"/>
        </w:rPr>
        <w:t>Treaty</w:t>
      </w:r>
      <w:r>
        <w:rPr>
          <w:rFonts w:ascii="Book Antiqua" w:hAnsi="Book Antiqua" w:cs="Arial"/>
        </w:rPr>
        <w:t xml:space="preserve"> rights in the UK was her 2017 tax return, the December 2017 tax consultant’s letter and a May 2017 bank statement.  </w:t>
      </w:r>
    </w:p>
    <w:p w:rsidR="00721195" w:rsidRDefault="00721195" w:rsidP="009A1ED5">
      <w:pPr>
        <w:numPr>
          <w:ilvl w:val="0"/>
          <w:numId w:val="3"/>
        </w:numPr>
        <w:spacing w:before="240"/>
        <w:jc w:val="both"/>
        <w:rPr>
          <w:rFonts w:ascii="Book Antiqua" w:hAnsi="Book Antiqua" w:cs="Arial"/>
        </w:rPr>
      </w:pPr>
      <w:r>
        <w:rPr>
          <w:rFonts w:ascii="Book Antiqua" w:hAnsi="Book Antiqua" w:cs="Arial"/>
        </w:rPr>
        <w:t>He went on to say that he was given no itinerary explaining the travel of the Sponsor, the amount of time she had spent in or out of the UK and no evidence of a passport or by way of air tickets.  He also said that he was given no evidence as to how much time the Sponsor had spent in the UK and no evidence that she was in the UK at all apart from what was asserted in her statement.</w:t>
      </w:r>
    </w:p>
    <w:p w:rsidR="008778F9" w:rsidRDefault="008778F9" w:rsidP="009A1ED5">
      <w:pPr>
        <w:numPr>
          <w:ilvl w:val="0"/>
          <w:numId w:val="3"/>
        </w:numPr>
        <w:spacing w:before="240"/>
        <w:jc w:val="both"/>
        <w:rPr>
          <w:rFonts w:ascii="Book Antiqua" w:hAnsi="Book Antiqua" w:cs="Arial"/>
        </w:rPr>
      </w:pPr>
      <w:r>
        <w:rPr>
          <w:rFonts w:ascii="Book Antiqua" w:hAnsi="Book Antiqua" w:cs="Arial"/>
        </w:rPr>
        <w:t xml:space="preserve">The grounds on which permission to appeal were granted firstly argue that the bank statements clearly showed cash going out of the Sponsor’s account in the UK at the relevant period although no-one was able to take me to such a document.  That ground therefore is not made out.  The other main ground relied upon is that the </w:t>
      </w:r>
      <w:r w:rsidR="00083969">
        <w:rPr>
          <w:rFonts w:ascii="Book Antiqua" w:hAnsi="Book Antiqua" w:cs="Arial"/>
        </w:rPr>
        <w:t>Judge</w:t>
      </w:r>
      <w:r>
        <w:rPr>
          <w:rFonts w:ascii="Book Antiqua" w:hAnsi="Book Antiqua" w:cs="Arial"/>
        </w:rPr>
        <w:t xml:space="preserve"> attached too much weight to the interview and he was not entitled to do so given that there was no evidence or interview record in front of him.  </w:t>
      </w:r>
    </w:p>
    <w:p w:rsidR="00B637B9" w:rsidRDefault="00083969" w:rsidP="009A1ED5">
      <w:pPr>
        <w:numPr>
          <w:ilvl w:val="0"/>
          <w:numId w:val="3"/>
        </w:numPr>
        <w:spacing w:before="240"/>
        <w:jc w:val="both"/>
        <w:rPr>
          <w:rFonts w:ascii="Book Antiqua" w:hAnsi="Book Antiqua" w:cs="Arial"/>
        </w:rPr>
      </w:pPr>
      <w:r>
        <w:rPr>
          <w:rFonts w:ascii="Book Antiqua" w:hAnsi="Book Antiqua" w:cs="Arial"/>
        </w:rPr>
        <w:t>However,</w:t>
      </w:r>
      <w:r w:rsidR="008778F9">
        <w:rPr>
          <w:rFonts w:ascii="Book Antiqua" w:hAnsi="Book Antiqua" w:cs="Arial"/>
        </w:rPr>
        <w:t xml:space="preserve"> the </w:t>
      </w:r>
      <w:r>
        <w:rPr>
          <w:rFonts w:ascii="Book Antiqua" w:hAnsi="Book Antiqua" w:cs="Arial"/>
        </w:rPr>
        <w:t>Judge</w:t>
      </w:r>
      <w:r w:rsidR="008778F9">
        <w:rPr>
          <w:rFonts w:ascii="Book Antiqua" w:hAnsi="Book Antiqua" w:cs="Arial"/>
        </w:rPr>
        <w:t xml:space="preserve"> did not do that</w:t>
      </w:r>
      <w:r>
        <w:rPr>
          <w:rFonts w:ascii="Book Antiqua" w:hAnsi="Book Antiqua" w:cs="Arial"/>
        </w:rPr>
        <w:t>.</w:t>
      </w:r>
      <w:r w:rsidR="008778F9">
        <w:rPr>
          <w:rFonts w:ascii="Book Antiqua" w:hAnsi="Book Antiqua" w:cs="Arial"/>
        </w:rPr>
        <w:t xml:space="preserve"> </w:t>
      </w:r>
      <w:r>
        <w:rPr>
          <w:rFonts w:ascii="Book Antiqua" w:hAnsi="Book Antiqua" w:cs="Arial"/>
        </w:rPr>
        <w:t>H</w:t>
      </w:r>
      <w:r w:rsidR="008778F9">
        <w:rPr>
          <w:rFonts w:ascii="Book Antiqua" w:hAnsi="Book Antiqua" w:cs="Arial"/>
        </w:rPr>
        <w:t>e actually noted at paragraph 15 that</w:t>
      </w:r>
      <w:r>
        <w:rPr>
          <w:rFonts w:ascii="Book Antiqua" w:hAnsi="Book Antiqua" w:cs="Arial"/>
        </w:rPr>
        <w:t>,</w:t>
      </w:r>
      <w:r w:rsidR="008778F9">
        <w:rPr>
          <w:rFonts w:ascii="Book Antiqua" w:hAnsi="Book Antiqua" w:cs="Arial"/>
        </w:rPr>
        <w:t xml:space="preserve"> even without the allegation </w:t>
      </w:r>
      <w:r>
        <w:rPr>
          <w:rFonts w:ascii="Book Antiqua" w:hAnsi="Book Antiqua" w:cs="Arial"/>
        </w:rPr>
        <w:t>a</w:t>
      </w:r>
      <w:r w:rsidR="008778F9">
        <w:rPr>
          <w:rFonts w:ascii="Book Antiqua" w:hAnsi="Book Antiqua" w:cs="Arial"/>
        </w:rPr>
        <w:t>rising from the interview</w:t>
      </w:r>
      <w:r>
        <w:rPr>
          <w:rFonts w:ascii="Book Antiqua" w:hAnsi="Book Antiqua" w:cs="Arial"/>
        </w:rPr>
        <w:t>,</w:t>
      </w:r>
      <w:r w:rsidR="008778F9">
        <w:rPr>
          <w:rFonts w:ascii="Book Antiqua" w:hAnsi="Book Antiqua" w:cs="Arial"/>
        </w:rPr>
        <w:t xml:space="preserve"> there was a lack of corroboration about the current exercise of </w:t>
      </w:r>
      <w:r w:rsidR="00352944">
        <w:rPr>
          <w:rFonts w:ascii="Book Antiqua" w:hAnsi="Book Antiqua" w:cs="Arial"/>
        </w:rPr>
        <w:t>Treaty</w:t>
      </w:r>
      <w:r w:rsidR="008778F9">
        <w:rPr>
          <w:rFonts w:ascii="Book Antiqua" w:hAnsi="Book Antiqua" w:cs="Arial"/>
        </w:rPr>
        <w:t xml:space="preserve"> rights by the Sponsor</w:t>
      </w:r>
      <w:r>
        <w:rPr>
          <w:rFonts w:ascii="Book Antiqua" w:hAnsi="Book Antiqua" w:cs="Arial"/>
        </w:rPr>
        <w:t>.</w:t>
      </w:r>
      <w:r w:rsidR="008778F9">
        <w:rPr>
          <w:rFonts w:ascii="Book Antiqua" w:hAnsi="Book Antiqua" w:cs="Arial"/>
        </w:rPr>
        <w:t xml:space="preserve"> </w:t>
      </w:r>
      <w:r>
        <w:rPr>
          <w:rFonts w:ascii="Book Antiqua" w:hAnsi="Book Antiqua" w:cs="Arial"/>
        </w:rPr>
        <w:t>H</w:t>
      </w:r>
      <w:r w:rsidR="008778F9">
        <w:rPr>
          <w:rFonts w:ascii="Book Antiqua" w:hAnsi="Book Antiqua" w:cs="Arial"/>
        </w:rPr>
        <w:t xml:space="preserve">aving assessed all of the evidence the </w:t>
      </w:r>
      <w:r>
        <w:rPr>
          <w:rFonts w:ascii="Book Antiqua" w:hAnsi="Book Antiqua" w:cs="Arial"/>
        </w:rPr>
        <w:t>Judge</w:t>
      </w:r>
      <w:r w:rsidR="008778F9">
        <w:rPr>
          <w:rFonts w:ascii="Book Antiqua" w:hAnsi="Book Antiqua" w:cs="Arial"/>
        </w:rPr>
        <w:t xml:space="preserve"> came to the conclusion that the evidence was simply not there to show</w:t>
      </w:r>
      <w:r>
        <w:rPr>
          <w:rFonts w:ascii="Book Antiqua" w:hAnsi="Book Antiqua" w:cs="Arial"/>
        </w:rPr>
        <w:t>,</w:t>
      </w:r>
      <w:r w:rsidR="008778F9">
        <w:rPr>
          <w:rFonts w:ascii="Book Antiqua" w:hAnsi="Book Antiqua" w:cs="Arial"/>
        </w:rPr>
        <w:t xml:space="preserve"> on a balance of probabilities</w:t>
      </w:r>
      <w:r>
        <w:rPr>
          <w:rFonts w:ascii="Book Antiqua" w:hAnsi="Book Antiqua" w:cs="Arial"/>
        </w:rPr>
        <w:t>,</w:t>
      </w:r>
      <w:r w:rsidR="008778F9">
        <w:rPr>
          <w:rFonts w:ascii="Book Antiqua" w:hAnsi="Book Antiqua" w:cs="Arial"/>
        </w:rPr>
        <w:t xml:space="preserve"> that the Sponsor was exercising </w:t>
      </w:r>
      <w:r w:rsidR="00352944">
        <w:rPr>
          <w:rFonts w:ascii="Book Antiqua" w:hAnsi="Book Antiqua" w:cs="Arial"/>
        </w:rPr>
        <w:t>Treaty</w:t>
      </w:r>
      <w:r w:rsidR="008778F9">
        <w:rPr>
          <w:rFonts w:ascii="Book Antiqua" w:hAnsi="Book Antiqua" w:cs="Arial"/>
        </w:rPr>
        <w:t xml:space="preserve"> rights in the UK and thus the </w:t>
      </w:r>
      <w:r w:rsidR="0034144F">
        <w:rPr>
          <w:rFonts w:ascii="Book Antiqua" w:hAnsi="Book Antiqua" w:cs="Arial"/>
        </w:rPr>
        <w:t>Appellant</w:t>
      </w:r>
      <w:r w:rsidR="008778F9">
        <w:rPr>
          <w:rFonts w:ascii="Book Antiqua" w:hAnsi="Book Antiqua" w:cs="Arial"/>
        </w:rPr>
        <w:t xml:space="preserve"> entitled to his residence card.</w:t>
      </w:r>
      <w:r w:rsidR="00B637B9">
        <w:rPr>
          <w:rFonts w:ascii="Book Antiqua" w:hAnsi="Book Antiqua" w:cs="Arial"/>
        </w:rPr>
        <w:t xml:space="preserve">  </w:t>
      </w:r>
    </w:p>
    <w:p w:rsidR="008778F9" w:rsidRDefault="00083969" w:rsidP="009A1ED5">
      <w:pPr>
        <w:numPr>
          <w:ilvl w:val="0"/>
          <w:numId w:val="3"/>
        </w:numPr>
        <w:spacing w:before="240"/>
        <w:jc w:val="both"/>
        <w:rPr>
          <w:rFonts w:ascii="Book Antiqua" w:hAnsi="Book Antiqua" w:cs="Arial"/>
        </w:rPr>
      </w:pPr>
      <w:r>
        <w:rPr>
          <w:rFonts w:ascii="Book Antiqua" w:hAnsi="Book Antiqua" w:cs="Arial"/>
        </w:rPr>
        <w:lastRenderedPageBreak/>
        <w:t>It</w:t>
      </w:r>
      <w:r w:rsidR="00B637B9">
        <w:rPr>
          <w:rFonts w:ascii="Book Antiqua" w:hAnsi="Book Antiqua" w:cs="Arial"/>
        </w:rPr>
        <w:t xml:space="preserve"> was the </w:t>
      </w:r>
      <w:r>
        <w:rPr>
          <w:rFonts w:ascii="Book Antiqua" w:hAnsi="Book Antiqua" w:cs="Arial"/>
        </w:rPr>
        <w:t>Judge</w:t>
      </w:r>
      <w:r w:rsidR="00B637B9">
        <w:rPr>
          <w:rFonts w:ascii="Book Antiqua" w:hAnsi="Book Antiqua" w:cs="Arial"/>
        </w:rPr>
        <w:t xml:space="preserve">’s task to decide whether she was exercising </w:t>
      </w:r>
      <w:r w:rsidR="00352944">
        <w:rPr>
          <w:rFonts w:ascii="Book Antiqua" w:hAnsi="Book Antiqua" w:cs="Arial"/>
        </w:rPr>
        <w:t>Treaty</w:t>
      </w:r>
      <w:r w:rsidR="00B637B9">
        <w:rPr>
          <w:rFonts w:ascii="Book Antiqua" w:hAnsi="Book Antiqua" w:cs="Arial"/>
        </w:rPr>
        <w:t xml:space="preserve"> rights and the evidence was simply not there.  </w:t>
      </w:r>
      <w:r>
        <w:rPr>
          <w:rFonts w:ascii="Book Antiqua" w:hAnsi="Book Antiqua" w:cs="Arial"/>
        </w:rPr>
        <w:t>Of course,</w:t>
      </w:r>
      <w:r w:rsidR="00B637B9">
        <w:rPr>
          <w:rFonts w:ascii="Book Antiqua" w:hAnsi="Book Antiqua" w:cs="Arial"/>
        </w:rPr>
        <w:t xml:space="preserve"> it would have been a very simple matter</w:t>
      </w:r>
      <w:r>
        <w:rPr>
          <w:rFonts w:ascii="Book Antiqua" w:hAnsi="Book Antiqua" w:cs="Arial"/>
        </w:rPr>
        <w:t>,</w:t>
      </w:r>
      <w:r w:rsidR="00B637B9">
        <w:rPr>
          <w:rFonts w:ascii="Book Antiqua" w:hAnsi="Book Antiqua" w:cs="Arial"/>
        </w:rPr>
        <w:t xml:space="preserve"> if in truth she is in the UK and exercising </w:t>
      </w:r>
      <w:r w:rsidR="00352944">
        <w:rPr>
          <w:rFonts w:ascii="Book Antiqua" w:hAnsi="Book Antiqua" w:cs="Arial"/>
        </w:rPr>
        <w:t>Treaty</w:t>
      </w:r>
      <w:r w:rsidR="00B637B9">
        <w:rPr>
          <w:rFonts w:ascii="Book Antiqua" w:hAnsi="Book Antiqua" w:cs="Arial"/>
        </w:rPr>
        <w:t xml:space="preserve"> rights</w:t>
      </w:r>
      <w:r>
        <w:rPr>
          <w:rFonts w:ascii="Book Antiqua" w:hAnsi="Book Antiqua" w:cs="Arial"/>
        </w:rPr>
        <w:t>,</w:t>
      </w:r>
      <w:r w:rsidR="00B637B9">
        <w:rPr>
          <w:rFonts w:ascii="Book Antiqua" w:hAnsi="Book Antiqua" w:cs="Arial"/>
        </w:rPr>
        <w:t xml:space="preserve"> for the Appellant, Sponsor and witness to have attended court and given evidence.</w:t>
      </w:r>
      <w:r w:rsidR="0016134B">
        <w:rPr>
          <w:rFonts w:ascii="Book Antiqua" w:hAnsi="Book Antiqua" w:cs="Arial"/>
        </w:rPr>
        <w:t xml:space="preserve">  They chose not to do so.</w:t>
      </w:r>
    </w:p>
    <w:p w:rsidR="0016134B" w:rsidRDefault="0016134B" w:rsidP="009A1ED5">
      <w:pPr>
        <w:numPr>
          <w:ilvl w:val="0"/>
          <w:numId w:val="3"/>
        </w:numPr>
        <w:spacing w:before="240"/>
        <w:jc w:val="both"/>
        <w:rPr>
          <w:rFonts w:ascii="Book Antiqua" w:hAnsi="Book Antiqua" w:cs="Arial"/>
        </w:rPr>
      </w:pPr>
      <w:r>
        <w:rPr>
          <w:rFonts w:ascii="Book Antiqua" w:hAnsi="Book Antiqua" w:cs="Arial"/>
        </w:rPr>
        <w:t xml:space="preserve">On the basis of the evidence in front of the </w:t>
      </w:r>
      <w:r w:rsidR="00083969">
        <w:rPr>
          <w:rFonts w:ascii="Book Antiqua" w:hAnsi="Book Antiqua" w:cs="Arial"/>
        </w:rPr>
        <w:t>Judge</w:t>
      </w:r>
      <w:r>
        <w:rPr>
          <w:rFonts w:ascii="Book Antiqua" w:hAnsi="Book Antiqua" w:cs="Arial"/>
        </w:rPr>
        <w:t xml:space="preserve"> the result was inevitable and I find that there is no error of law in the </w:t>
      </w:r>
      <w:r w:rsidR="00083969">
        <w:rPr>
          <w:rFonts w:ascii="Book Antiqua" w:hAnsi="Book Antiqua" w:cs="Arial"/>
        </w:rPr>
        <w:t>Decision and Reasons in</w:t>
      </w:r>
      <w:r>
        <w:rPr>
          <w:rFonts w:ascii="Book Antiqua" w:hAnsi="Book Antiqua" w:cs="Arial"/>
        </w:rPr>
        <w:t xml:space="preserve"> terms of </w:t>
      </w:r>
      <w:r w:rsidR="00083969">
        <w:rPr>
          <w:rFonts w:ascii="Book Antiqua" w:hAnsi="Book Antiqua" w:cs="Arial"/>
        </w:rPr>
        <w:t>the Judge’s</w:t>
      </w:r>
      <w:r>
        <w:rPr>
          <w:rFonts w:ascii="Book Antiqua" w:hAnsi="Book Antiqua" w:cs="Arial"/>
        </w:rPr>
        <w:t xml:space="preserve"> consideration of the EEA case.  He in fact went on to consider Article 8</w:t>
      </w:r>
      <w:r w:rsidR="00083969">
        <w:rPr>
          <w:rFonts w:ascii="Book Antiqua" w:hAnsi="Book Antiqua" w:cs="Arial"/>
        </w:rPr>
        <w:t>,</w:t>
      </w:r>
      <w:r>
        <w:rPr>
          <w:rFonts w:ascii="Book Antiqua" w:hAnsi="Book Antiqua" w:cs="Arial"/>
        </w:rPr>
        <w:t xml:space="preserve"> which he should not have done but that is wholly immaterial to </w:t>
      </w:r>
      <w:r w:rsidR="00083969">
        <w:rPr>
          <w:rFonts w:ascii="Book Antiqua" w:hAnsi="Book Antiqua" w:cs="Arial"/>
        </w:rPr>
        <w:t xml:space="preserve">the issue of </w:t>
      </w:r>
      <w:r>
        <w:rPr>
          <w:rFonts w:ascii="Book Antiqua" w:hAnsi="Book Antiqua" w:cs="Arial"/>
        </w:rPr>
        <w:t xml:space="preserve">whether or not the main determination should stand.  </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F13D39" w:rsidRPr="00F13D39" w:rsidRDefault="00F13D39" w:rsidP="00F13D39">
      <w:pPr>
        <w:jc w:val="both"/>
        <w:rPr>
          <w:rFonts w:ascii="Book Antiqua" w:hAnsi="Book Antiqua" w:cs="Arial"/>
        </w:rPr>
      </w:pPr>
    </w:p>
    <w:p w:rsidR="00083969" w:rsidRDefault="00083969" w:rsidP="00083969">
      <w:pPr>
        <w:numPr>
          <w:ilvl w:val="0"/>
          <w:numId w:val="3"/>
        </w:numPr>
        <w:spacing w:before="240"/>
        <w:jc w:val="both"/>
        <w:rPr>
          <w:rFonts w:ascii="Book Antiqua" w:hAnsi="Book Antiqua" w:cs="Arial"/>
        </w:rPr>
      </w:pPr>
      <w:r>
        <w:rPr>
          <w:rFonts w:ascii="Book Antiqua" w:hAnsi="Book Antiqua" w:cs="Arial"/>
        </w:rPr>
        <w:t>The First-tier Tribunal’s Decision and Reasons is not tainted by a material of error of law and therefore the appeal to the Upper Tribunal is dismissed.</w:t>
      </w:r>
    </w:p>
    <w:p w:rsidR="00083969" w:rsidRPr="001707C2" w:rsidRDefault="00083969" w:rsidP="00083969">
      <w:pPr>
        <w:spacing w:before="240"/>
        <w:jc w:val="both"/>
        <w:rPr>
          <w:rFonts w:ascii="Book Antiqua" w:hAnsi="Book Antiqua" w:cs="Arial"/>
        </w:rPr>
      </w:pPr>
    </w:p>
    <w:p w:rsidR="00F13D39" w:rsidRPr="00F13D39" w:rsidRDefault="00F13D39" w:rsidP="00083969">
      <w:pPr>
        <w:ind w:firstLine="567"/>
        <w:jc w:val="both"/>
        <w:rPr>
          <w:rFonts w:ascii="Book Antiqua" w:hAnsi="Book Antiqua" w:cs="Arial"/>
        </w:rPr>
      </w:pPr>
      <w:r w:rsidRPr="00F13D39">
        <w:rPr>
          <w:rFonts w:ascii="Book Antiqua" w:hAnsi="Book Antiqua" w:cs="Arial"/>
        </w:rPr>
        <w:t>No anonymity direction is made.</w:t>
      </w:r>
    </w:p>
    <w:p w:rsidR="00F13D39" w:rsidRPr="00F13D39" w:rsidRDefault="00F13D39" w:rsidP="00F13D3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587ACB" w:rsidRPr="00F5664C" w:rsidRDefault="00587ACB"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083969">
        <w:rPr>
          <w:rFonts w:ascii="Book Antiqua" w:hAnsi="Book Antiqua" w:cs="Arial"/>
        </w:rPr>
        <w:t xml:space="preserve"> </w:t>
      </w:r>
      <w:r w:rsidR="00083969" w:rsidRPr="00083969">
        <w:rPr>
          <w:rFonts w:ascii="Book Antiqua" w:hAnsi="Book Antiqua" w:cs="Arial"/>
          <w:noProof/>
        </w:rPr>
        <w:drawing>
          <wp:inline distT="0" distB="0" distL="0" distR="0" wp14:anchorId="2E21F67E" wp14:editId="67FA0F92">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083969">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83969">
        <w:rPr>
          <w:rFonts w:ascii="Book Antiqua" w:hAnsi="Book Antiqua" w:cs="Arial"/>
        </w:rPr>
        <w:t xml:space="preserve"> 20</w:t>
      </w:r>
      <w:r w:rsidR="00083969" w:rsidRPr="00083969">
        <w:rPr>
          <w:rFonts w:ascii="Book Antiqua" w:hAnsi="Book Antiqua" w:cs="Arial"/>
          <w:vertAlign w:val="superscript"/>
        </w:rPr>
        <w:t>th</w:t>
      </w:r>
      <w:r w:rsidR="00083969">
        <w:rPr>
          <w:rFonts w:ascii="Book Antiqua" w:hAnsi="Book Antiqua" w:cs="Arial"/>
        </w:rPr>
        <w:t xml:space="preserve"> September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Upper Tribunal </w:t>
      </w:r>
      <w:r w:rsidR="00083969">
        <w:rPr>
          <w:rFonts w:ascii="Book Antiqua" w:hAnsi="Book Antiqua" w:cs="Arial"/>
        </w:rPr>
        <w:t>Judge</w:t>
      </w:r>
      <w:r>
        <w:rPr>
          <w:rFonts w:ascii="Book Antiqua" w:hAnsi="Book Antiqua" w:cs="Arial"/>
        </w:rPr>
        <w:t xml:space="preserv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sectPr w:rsidR="00F13D39" w:rsidSect="008D1177">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5C2" w:rsidRDefault="001D45C2">
      <w:r>
        <w:separator/>
      </w:r>
    </w:p>
  </w:endnote>
  <w:endnote w:type="continuationSeparator" w:id="0">
    <w:p w:rsidR="001D45C2" w:rsidRDefault="001D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31B01" w:rsidRDefault="00CF253F" w:rsidP="00593795">
    <w:pPr>
      <w:pStyle w:val="Footer"/>
      <w:jc w:val="center"/>
      <w:rPr>
        <w:rFonts w:ascii="Book Antiqua" w:hAnsi="Book Antiqua" w:cs="Arial"/>
      </w:rPr>
    </w:pPr>
    <w:r w:rsidRPr="00531B01">
      <w:rPr>
        <w:rStyle w:val="PageNumber"/>
        <w:rFonts w:ascii="Book Antiqua" w:hAnsi="Book Antiqua" w:cs="Arial"/>
      </w:rPr>
      <w:fldChar w:fldCharType="begin"/>
    </w:r>
    <w:r w:rsidRPr="00531B01">
      <w:rPr>
        <w:rStyle w:val="PageNumber"/>
        <w:rFonts w:ascii="Book Antiqua" w:hAnsi="Book Antiqua" w:cs="Arial"/>
      </w:rPr>
      <w:instrText xml:space="preserve"> PAGE </w:instrText>
    </w:r>
    <w:r w:rsidRPr="00531B01">
      <w:rPr>
        <w:rStyle w:val="PageNumber"/>
        <w:rFonts w:ascii="Book Antiqua" w:hAnsi="Book Antiqua" w:cs="Arial"/>
      </w:rPr>
      <w:fldChar w:fldCharType="separate"/>
    </w:r>
    <w:r w:rsidR="00876EBD">
      <w:rPr>
        <w:rStyle w:val="PageNumber"/>
        <w:rFonts w:ascii="Book Antiqua" w:hAnsi="Book Antiqua" w:cs="Arial"/>
        <w:noProof/>
      </w:rPr>
      <w:t>3</w:t>
    </w:r>
    <w:r w:rsidRPr="00531B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5C2" w:rsidRDefault="001D45C2">
      <w:r>
        <w:separator/>
      </w:r>
    </w:p>
  </w:footnote>
  <w:footnote w:type="continuationSeparator" w:id="0">
    <w:p w:rsidR="001D45C2" w:rsidRDefault="001D4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80E1F">
      <w:rPr>
        <w:rFonts w:ascii="Book Antiqua" w:hAnsi="Book Antiqua" w:cs="Arial"/>
        <w:sz w:val="16"/>
        <w:szCs w:val="16"/>
      </w:rPr>
      <w:t>EA/09073/2017</w:t>
    </w:r>
  </w:p>
  <w:p w:rsidR="00531B01" w:rsidRPr="00F5664C" w:rsidRDefault="00531B0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B2"/>
    <w:rsid w:val="00000621"/>
    <w:rsid w:val="000036C2"/>
    <w:rsid w:val="00030C00"/>
    <w:rsid w:val="00033D3D"/>
    <w:rsid w:val="000369F5"/>
    <w:rsid w:val="00047F27"/>
    <w:rsid w:val="00055F19"/>
    <w:rsid w:val="00071A7E"/>
    <w:rsid w:val="000746C0"/>
    <w:rsid w:val="00074D1D"/>
    <w:rsid w:val="00083969"/>
    <w:rsid w:val="00092580"/>
    <w:rsid w:val="000D01C9"/>
    <w:rsid w:val="000D5D94"/>
    <w:rsid w:val="000E0CD7"/>
    <w:rsid w:val="0011025C"/>
    <w:rsid w:val="00114F8B"/>
    <w:rsid w:val="001165A7"/>
    <w:rsid w:val="0015044C"/>
    <w:rsid w:val="00151BB7"/>
    <w:rsid w:val="0016134B"/>
    <w:rsid w:val="00167D3A"/>
    <w:rsid w:val="001707C2"/>
    <w:rsid w:val="001A1E2C"/>
    <w:rsid w:val="001D45C2"/>
    <w:rsid w:val="001F09F8"/>
    <w:rsid w:val="001F2716"/>
    <w:rsid w:val="0020133A"/>
    <w:rsid w:val="00207617"/>
    <w:rsid w:val="00226CB2"/>
    <w:rsid w:val="00227023"/>
    <w:rsid w:val="00255071"/>
    <w:rsid w:val="00283659"/>
    <w:rsid w:val="00284E21"/>
    <w:rsid w:val="00286D2A"/>
    <w:rsid w:val="002C4E73"/>
    <w:rsid w:val="002D68BF"/>
    <w:rsid w:val="00336CBF"/>
    <w:rsid w:val="0034013F"/>
    <w:rsid w:val="0034144F"/>
    <w:rsid w:val="00352944"/>
    <w:rsid w:val="003546C8"/>
    <w:rsid w:val="003A7CF2"/>
    <w:rsid w:val="003C5CE5"/>
    <w:rsid w:val="003E267B"/>
    <w:rsid w:val="003E7CD1"/>
    <w:rsid w:val="004015AB"/>
    <w:rsid w:val="00402B9E"/>
    <w:rsid w:val="00423932"/>
    <w:rsid w:val="004249CB"/>
    <w:rsid w:val="0044127D"/>
    <w:rsid w:val="004448DB"/>
    <w:rsid w:val="00446C9A"/>
    <w:rsid w:val="00477193"/>
    <w:rsid w:val="004A1848"/>
    <w:rsid w:val="004A295E"/>
    <w:rsid w:val="004E46F3"/>
    <w:rsid w:val="00507FEC"/>
    <w:rsid w:val="00510F0E"/>
    <w:rsid w:val="00531B01"/>
    <w:rsid w:val="005479E1"/>
    <w:rsid w:val="005570FD"/>
    <w:rsid w:val="005575EA"/>
    <w:rsid w:val="0057790C"/>
    <w:rsid w:val="00587ACB"/>
    <w:rsid w:val="00593795"/>
    <w:rsid w:val="005A75FF"/>
    <w:rsid w:val="005B7789"/>
    <w:rsid w:val="005F34DF"/>
    <w:rsid w:val="005F7DB4"/>
    <w:rsid w:val="0065791C"/>
    <w:rsid w:val="00690B8A"/>
    <w:rsid w:val="00696ECF"/>
    <w:rsid w:val="006D1DFA"/>
    <w:rsid w:val="006D506B"/>
    <w:rsid w:val="006D7708"/>
    <w:rsid w:val="006E3C90"/>
    <w:rsid w:val="006F29AA"/>
    <w:rsid w:val="00704B61"/>
    <w:rsid w:val="00707DB1"/>
    <w:rsid w:val="00721195"/>
    <w:rsid w:val="007353BB"/>
    <w:rsid w:val="00742A8D"/>
    <w:rsid w:val="00752359"/>
    <w:rsid w:val="007552A9"/>
    <w:rsid w:val="00761858"/>
    <w:rsid w:val="007642AF"/>
    <w:rsid w:val="00767D59"/>
    <w:rsid w:val="00776E97"/>
    <w:rsid w:val="00780FD7"/>
    <w:rsid w:val="007912AD"/>
    <w:rsid w:val="00796715"/>
    <w:rsid w:val="007A1F28"/>
    <w:rsid w:val="007B0824"/>
    <w:rsid w:val="007C0CD9"/>
    <w:rsid w:val="008157CA"/>
    <w:rsid w:val="008303B8"/>
    <w:rsid w:val="00833DCE"/>
    <w:rsid w:val="00842418"/>
    <w:rsid w:val="008634DB"/>
    <w:rsid w:val="00871D34"/>
    <w:rsid w:val="00876EBD"/>
    <w:rsid w:val="008778F9"/>
    <w:rsid w:val="00887842"/>
    <w:rsid w:val="008901DD"/>
    <w:rsid w:val="008B270C"/>
    <w:rsid w:val="008C3D3D"/>
    <w:rsid w:val="008D1177"/>
    <w:rsid w:val="008D4131"/>
    <w:rsid w:val="008F1932"/>
    <w:rsid w:val="008F294D"/>
    <w:rsid w:val="009062A3"/>
    <w:rsid w:val="00921062"/>
    <w:rsid w:val="0092618D"/>
    <w:rsid w:val="0093083E"/>
    <w:rsid w:val="009453B3"/>
    <w:rsid w:val="00966ECF"/>
    <w:rsid w:val="009727A3"/>
    <w:rsid w:val="00987774"/>
    <w:rsid w:val="009A11E8"/>
    <w:rsid w:val="009A1ED5"/>
    <w:rsid w:val="009E4E62"/>
    <w:rsid w:val="009F5220"/>
    <w:rsid w:val="009F7C4D"/>
    <w:rsid w:val="00A15234"/>
    <w:rsid w:val="00A201AB"/>
    <w:rsid w:val="00A31C8B"/>
    <w:rsid w:val="00A73B50"/>
    <w:rsid w:val="00A75965"/>
    <w:rsid w:val="00A80E1F"/>
    <w:rsid w:val="00A845DC"/>
    <w:rsid w:val="00A97AEE"/>
    <w:rsid w:val="00AC5CF6"/>
    <w:rsid w:val="00AF480E"/>
    <w:rsid w:val="00B144FA"/>
    <w:rsid w:val="00B16F58"/>
    <w:rsid w:val="00B30648"/>
    <w:rsid w:val="00B337AA"/>
    <w:rsid w:val="00B3524D"/>
    <w:rsid w:val="00B40F69"/>
    <w:rsid w:val="00B4659E"/>
    <w:rsid w:val="00B46616"/>
    <w:rsid w:val="00B610E3"/>
    <w:rsid w:val="00B61205"/>
    <w:rsid w:val="00B617C4"/>
    <w:rsid w:val="00B626FA"/>
    <w:rsid w:val="00B637B9"/>
    <w:rsid w:val="00B7040A"/>
    <w:rsid w:val="00B929D9"/>
    <w:rsid w:val="00B96FA0"/>
    <w:rsid w:val="00BD4196"/>
    <w:rsid w:val="00BE31CE"/>
    <w:rsid w:val="00BF22CA"/>
    <w:rsid w:val="00C26032"/>
    <w:rsid w:val="00C265B0"/>
    <w:rsid w:val="00C321B5"/>
    <w:rsid w:val="00C345E1"/>
    <w:rsid w:val="00C34960"/>
    <w:rsid w:val="00C63AEA"/>
    <w:rsid w:val="00C977BA"/>
    <w:rsid w:val="00CA040E"/>
    <w:rsid w:val="00CB6E35"/>
    <w:rsid w:val="00CE1A46"/>
    <w:rsid w:val="00CE26B2"/>
    <w:rsid w:val="00CF253F"/>
    <w:rsid w:val="00CF56B4"/>
    <w:rsid w:val="00D20F09"/>
    <w:rsid w:val="00D22636"/>
    <w:rsid w:val="00D36788"/>
    <w:rsid w:val="00D40FD9"/>
    <w:rsid w:val="00D45764"/>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33819"/>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6403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4602</Characters>
  <Application>Microsoft Office Word</Application>
  <DocSecurity>0</DocSecurity>
  <Lines>38</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2018-10-08T15:22:00Z</dcterms:created>
  <dcterms:modified xsi:type="dcterms:W3CDTF">2018-10-08T15:22:00Z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