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58C" w:rsidRDefault="00A83B9E" w:rsidP="00EC458C">
      <w:pPr>
        <w:rPr>
          <w:rFonts w:ascii="Book Antiqua" w:hAnsi="Book Antiqua" w:cs="Arial"/>
          <w:sz w:val="16"/>
          <w:szCs w:val="16"/>
        </w:rPr>
      </w:pPr>
      <w:r>
        <w:rPr>
          <w:noProof/>
        </w:rPr>
        <w:drawing>
          <wp:anchor distT="0" distB="0" distL="114300" distR="114300" simplePos="0" relativeHeight="251656704" behindDoc="0" locked="0" layoutInCell="1" allowOverlap="1">
            <wp:simplePos x="0" y="0"/>
            <wp:positionH relativeFrom="column">
              <wp:posOffset>2343150</wp:posOffset>
            </wp:positionH>
            <wp:positionV relativeFrom="paragraph">
              <wp:posOffset>0</wp:posOffset>
            </wp:positionV>
            <wp:extent cx="1047750" cy="904875"/>
            <wp:effectExtent l="0" t="0" r="0"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458C" w:rsidRPr="00F5664C" w:rsidRDefault="00EC458C" w:rsidP="00EC458C">
      <w:pPr>
        <w:rPr>
          <w:rFonts w:ascii="Book Antiqua" w:hAnsi="Book Antiqua" w:cs="Arial"/>
          <w:sz w:val="16"/>
          <w:szCs w:val="16"/>
        </w:rPr>
      </w:pPr>
    </w:p>
    <w:p w:rsidR="00EC458C" w:rsidRPr="00F5664C" w:rsidRDefault="00EC458C" w:rsidP="00EC458C">
      <w:pPr>
        <w:rPr>
          <w:rFonts w:ascii="Book Antiqua" w:hAnsi="Book Antiqua" w:cs="Arial"/>
        </w:rPr>
      </w:pPr>
    </w:p>
    <w:p w:rsidR="00EC458C" w:rsidRPr="00F5664C" w:rsidRDefault="00EC458C" w:rsidP="00EC458C">
      <w:pPr>
        <w:tabs>
          <w:tab w:val="right" w:pos="9639"/>
        </w:tabs>
        <w:rPr>
          <w:rFonts w:ascii="Book Antiqua" w:hAnsi="Book Antiqua" w:cs="Arial"/>
          <w:b/>
        </w:rPr>
      </w:pPr>
      <w:r>
        <w:rPr>
          <w:rFonts w:ascii="Book Antiqua" w:hAnsi="Book Antiqua" w:cs="Arial"/>
          <w:b/>
        </w:rPr>
        <w:t>Upper Tribunal</w:t>
      </w:r>
    </w:p>
    <w:p w:rsidR="00EC458C" w:rsidRPr="00D2022F" w:rsidRDefault="00EC458C" w:rsidP="00EC458C">
      <w:pPr>
        <w:tabs>
          <w:tab w:val="right" w:pos="9639"/>
        </w:tabs>
        <w:rPr>
          <w:rFonts w:ascii="Book Antiqua" w:hAnsi="Book Antiqua" w:cs="Arial"/>
          <w:caps/>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Appeal Number:</w:t>
      </w:r>
      <w:r>
        <w:rPr>
          <w:rFonts w:ascii="Book Antiqua" w:hAnsi="Book Antiqua" w:cs="Arial"/>
        </w:rPr>
        <w:t xml:space="preserve"> </w:t>
      </w:r>
      <w:bookmarkStart w:id="0" w:name="_Hlk516830510"/>
      <w:bookmarkStart w:id="1" w:name="_GoBack"/>
      <w:r>
        <w:rPr>
          <w:rFonts w:ascii="Book Antiqua" w:hAnsi="Book Antiqua" w:cs="Arial"/>
        </w:rPr>
        <w:t>EA</w:t>
      </w:r>
      <w:r>
        <w:rPr>
          <w:rFonts w:ascii="Book Antiqua" w:hAnsi="Book Antiqua" w:cs="Arial"/>
          <w:caps/>
        </w:rPr>
        <w:t>/09142/2016</w:t>
      </w:r>
      <w:bookmarkEnd w:id="0"/>
      <w:bookmarkEnd w:id="1"/>
    </w:p>
    <w:p w:rsidR="00EC458C" w:rsidRPr="00A77B1C" w:rsidRDefault="00EC458C" w:rsidP="00EC458C">
      <w:pPr>
        <w:jc w:val="center"/>
        <w:rPr>
          <w:rFonts w:ascii="Book Antiqua" w:hAnsi="Book Antiqua" w:cs="Arial"/>
          <w:b/>
          <w:u w:val="single"/>
        </w:rPr>
      </w:pPr>
      <w:r>
        <w:rPr>
          <w:rFonts w:ascii="Book Antiqua" w:hAnsi="Book Antiqua" w:cs="Arial"/>
          <w:b/>
          <w:u w:val="single"/>
        </w:rPr>
        <w:t>THE IMMIGRATION ACT</w:t>
      </w:r>
    </w:p>
    <w:tbl>
      <w:tblPr>
        <w:tblW w:w="10008" w:type="dxa"/>
        <w:tblLook w:val="01E0" w:firstRow="1" w:lastRow="1" w:firstColumn="1" w:lastColumn="1" w:noHBand="0" w:noVBand="0"/>
      </w:tblPr>
      <w:tblGrid>
        <w:gridCol w:w="4928"/>
        <w:gridCol w:w="1120"/>
        <w:gridCol w:w="3960"/>
      </w:tblGrid>
      <w:tr w:rsidR="00EC458C" w:rsidRPr="001217A1" w:rsidTr="006022D7">
        <w:tc>
          <w:tcPr>
            <w:tcW w:w="4928" w:type="dxa"/>
            <w:shd w:val="clear" w:color="auto" w:fill="auto"/>
          </w:tcPr>
          <w:p w:rsidR="00EC458C" w:rsidRPr="001217A1" w:rsidRDefault="00EC458C" w:rsidP="001D5AB7">
            <w:pPr>
              <w:jc w:val="both"/>
              <w:rPr>
                <w:rFonts w:ascii="Book Antiqua" w:hAnsi="Book Antiqua" w:cs="Arial"/>
                <w:b/>
              </w:rPr>
            </w:pPr>
            <w:r w:rsidRPr="001217A1">
              <w:rPr>
                <w:rFonts w:ascii="Book Antiqua" w:hAnsi="Book Antiqua" w:cs="Arial"/>
                <w:b/>
              </w:rPr>
              <w:t xml:space="preserve">Heard at </w:t>
            </w:r>
            <w:r>
              <w:rPr>
                <w:rFonts w:ascii="Book Antiqua" w:hAnsi="Book Antiqua" w:cs="Arial"/>
                <w:b/>
              </w:rPr>
              <w:t xml:space="preserve">Field House </w:t>
            </w:r>
          </w:p>
        </w:tc>
        <w:tc>
          <w:tcPr>
            <w:tcW w:w="5080" w:type="dxa"/>
            <w:gridSpan w:val="2"/>
            <w:shd w:val="clear" w:color="auto" w:fill="auto"/>
          </w:tcPr>
          <w:p w:rsidR="00EC458C" w:rsidRPr="001217A1" w:rsidRDefault="00EC458C" w:rsidP="001D5AB7">
            <w:pPr>
              <w:jc w:val="both"/>
              <w:rPr>
                <w:rFonts w:ascii="Book Antiqua" w:hAnsi="Book Antiqua" w:cs="Arial"/>
                <w:b/>
              </w:rPr>
            </w:pPr>
            <w:r w:rsidRPr="001217A1">
              <w:rPr>
                <w:rFonts w:ascii="Book Antiqua" w:hAnsi="Book Antiqua" w:cs="Arial"/>
                <w:b/>
              </w:rPr>
              <w:t>Decision &amp; Reasons Promulgated</w:t>
            </w:r>
          </w:p>
        </w:tc>
      </w:tr>
      <w:tr w:rsidR="00EC458C" w:rsidRPr="001217A1" w:rsidTr="006022D7">
        <w:tc>
          <w:tcPr>
            <w:tcW w:w="4928" w:type="dxa"/>
            <w:shd w:val="clear" w:color="auto" w:fill="auto"/>
          </w:tcPr>
          <w:p w:rsidR="00EC458C" w:rsidRPr="001217A1" w:rsidRDefault="00EC458C" w:rsidP="001D5AB7">
            <w:pPr>
              <w:jc w:val="both"/>
              <w:rPr>
                <w:rFonts w:ascii="Book Antiqua" w:hAnsi="Book Antiqua" w:cs="Arial"/>
                <w:b/>
              </w:rPr>
            </w:pPr>
            <w:r w:rsidRPr="001217A1">
              <w:rPr>
                <w:rFonts w:ascii="Book Antiqua" w:hAnsi="Book Antiqua" w:cs="Arial"/>
                <w:b/>
              </w:rPr>
              <w:t xml:space="preserve">On </w:t>
            </w:r>
            <w:r>
              <w:rPr>
                <w:rFonts w:ascii="Book Antiqua" w:hAnsi="Book Antiqua" w:cs="Arial"/>
                <w:b/>
              </w:rPr>
              <w:t>13</w:t>
            </w:r>
            <w:r w:rsidRPr="00D2022F">
              <w:rPr>
                <w:rFonts w:ascii="Book Antiqua" w:hAnsi="Book Antiqua" w:cs="Arial"/>
                <w:b/>
                <w:vertAlign w:val="superscript"/>
              </w:rPr>
              <w:t>th</w:t>
            </w:r>
            <w:r>
              <w:rPr>
                <w:rFonts w:ascii="Book Antiqua" w:hAnsi="Book Antiqua" w:cs="Arial"/>
                <w:b/>
              </w:rPr>
              <w:t xml:space="preserve"> June 2018</w:t>
            </w:r>
          </w:p>
        </w:tc>
        <w:tc>
          <w:tcPr>
            <w:tcW w:w="5080" w:type="dxa"/>
            <w:gridSpan w:val="2"/>
            <w:shd w:val="clear" w:color="auto" w:fill="auto"/>
          </w:tcPr>
          <w:p w:rsidR="00EC458C" w:rsidRPr="001217A1" w:rsidRDefault="006022D7" w:rsidP="001D5AB7">
            <w:pPr>
              <w:jc w:val="both"/>
              <w:rPr>
                <w:rFonts w:ascii="Book Antiqua" w:hAnsi="Book Antiqua" w:cs="Arial"/>
                <w:b/>
              </w:rPr>
            </w:pPr>
            <w:r>
              <w:rPr>
                <w:rFonts w:ascii="Book Antiqua" w:hAnsi="Book Antiqua" w:cs="Arial"/>
                <w:b/>
              </w:rPr>
              <w:t>On 19</w:t>
            </w:r>
            <w:r w:rsidRPr="006022D7">
              <w:rPr>
                <w:rFonts w:ascii="Book Antiqua" w:hAnsi="Book Antiqua" w:cs="Arial"/>
                <w:b/>
                <w:vertAlign w:val="superscript"/>
              </w:rPr>
              <w:t>th</w:t>
            </w:r>
            <w:r>
              <w:rPr>
                <w:rFonts w:ascii="Book Antiqua" w:hAnsi="Book Antiqua" w:cs="Arial"/>
                <w:b/>
              </w:rPr>
              <w:t xml:space="preserve"> June 2018 </w:t>
            </w:r>
          </w:p>
        </w:tc>
      </w:tr>
      <w:tr w:rsidR="00EC458C" w:rsidRPr="001217A1" w:rsidTr="006022D7">
        <w:tc>
          <w:tcPr>
            <w:tcW w:w="6048" w:type="dxa"/>
            <w:gridSpan w:val="2"/>
            <w:shd w:val="clear" w:color="auto" w:fill="auto"/>
          </w:tcPr>
          <w:p w:rsidR="00EC458C" w:rsidRPr="001217A1" w:rsidRDefault="00EC458C" w:rsidP="001D5AB7">
            <w:pPr>
              <w:jc w:val="both"/>
              <w:rPr>
                <w:rFonts w:ascii="Book Antiqua" w:hAnsi="Book Antiqua" w:cs="Arial"/>
                <w:b/>
              </w:rPr>
            </w:pPr>
          </w:p>
        </w:tc>
        <w:tc>
          <w:tcPr>
            <w:tcW w:w="3960" w:type="dxa"/>
            <w:shd w:val="clear" w:color="auto" w:fill="auto"/>
          </w:tcPr>
          <w:p w:rsidR="00EC458C" w:rsidRPr="001217A1" w:rsidRDefault="00EC458C" w:rsidP="001D5AB7">
            <w:pPr>
              <w:jc w:val="both"/>
              <w:rPr>
                <w:rFonts w:ascii="Book Antiqua" w:hAnsi="Book Antiqua" w:cs="Arial"/>
                <w:b/>
              </w:rPr>
            </w:pPr>
          </w:p>
        </w:tc>
      </w:tr>
    </w:tbl>
    <w:p w:rsidR="00EC458C" w:rsidRPr="00F5664C" w:rsidRDefault="00EC458C" w:rsidP="00EC458C">
      <w:pPr>
        <w:jc w:val="center"/>
        <w:rPr>
          <w:rFonts w:ascii="Book Antiqua" w:hAnsi="Book Antiqua" w:cs="Arial"/>
        </w:rPr>
      </w:pPr>
    </w:p>
    <w:p w:rsidR="00EC458C" w:rsidRPr="00F5664C" w:rsidRDefault="00EC458C" w:rsidP="00EC458C">
      <w:pPr>
        <w:jc w:val="center"/>
        <w:rPr>
          <w:rFonts w:ascii="Book Antiqua" w:hAnsi="Book Antiqua" w:cs="Arial"/>
          <w:b/>
        </w:rPr>
      </w:pPr>
      <w:r>
        <w:rPr>
          <w:rFonts w:ascii="Book Antiqua" w:hAnsi="Book Antiqua" w:cs="Arial"/>
          <w:b/>
        </w:rPr>
        <w:t>Before</w:t>
      </w:r>
    </w:p>
    <w:p w:rsidR="00EC458C" w:rsidRPr="00F5664C" w:rsidRDefault="00EC458C" w:rsidP="00EC458C">
      <w:pPr>
        <w:jc w:val="center"/>
        <w:rPr>
          <w:rFonts w:ascii="Book Antiqua" w:hAnsi="Book Antiqua" w:cs="Arial"/>
          <w:b/>
        </w:rPr>
      </w:pPr>
      <w:r>
        <w:rPr>
          <w:rFonts w:ascii="Book Antiqua" w:hAnsi="Book Antiqua" w:cs="Arial"/>
          <w:b/>
        </w:rPr>
        <w:t>DEPUTY UPPER TRIBUNAL JUDGE MCCLURE</w:t>
      </w:r>
    </w:p>
    <w:p w:rsidR="00EC458C" w:rsidRDefault="00EC458C" w:rsidP="00EC458C">
      <w:pPr>
        <w:jc w:val="center"/>
        <w:rPr>
          <w:rFonts w:ascii="Book Antiqua" w:hAnsi="Book Antiqua" w:cs="Arial"/>
          <w:b/>
        </w:rPr>
      </w:pPr>
      <w:r>
        <w:rPr>
          <w:rFonts w:ascii="Book Antiqua" w:hAnsi="Book Antiqua" w:cs="Arial"/>
          <w:b/>
        </w:rPr>
        <w:t>Between</w:t>
      </w:r>
    </w:p>
    <w:p w:rsidR="00EC458C" w:rsidRDefault="00EC458C" w:rsidP="00EC458C">
      <w:pPr>
        <w:jc w:val="center"/>
        <w:rPr>
          <w:rFonts w:ascii="Book Antiqua" w:hAnsi="Book Antiqua" w:cs="Arial"/>
          <w:b/>
        </w:rPr>
      </w:pPr>
      <w:r>
        <w:rPr>
          <w:rFonts w:ascii="Book Antiqua" w:hAnsi="Book Antiqua" w:cs="Arial"/>
          <w:b/>
        </w:rPr>
        <w:t>TA</w:t>
      </w:r>
    </w:p>
    <w:p w:rsidR="00EC458C" w:rsidRDefault="00EC458C" w:rsidP="00EC458C">
      <w:pPr>
        <w:jc w:val="center"/>
        <w:rPr>
          <w:rFonts w:ascii="Book Antiqua" w:hAnsi="Book Antiqua" w:cs="Arial"/>
          <w:b/>
        </w:rPr>
      </w:pPr>
      <w:r>
        <w:rPr>
          <w:rFonts w:ascii="Book Antiqua" w:hAnsi="Book Antiqua" w:cs="Arial"/>
          <w:b/>
        </w:rPr>
        <w:t xml:space="preserve">(ANONYMITY DIRECTION MADE) </w:t>
      </w:r>
    </w:p>
    <w:p w:rsidR="00EC458C" w:rsidRPr="00A77B1C" w:rsidRDefault="00EC458C" w:rsidP="00EC458C">
      <w:pPr>
        <w:jc w:val="right"/>
        <w:rPr>
          <w:rFonts w:ascii="Book Antiqua" w:hAnsi="Book Antiqua" w:cs="Arial"/>
          <w:u w:val="single"/>
        </w:rPr>
      </w:pPr>
      <w:r>
        <w:rPr>
          <w:rFonts w:ascii="Book Antiqua" w:hAnsi="Book Antiqua" w:cs="Arial"/>
          <w:u w:val="single"/>
        </w:rPr>
        <w:t>Appellant</w:t>
      </w:r>
    </w:p>
    <w:p w:rsidR="00EC458C" w:rsidRDefault="00EC458C" w:rsidP="00EC458C">
      <w:pPr>
        <w:jc w:val="center"/>
        <w:rPr>
          <w:rFonts w:ascii="Book Antiqua" w:hAnsi="Book Antiqua" w:cs="Arial"/>
          <w:b/>
        </w:rPr>
      </w:pPr>
      <w:r>
        <w:rPr>
          <w:rFonts w:ascii="Book Antiqua" w:hAnsi="Book Antiqua" w:cs="Arial"/>
          <w:b/>
        </w:rPr>
        <w:t>And</w:t>
      </w:r>
    </w:p>
    <w:p w:rsidR="00EC458C" w:rsidRPr="00F5664C" w:rsidRDefault="00EC458C" w:rsidP="00EC458C">
      <w:pPr>
        <w:jc w:val="center"/>
        <w:rPr>
          <w:rFonts w:ascii="Book Antiqua" w:hAnsi="Book Antiqua" w:cs="Arial"/>
          <w:b/>
          <w:caps/>
        </w:rPr>
      </w:pPr>
      <w:r>
        <w:rPr>
          <w:rFonts w:ascii="Book Antiqua" w:hAnsi="Book Antiqua" w:cs="Arial"/>
          <w:b/>
        </w:rPr>
        <w:t>THE SECRETARY OF STATE FOR THE HOME DEPARTMENT</w:t>
      </w:r>
    </w:p>
    <w:p w:rsidR="00EC458C" w:rsidRPr="00F5664C" w:rsidRDefault="00EC458C" w:rsidP="00EC458C">
      <w:pPr>
        <w:jc w:val="right"/>
        <w:rPr>
          <w:rFonts w:ascii="Book Antiqua" w:hAnsi="Book Antiqua" w:cs="Arial"/>
          <w:u w:val="single"/>
        </w:rPr>
      </w:pPr>
      <w:r>
        <w:rPr>
          <w:rFonts w:ascii="Book Antiqua" w:hAnsi="Book Antiqua" w:cs="Arial"/>
          <w:u w:val="single"/>
        </w:rPr>
        <w:t>Respondent</w:t>
      </w:r>
    </w:p>
    <w:p w:rsidR="00EC458C" w:rsidRPr="00F5664C" w:rsidRDefault="00EC458C" w:rsidP="00EC458C">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EC458C" w:rsidRDefault="00EC458C" w:rsidP="00EC458C">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Pr>
          <w:rFonts w:ascii="Book Antiqua" w:hAnsi="Book Antiqua" w:cs="Arial"/>
        </w:rPr>
        <w:t xml:space="preserve">The appellant appeared in person </w:t>
      </w:r>
    </w:p>
    <w:p w:rsidR="00EC458C" w:rsidRPr="00F5664C" w:rsidRDefault="00EC458C" w:rsidP="00EC458C">
      <w:pPr>
        <w:tabs>
          <w:tab w:val="left" w:pos="2520"/>
        </w:tabs>
        <w:rPr>
          <w:rFonts w:ascii="Book Antiqua" w:hAnsi="Book Antiqua" w:cs="Arial"/>
        </w:rPr>
      </w:pPr>
      <w:r>
        <w:rPr>
          <w:rFonts w:ascii="Book Antiqua" w:hAnsi="Book Antiqua" w:cs="Arial"/>
        </w:rPr>
        <w:t xml:space="preserve">For the </w:t>
      </w:r>
      <w:proofErr w:type="gramStart"/>
      <w:r>
        <w:rPr>
          <w:rFonts w:ascii="Book Antiqua" w:hAnsi="Book Antiqua" w:cs="Arial"/>
        </w:rPr>
        <w:t>Respondent :</w:t>
      </w:r>
      <w:proofErr w:type="gramEnd"/>
      <w:r>
        <w:rPr>
          <w:rFonts w:ascii="Book Antiqua" w:hAnsi="Book Antiqua" w:cs="Arial"/>
        </w:rPr>
        <w:tab/>
        <w:t xml:space="preserve">Mr </w:t>
      </w:r>
      <w:proofErr w:type="spellStart"/>
      <w:r>
        <w:rPr>
          <w:rFonts w:ascii="Book Antiqua" w:hAnsi="Book Antiqua" w:cs="Arial"/>
        </w:rPr>
        <w:t>Tarlow</w:t>
      </w:r>
      <w:proofErr w:type="spellEnd"/>
      <w:r>
        <w:rPr>
          <w:rFonts w:ascii="Book Antiqua" w:hAnsi="Book Antiqua" w:cs="Arial"/>
        </w:rPr>
        <w:t xml:space="preserve">  Senior Home Officer Presenting Officer </w:t>
      </w:r>
    </w:p>
    <w:p w:rsidR="00EC458C" w:rsidRPr="00F5664C" w:rsidRDefault="00EC458C" w:rsidP="00EC458C">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EC458C" w:rsidRDefault="00EC458C" w:rsidP="00EC458C">
      <w:pPr>
        <w:numPr>
          <w:ilvl w:val="0"/>
          <w:numId w:val="1"/>
        </w:numPr>
        <w:spacing w:before="240" w:after="0" w:line="240" w:lineRule="auto"/>
        <w:jc w:val="both"/>
        <w:rPr>
          <w:rFonts w:ascii="Book Antiqua" w:hAnsi="Book Antiqua" w:cs="Arial"/>
        </w:rPr>
      </w:pPr>
      <w:r>
        <w:rPr>
          <w:rFonts w:ascii="Book Antiqua" w:hAnsi="Book Antiqua" w:cs="Arial"/>
        </w:rPr>
        <w:t>This is an appeal by the Appellants against the decision of First-tier Tribunal Judge G Clarke promulgated on the 10</w:t>
      </w:r>
      <w:r w:rsidRPr="00D2022F">
        <w:rPr>
          <w:rFonts w:ascii="Book Antiqua" w:hAnsi="Book Antiqua" w:cs="Arial"/>
          <w:vertAlign w:val="superscript"/>
        </w:rPr>
        <w:t>th</w:t>
      </w:r>
      <w:r>
        <w:rPr>
          <w:rFonts w:ascii="Book Antiqua" w:hAnsi="Book Antiqua" w:cs="Arial"/>
        </w:rPr>
        <w:t xml:space="preserve"> January 2018 whereby the judge dismissed the appellant’s appeal against the decision of the respondent to refuse the appellant’s application for a derivative residence card. </w:t>
      </w:r>
    </w:p>
    <w:p w:rsidR="00EC458C" w:rsidRDefault="00EC458C" w:rsidP="00EC458C">
      <w:pPr>
        <w:numPr>
          <w:ilvl w:val="0"/>
          <w:numId w:val="1"/>
        </w:numPr>
        <w:spacing w:before="240" w:after="0" w:line="240" w:lineRule="auto"/>
        <w:jc w:val="both"/>
        <w:rPr>
          <w:rFonts w:ascii="Book Antiqua" w:hAnsi="Book Antiqua" w:cs="Arial"/>
        </w:rPr>
      </w:pPr>
      <w:r w:rsidRPr="00441B37">
        <w:rPr>
          <w:rFonts w:ascii="Book Antiqua" w:hAnsi="Book Antiqua" w:cs="Arial"/>
        </w:rPr>
        <w:t xml:space="preserve">I have considered whether or not it is appropriate to make an anonymity direction. As concern the status and rights of a child, </w:t>
      </w:r>
      <w:r>
        <w:rPr>
          <w:rFonts w:ascii="Book Antiqua" w:hAnsi="Book Antiqua" w:cs="Arial"/>
        </w:rPr>
        <w:t>it is appropriate to make an anonymity direction.</w:t>
      </w:r>
    </w:p>
    <w:p w:rsidR="00EC458C" w:rsidRPr="00441B37" w:rsidRDefault="00EC458C" w:rsidP="00EC458C">
      <w:pPr>
        <w:numPr>
          <w:ilvl w:val="0"/>
          <w:numId w:val="1"/>
        </w:numPr>
        <w:spacing w:before="240" w:after="0" w:line="240" w:lineRule="auto"/>
        <w:jc w:val="both"/>
        <w:rPr>
          <w:rFonts w:ascii="Book Antiqua" w:hAnsi="Book Antiqua" w:cs="Arial"/>
        </w:rPr>
      </w:pPr>
      <w:r w:rsidRPr="00441B37">
        <w:rPr>
          <w:rFonts w:ascii="Book Antiqua" w:hAnsi="Book Antiqua" w:cs="Arial"/>
        </w:rPr>
        <w:t>Leave to appeal to the Upper Tribunal was granted by First-tier Tribunal Judge PJM Hollingworth 12</w:t>
      </w:r>
      <w:r w:rsidRPr="00D2022F">
        <w:rPr>
          <w:rFonts w:ascii="Book Antiqua" w:hAnsi="Book Antiqua" w:cs="Arial"/>
          <w:vertAlign w:val="superscript"/>
        </w:rPr>
        <w:t>th</w:t>
      </w:r>
      <w:r w:rsidRPr="00441B37">
        <w:rPr>
          <w:rFonts w:ascii="Book Antiqua" w:hAnsi="Book Antiqua" w:cs="Arial"/>
        </w:rPr>
        <w:t xml:space="preserve"> April 2018. </w:t>
      </w:r>
      <w:proofErr w:type="gramStart"/>
      <w:r w:rsidRPr="00441B37">
        <w:rPr>
          <w:rFonts w:ascii="Book Antiqua" w:hAnsi="Book Antiqua" w:cs="Arial"/>
        </w:rPr>
        <w:t>Thus</w:t>
      </w:r>
      <w:proofErr w:type="gramEnd"/>
      <w:r w:rsidRPr="00441B37">
        <w:rPr>
          <w:rFonts w:ascii="Book Antiqua" w:hAnsi="Book Antiqua" w:cs="Arial"/>
        </w:rPr>
        <w:t xml:space="preserve"> the case appeared before me to determine whether or not there was a material error of law in the decision. </w:t>
      </w:r>
    </w:p>
    <w:p w:rsidR="00EC458C" w:rsidRDefault="00EC458C" w:rsidP="00EC458C">
      <w:pPr>
        <w:numPr>
          <w:ilvl w:val="0"/>
          <w:numId w:val="1"/>
        </w:numPr>
        <w:spacing w:before="240" w:after="0" w:line="240" w:lineRule="auto"/>
        <w:jc w:val="both"/>
        <w:rPr>
          <w:rFonts w:ascii="Book Antiqua" w:hAnsi="Book Antiqua" w:cs="Arial"/>
        </w:rPr>
      </w:pPr>
      <w:r>
        <w:rPr>
          <w:rFonts w:ascii="Book Antiqua" w:hAnsi="Book Antiqua" w:cs="Arial"/>
        </w:rPr>
        <w:lastRenderedPageBreak/>
        <w:t xml:space="preserve">In essence the appellant’s case is that he attended at the hearing centre at Hatton Cross and had been told to wait. Thereafter his appeal appears to have been called on without the appellant being told that it was to be dealt with by the judge. The judge dealt with the appeal on the basis of the papers lodged in the mistaken belief that the appellant had not attended. </w:t>
      </w:r>
    </w:p>
    <w:p w:rsidR="00EC458C" w:rsidRDefault="00EC458C" w:rsidP="00EC458C">
      <w:pPr>
        <w:numPr>
          <w:ilvl w:val="0"/>
          <w:numId w:val="1"/>
        </w:numPr>
        <w:spacing w:before="240" w:after="0" w:line="240" w:lineRule="auto"/>
        <w:jc w:val="both"/>
        <w:rPr>
          <w:rFonts w:ascii="Book Antiqua" w:hAnsi="Book Antiqua" w:cs="Arial"/>
        </w:rPr>
      </w:pPr>
      <w:r>
        <w:rPr>
          <w:rFonts w:ascii="Book Antiqua" w:hAnsi="Book Antiqua" w:cs="Arial"/>
        </w:rPr>
        <w:t>I would note that the appellant was seeking a derivative residence card. In effect the application for a derivative residence card was on the basis that the appellant was the primary carer of a British citizen child, who was present in the United Kingdom. The derivative right is based on the case of Ruiz Zambrano (C-34/09), which was given effect in the regulations under regulation 15 A of the Immigration (European Economic Area) Regulations 2006 (as amended) [regulation 16 of the 2016 Regulations. Whilst this appeal is under the 2006 regulations, there is no practical difference between the provisions].</w:t>
      </w:r>
    </w:p>
    <w:p w:rsidR="00EC458C" w:rsidRDefault="00EC458C" w:rsidP="00EC458C">
      <w:pPr>
        <w:numPr>
          <w:ilvl w:val="0"/>
          <w:numId w:val="1"/>
        </w:numPr>
        <w:spacing w:before="240" w:after="0" w:line="240" w:lineRule="auto"/>
        <w:jc w:val="both"/>
        <w:rPr>
          <w:rFonts w:ascii="Book Antiqua" w:hAnsi="Book Antiqua" w:cs="Arial"/>
        </w:rPr>
      </w:pPr>
      <w:r>
        <w:rPr>
          <w:rFonts w:ascii="Book Antiqua" w:hAnsi="Book Antiqua" w:cs="Arial"/>
        </w:rPr>
        <w:t xml:space="preserve">The relevant provisions of Regulation 15 A provide: – </w:t>
      </w:r>
    </w:p>
    <w:p w:rsidR="00EC458C" w:rsidRDefault="00EC458C" w:rsidP="00EC458C">
      <w:pPr>
        <w:spacing w:before="240" w:after="0" w:line="240" w:lineRule="auto"/>
        <w:ind w:left="567"/>
        <w:jc w:val="both"/>
        <w:rPr>
          <w:rFonts w:ascii="Book Antiqua" w:hAnsi="Book Antiqua" w:cs="Arial"/>
          <w:i/>
        </w:rPr>
      </w:pPr>
      <w:r>
        <w:rPr>
          <w:rFonts w:ascii="Book Antiqua" w:hAnsi="Book Antiqua" w:cs="Arial"/>
          <w:i/>
        </w:rPr>
        <w:t>15A A Derivative Right of Residence</w:t>
      </w:r>
    </w:p>
    <w:p w:rsidR="00EC458C" w:rsidRDefault="00EC458C" w:rsidP="00EC458C">
      <w:pPr>
        <w:spacing w:before="240" w:after="0" w:line="240" w:lineRule="auto"/>
        <w:ind w:left="567"/>
        <w:jc w:val="both"/>
        <w:rPr>
          <w:rFonts w:ascii="Book Antiqua" w:hAnsi="Book Antiqua" w:cs="Arial"/>
          <w:i/>
        </w:rPr>
      </w:pPr>
      <w:r>
        <w:rPr>
          <w:rFonts w:ascii="Book Antiqua" w:hAnsi="Book Antiqua" w:cs="Arial"/>
          <w:i/>
        </w:rPr>
        <w:t xml:space="preserve">1) A person (‘P’) who is not an exempt person and who satisfies the criteria in </w:t>
      </w:r>
      <w:proofErr w:type="gramStart"/>
      <w:r>
        <w:rPr>
          <w:rFonts w:ascii="Book Antiqua" w:hAnsi="Book Antiqua" w:cs="Arial"/>
          <w:i/>
        </w:rPr>
        <w:t>paragraph..</w:t>
      </w:r>
      <w:proofErr w:type="gramEnd"/>
      <w:r>
        <w:rPr>
          <w:rFonts w:ascii="Book Antiqua" w:hAnsi="Book Antiqua" w:cs="Arial"/>
          <w:i/>
        </w:rPr>
        <w:t xml:space="preserve"> (4A), (5) of this regulation is entitled to a derivative right of residence in the United Kingdom for as long as P satisfies the relevant criteria.</w:t>
      </w:r>
    </w:p>
    <w:p w:rsidR="00EC458C" w:rsidRDefault="00EC458C" w:rsidP="00EC458C">
      <w:pPr>
        <w:spacing w:before="240" w:after="0" w:line="240" w:lineRule="auto"/>
        <w:ind w:left="567"/>
        <w:jc w:val="both"/>
        <w:rPr>
          <w:rFonts w:ascii="Book Antiqua" w:hAnsi="Book Antiqua" w:cs="Arial"/>
          <w:i/>
        </w:rPr>
      </w:pPr>
      <w:proofErr w:type="gramStart"/>
      <w:r>
        <w:rPr>
          <w:rFonts w:ascii="Book Antiqua" w:hAnsi="Book Antiqua" w:cs="Arial"/>
          <w:i/>
        </w:rPr>
        <w:t>…[</w:t>
      </w:r>
      <w:proofErr w:type="gramEnd"/>
      <w:r>
        <w:rPr>
          <w:rFonts w:ascii="Book Antiqua" w:hAnsi="Book Antiqua" w:cs="Arial"/>
          <w:i/>
        </w:rPr>
        <w:t>Subparagraph 2 to 4 are not applicable to the appellant]</w:t>
      </w:r>
    </w:p>
    <w:p w:rsidR="00EC458C" w:rsidRDefault="00EC458C" w:rsidP="00EC458C">
      <w:pPr>
        <w:spacing w:before="240" w:after="0" w:line="240" w:lineRule="auto"/>
        <w:ind w:left="567"/>
        <w:jc w:val="both"/>
        <w:rPr>
          <w:rFonts w:ascii="Book Antiqua" w:hAnsi="Book Antiqua" w:cs="Arial"/>
          <w:i/>
        </w:rPr>
      </w:pPr>
      <w:r>
        <w:rPr>
          <w:rFonts w:ascii="Book Antiqua" w:hAnsi="Book Antiqua" w:cs="Arial"/>
          <w:i/>
        </w:rPr>
        <w:t>4A) P satisfies the criteria in this paragraph if</w:t>
      </w:r>
    </w:p>
    <w:p w:rsidR="00EC458C" w:rsidRDefault="00EC458C" w:rsidP="00EC458C">
      <w:pPr>
        <w:spacing w:before="240" w:after="0" w:line="240" w:lineRule="auto"/>
        <w:ind w:left="567"/>
        <w:jc w:val="both"/>
        <w:rPr>
          <w:rFonts w:ascii="Book Antiqua" w:hAnsi="Book Antiqua" w:cs="Arial"/>
          <w:i/>
        </w:rPr>
      </w:pPr>
      <w:r>
        <w:rPr>
          <w:rFonts w:ascii="Book Antiqua" w:hAnsi="Book Antiqua" w:cs="Arial"/>
          <w:i/>
        </w:rPr>
        <w:t>a) P is the primary carer of a British citizen (‘the relevant British Citizen’);</w:t>
      </w:r>
    </w:p>
    <w:p w:rsidR="00EC458C" w:rsidRDefault="00EC458C" w:rsidP="00EC458C">
      <w:pPr>
        <w:spacing w:before="240" w:after="0" w:line="240" w:lineRule="auto"/>
        <w:ind w:left="567"/>
        <w:jc w:val="both"/>
        <w:rPr>
          <w:rFonts w:ascii="Book Antiqua" w:hAnsi="Book Antiqua" w:cs="Arial"/>
          <w:i/>
        </w:rPr>
      </w:pPr>
      <w:r>
        <w:rPr>
          <w:rFonts w:ascii="Book Antiqua" w:hAnsi="Book Antiqua" w:cs="Arial"/>
          <w:i/>
        </w:rPr>
        <w:t>b) the relevant British citizen is residing in the United Kingdom; and</w:t>
      </w:r>
    </w:p>
    <w:p w:rsidR="00EC458C" w:rsidRPr="00D2022F" w:rsidRDefault="00EC458C" w:rsidP="00EC458C">
      <w:pPr>
        <w:spacing w:before="240" w:after="0" w:line="240" w:lineRule="auto"/>
        <w:ind w:left="567"/>
        <w:jc w:val="both"/>
        <w:rPr>
          <w:rFonts w:ascii="Book Antiqua" w:hAnsi="Book Antiqua" w:cs="Arial"/>
          <w:i/>
        </w:rPr>
      </w:pPr>
      <w:r>
        <w:rPr>
          <w:rFonts w:ascii="Book Antiqua" w:hAnsi="Book Antiqua" w:cs="Arial"/>
          <w:i/>
        </w:rPr>
        <w:t>c) the relevant British citizen would be unable to reside in the UK or in another EEA state if he were required to leave.</w:t>
      </w:r>
    </w:p>
    <w:p w:rsidR="00EC458C" w:rsidRDefault="00EC458C" w:rsidP="00EC458C">
      <w:pPr>
        <w:numPr>
          <w:ilvl w:val="0"/>
          <w:numId w:val="1"/>
        </w:numPr>
        <w:spacing w:before="240" w:after="0" w:line="240" w:lineRule="auto"/>
        <w:jc w:val="both"/>
        <w:rPr>
          <w:rFonts w:ascii="Book Antiqua" w:hAnsi="Book Antiqua" w:cs="Arial"/>
        </w:rPr>
      </w:pPr>
      <w:r>
        <w:rPr>
          <w:rFonts w:ascii="Book Antiqua" w:hAnsi="Book Antiqua" w:cs="Arial"/>
        </w:rPr>
        <w:t xml:space="preserve">Within the Regulations, Regulation 15 A (7) in order to be entitled to a derive right an individual had to be a direct relative. At paragraph 41 of the decision the judge made a specific finding based upon the DNA evidence that the appellant was a direct relative namely the father of the child. That finding of fact stands unchallenged and deals with the relationship of the appellant to the child. </w:t>
      </w:r>
    </w:p>
    <w:p w:rsidR="00EC458C" w:rsidRDefault="00EC458C" w:rsidP="00EC458C">
      <w:pPr>
        <w:numPr>
          <w:ilvl w:val="0"/>
          <w:numId w:val="1"/>
        </w:numPr>
        <w:spacing w:before="240" w:after="0" w:line="240" w:lineRule="auto"/>
        <w:jc w:val="both"/>
        <w:rPr>
          <w:rFonts w:ascii="Book Antiqua" w:hAnsi="Book Antiqua" w:cs="Arial"/>
        </w:rPr>
      </w:pPr>
      <w:r>
        <w:rPr>
          <w:rFonts w:ascii="Book Antiqua" w:hAnsi="Book Antiqua" w:cs="Arial"/>
        </w:rPr>
        <w:t xml:space="preserve">The issues thereafter were whether or not the appellant was the primary carer of a British citizen child and whether the child would be able to reside in the United Kingdom if the appellant were to leave </w:t>
      </w:r>
    </w:p>
    <w:p w:rsidR="00EC458C" w:rsidRDefault="00EC458C" w:rsidP="00EC458C">
      <w:pPr>
        <w:numPr>
          <w:ilvl w:val="0"/>
          <w:numId w:val="1"/>
        </w:numPr>
        <w:spacing w:before="240" w:after="0" w:line="240" w:lineRule="auto"/>
        <w:jc w:val="both"/>
        <w:rPr>
          <w:rFonts w:ascii="Book Antiqua" w:hAnsi="Book Antiqua" w:cs="Arial"/>
        </w:rPr>
      </w:pPr>
      <w:r>
        <w:rPr>
          <w:rFonts w:ascii="Book Antiqua" w:hAnsi="Book Antiqua" w:cs="Arial"/>
        </w:rPr>
        <w:t>The evidence adduced had proved conclusively that the child in question, the child of the appellant, was a British citizen child. The evidence otherwise disclosed that the mother of the child was also a British citizen and therefore could not be forced to leave the United Kingdom or the EU area.</w:t>
      </w:r>
    </w:p>
    <w:p w:rsidR="00EC458C" w:rsidRDefault="00EC458C" w:rsidP="00EC458C">
      <w:pPr>
        <w:numPr>
          <w:ilvl w:val="0"/>
          <w:numId w:val="1"/>
        </w:numPr>
        <w:spacing w:before="240" w:after="0" w:line="240" w:lineRule="auto"/>
        <w:jc w:val="both"/>
        <w:rPr>
          <w:rFonts w:ascii="Book Antiqua" w:hAnsi="Book Antiqua" w:cs="Arial"/>
        </w:rPr>
      </w:pPr>
      <w:r>
        <w:rPr>
          <w:rFonts w:ascii="Book Antiqua" w:hAnsi="Book Antiqua" w:cs="Arial"/>
        </w:rPr>
        <w:t xml:space="preserve">It was therefore for the appellant to adduce evidence that he was the primary carer of the child. The evidence adduced proved that the child resided with his mother. Whilst there was evidence that the appellant had played a significant role in assisting the mother of the child the evidence was not such as to show that he was the primary carer. </w:t>
      </w:r>
      <w:r>
        <w:rPr>
          <w:rFonts w:ascii="Book Antiqua" w:hAnsi="Book Antiqua" w:cs="Arial"/>
        </w:rPr>
        <w:lastRenderedPageBreak/>
        <w:t xml:space="preserve">The evidence with regard to the appellant’s role in the child’s life came from the appellant and the child’s mother. It did disclose that since 2011 the appellant had played a significant role in assisting her. There had been an agreed court order to establish a clear basis for contact between the appellant and the child. </w:t>
      </w:r>
      <w:proofErr w:type="gramStart"/>
      <w:r>
        <w:rPr>
          <w:rFonts w:ascii="Book Antiqua" w:hAnsi="Book Antiqua" w:cs="Arial"/>
        </w:rPr>
        <w:t>However</w:t>
      </w:r>
      <w:proofErr w:type="gramEnd"/>
      <w:r>
        <w:rPr>
          <w:rFonts w:ascii="Book Antiqua" w:hAnsi="Book Antiqua" w:cs="Arial"/>
        </w:rPr>
        <w:t xml:space="preserve"> the primary carer of the child was clearly the mother and the child lived with the mother. It has to be acknowledged that the appellant assisted but he was not the primary carer.</w:t>
      </w:r>
    </w:p>
    <w:p w:rsidR="00EC458C" w:rsidRDefault="00EC458C" w:rsidP="00EC458C">
      <w:pPr>
        <w:numPr>
          <w:ilvl w:val="0"/>
          <w:numId w:val="1"/>
        </w:numPr>
        <w:spacing w:before="240" w:after="0" w:line="240" w:lineRule="auto"/>
        <w:jc w:val="both"/>
        <w:rPr>
          <w:rFonts w:ascii="Book Antiqua" w:hAnsi="Book Antiqua" w:cs="Arial"/>
        </w:rPr>
      </w:pPr>
      <w:r>
        <w:rPr>
          <w:rFonts w:ascii="Book Antiqua" w:hAnsi="Book Antiqua" w:cs="Arial"/>
        </w:rPr>
        <w:t>On the basis of the evidence presented the judge was entitled to conclude that the mother was the primary carer. Given that the mother could not be forced to leave the United Kingdom and the child would continue to reside with her whether the appellant was forced to leave the United Kingdom or not, the judge was entitled to conclude that the appellant did not meet the requirements of the Regulations.</w:t>
      </w:r>
    </w:p>
    <w:p w:rsidR="00EC458C" w:rsidRDefault="00EC458C" w:rsidP="00EC458C">
      <w:pPr>
        <w:numPr>
          <w:ilvl w:val="0"/>
          <w:numId w:val="1"/>
        </w:numPr>
        <w:spacing w:before="240" w:after="0" w:line="240" w:lineRule="auto"/>
        <w:jc w:val="both"/>
        <w:rPr>
          <w:rFonts w:ascii="Book Antiqua" w:hAnsi="Book Antiqua" w:cs="Arial"/>
        </w:rPr>
      </w:pPr>
      <w:r>
        <w:rPr>
          <w:rFonts w:ascii="Book Antiqua" w:hAnsi="Book Antiqua" w:cs="Arial"/>
        </w:rPr>
        <w:t>I invited the appellant to make submissions. I indicated that if I were to rehear the appeal on the basis of the evidence presently before the Upper Tribunal the outcome would be the same. On the basis of the evidence lodged the appellant did not meet the requirements of the regulations and was therefore not entitled to a derived residence card. I invited the appellant to adduce any further evidence that he had with regard to his relationship to his child. The appellant accepted that he had no further evidence that he wished to submit.</w:t>
      </w:r>
    </w:p>
    <w:p w:rsidR="00EC458C" w:rsidRDefault="00EC458C" w:rsidP="00EC458C">
      <w:pPr>
        <w:numPr>
          <w:ilvl w:val="0"/>
          <w:numId w:val="1"/>
        </w:numPr>
        <w:spacing w:before="240" w:after="0" w:line="240" w:lineRule="auto"/>
        <w:jc w:val="both"/>
        <w:rPr>
          <w:rFonts w:ascii="Book Antiqua" w:hAnsi="Book Antiqua" w:cs="Arial"/>
        </w:rPr>
      </w:pPr>
      <w:r>
        <w:rPr>
          <w:rFonts w:ascii="Book Antiqua" w:hAnsi="Book Antiqua" w:cs="Arial"/>
        </w:rPr>
        <w:t xml:space="preserve">Before me the appellant sought to argue that he had been ill advised by his representatives. He wished to raise matters under the Immigration Rules and under Article 8 of the ECHR. </w:t>
      </w:r>
    </w:p>
    <w:p w:rsidR="00EC458C" w:rsidRDefault="00EC458C" w:rsidP="00EC458C">
      <w:pPr>
        <w:numPr>
          <w:ilvl w:val="0"/>
          <w:numId w:val="1"/>
        </w:numPr>
        <w:spacing w:before="240" w:after="0" w:line="240" w:lineRule="auto"/>
        <w:jc w:val="both"/>
        <w:rPr>
          <w:rFonts w:ascii="Book Antiqua" w:hAnsi="Book Antiqua" w:cs="Arial"/>
        </w:rPr>
      </w:pPr>
      <w:r>
        <w:rPr>
          <w:rFonts w:ascii="Book Antiqua" w:hAnsi="Book Antiqua" w:cs="Arial"/>
        </w:rPr>
        <w:t>With regard to whether or not his representatives had not advised him properly that was not a matter for me. Indicated to the appellant that I could not assist him in that regard.</w:t>
      </w:r>
    </w:p>
    <w:p w:rsidR="00EC458C" w:rsidRDefault="00EC458C" w:rsidP="00EC458C">
      <w:pPr>
        <w:numPr>
          <w:ilvl w:val="0"/>
          <w:numId w:val="1"/>
        </w:numPr>
        <w:spacing w:before="240" w:after="0" w:line="240" w:lineRule="auto"/>
        <w:jc w:val="both"/>
        <w:rPr>
          <w:rFonts w:ascii="Book Antiqua" w:hAnsi="Book Antiqua" w:cs="Arial"/>
        </w:rPr>
      </w:pPr>
      <w:r>
        <w:rPr>
          <w:rFonts w:ascii="Book Antiqua" w:hAnsi="Book Antiqua" w:cs="Arial"/>
        </w:rPr>
        <w:t xml:space="preserve">With regard to the issues under the Immigration Rules and Article 8 I pointed out the cases of TY 2015 EWCA </w:t>
      </w:r>
      <w:proofErr w:type="spellStart"/>
      <w:r>
        <w:rPr>
          <w:rFonts w:ascii="Book Antiqua" w:hAnsi="Book Antiqua" w:cs="Arial"/>
        </w:rPr>
        <w:t>Civ</w:t>
      </w:r>
      <w:proofErr w:type="spellEnd"/>
      <w:r>
        <w:rPr>
          <w:rFonts w:ascii="Book Antiqua" w:hAnsi="Book Antiqua" w:cs="Arial"/>
        </w:rPr>
        <w:t xml:space="preserve"> 1233 and </w:t>
      </w:r>
      <w:proofErr w:type="spellStart"/>
      <w:r>
        <w:rPr>
          <w:rFonts w:ascii="Book Antiqua" w:hAnsi="Book Antiqua" w:cs="Arial"/>
        </w:rPr>
        <w:t>Amirteymour</w:t>
      </w:r>
      <w:proofErr w:type="spellEnd"/>
      <w:r>
        <w:rPr>
          <w:rFonts w:ascii="Book Antiqua" w:hAnsi="Book Antiqua" w:cs="Arial"/>
        </w:rPr>
        <w:t xml:space="preserve"> v SSHD 2017 EWCA </w:t>
      </w:r>
      <w:proofErr w:type="spellStart"/>
      <w:r>
        <w:rPr>
          <w:rFonts w:ascii="Book Antiqua" w:hAnsi="Book Antiqua" w:cs="Arial"/>
        </w:rPr>
        <w:t>Civ</w:t>
      </w:r>
      <w:proofErr w:type="spellEnd"/>
      <w:r>
        <w:rPr>
          <w:rFonts w:ascii="Book Antiqua" w:hAnsi="Book Antiqua" w:cs="Arial"/>
        </w:rPr>
        <w:t xml:space="preserve"> 353 which make the point that where the application is for a residence card under the Regulations and there is no removal, the appellant cannot seek to rely upon either the Immigration Rules or Article 8. It was for the appellant to make an application under the Immigration Rules and Article 8 to the respondent. </w:t>
      </w:r>
      <w:bookmarkStart w:id="2" w:name="KVWin_undostart"/>
      <w:bookmarkEnd w:id="2"/>
    </w:p>
    <w:p w:rsidR="00EC458C" w:rsidRPr="00757134" w:rsidRDefault="00EC458C" w:rsidP="00EC458C">
      <w:pPr>
        <w:numPr>
          <w:ilvl w:val="0"/>
          <w:numId w:val="1"/>
        </w:numPr>
        <w:spacing w:before="240" w:after="0" w:line="240" w:lineRule="auto"/>
        <w:jc w:val="both"/>
        <w:rPr>
          <w:rFonts w:ascii="Book Antiqua" w:hAnsi="Book Antiqua" w:cs="Arial"/>
        </w:rPr>
      </w:pPr>
      <w:r w:rsidRPr="00757134">
        <w:rPr>
          <w:rFonts w:ascii="Book Antiqua" w:hAnsi="Book Antiqua" w:cs="Arial"/>
        </w:rPr>
        <w:t xml:space="preserve">In the light of the matters set out the judge has </w:t>
      </w:r>
      <w:r>
        <w:rPr>
          <w:rFonts w:ascii="Book Antiqua" w:hAnsi="Book Antiqua" w:cs="Arial"/>
        </w:rPr>
        <w:t xml:space="preserve">not </w:t>
      </w:r>
      <w:r w:rsidRPr="00757134">
        <w:rPr>
          <w:rFonts w:ascii="Book Antiqua" w:hAnsi="Book Antiqua" w:cs="Arial"/>
        </w:rPr>
        <w:t xml:space="preserve">made a material error of law. </w:t>
      </w:r>
    </w:p>
    <w:p w:rsidR="00EC458C" w:rsidRPr="002D556E" w:rsidRDefault="00EC458C" w:rsidP="00EC458C">
      <w:pPr>
        <w:spacing w:before="240" w:after="0" w:line="240" w:lineRule="auto"/>
        <w:ind w:left="567"/>
        <w:jc w:val="both"/>
        <w:rPr>
          <w:rFonts w:ascii="Book Antiqua" w:hAnsi="Book Antiqua" w:cs="Arial"/>
          <w:b/>
          <w:u w:val="single"/>
        </w:rPr>
      </w:pPr>
      <w:r>
        <w:rPr>
          <w:rFonts w:ascii="Book Antiqua" w:hAnsi="Book Antiqua" w:cs="Arial"/>
          <w:b/>
          <w:u w:val="single"/>
        </w:rPr>
        <w:t>Notice of Decision</w:t>
      </w:r>
    </w:p>
    <w:p w:rsidR="00EC458C" w:rsidRDefault="00EC458C" w:rsidP="00EC458C">
      <w:pPr>
        <w:numPr>
          <w:ilvl w:val="0"/>
          <w:numId w:val="1"/>
        </w:numPr>
        <w:tabs>
          <w:tab w:val="clear" w:pos="567"/>
        </w:tabs>
        <w:spacing w:before="240" w:after="0" w:line="240" w:lineRule="auto"/>
        <w:jc w:val="both"/>
        <w:rPr>
          <w:rFonts w:ascii="Book Antiqua" w:hAnsi="Book Antiqua" w:cs="Arial"/>
        </w:rPr>
      </w:pPr>
      <w:r>
        <w:rPr>
          <w:rFonts w:ascii="Book Antiqua" w:hAnsi="Book Antiqua" w:cs="Arial"/>
        </w:rPr>
        <w:t xml:space="preserve">I dismiss the appeal. </w:t>
      </w:r>
    </w:p>
    <w:p w:rsidR="00EC458C" w:rsidRDefault="00EC458C" w:rsidP="00EC458C">
      <w:pPr>
        <w:numPr>
          <w:ilvl w:val="0"/>
          <w:numId w:val="1"/>
        </w:numPr>
        <w:tabs>
          <w:tab w:val="clear" w:pos="567"/>
        </w:tabs>
        <w:spacing w:before="240" w:after="0" w:line="240" w:lineRule="auto"/>
        <w:jc w:val="both"/>
        <w:rPr>
          <w:rFonts w:ascii="Book Antiqua" w:hAnsi="Book Antiqua" w:cs="Arial"/>
        </w:rPr>
      </w:pPr>
      <w:r>
        <w:rPr>
          <w:rFonts w:ascii="Book Antiqua" w:hAnsi="Book Antiqua" w:cs="Arial"/>
        </w:rPr>
        <w:t>I make an anonymity direction</w:t>
      </w:r>
    </w:p>
    <w:p w:rsidR="00EC458C" w:rsidRPr="00452057" w:rsidRDefault="00A83B9E" w:rsidP="00EC458C">
      <w:pPr>
        <w:spacing w:before="240" w:after="0" w:line="240" w:lineRule="auto"/>
        <w:ind w:left="567"/>
        <w:jc w:val="both"/>
        <w:rPr>
          <w:rFonts w:ascii="Book Antiqua" w:hAnsi="Book Antiqua" w:cs="Arial"/>
        </w:rPr>
      </w:pPr>
      <w:r>
        <w:rPr>
          <w:rFonts w:ascii="Book Antiqua" w:hAnsi="Book Antiqua" w:cs="Arial"/>
          <w:noProof/>
          <w:lang w:eastAsia="en-GB"/>
        </w:rPr>
        <w:drawing>
          <wp:anchor distT="0" distB="0" distL="114300" distR="114300" simplePos="0" relativeHeight="251657728" behindDoc="0" locked="0" layoutInCell="1" allowOverlap="1">
            <wp:simplePos x="0" y="0"/>
            <wp:positionH relativeFrom="column">
              <wp:posOffset>774700</wp:posOffset>
            </wp:positionH>
            <wp:positionV relativeFrom="paragraph">
              <wp:posOffset>135890</wp:posOffset>
            </wp:positionV>
            <wp:extent cx="1828800" cy="4108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458C" w:rsidRDefault="00EC458C" w:rsidP="00EC458C">
      <w:pPr>
        <w:tabs>
          <w:tab w:val="left" w:pos="5103"/>
        </w:tabs>
        <w:jc w:val="both"/>
        <w:rPr>
          <w:rFonts w:ascii="Book Antiqua" w:hAnsi="Book Antiqua" w:cs="Arial"/>
        </w:rPr>
      </w:pPr>
      <w:r w:rsidRPr="009D71ED">
        <w:rPr>
          <w:rFonts w:ascii="Book Antiqua" w:hAnsi="Book Antiqua" w:cs="Arial"/>
        </w:rPr>
        <w:t>Signed</w:t>
      </w:r>
      <w:r w:rsidRPr="009D71ED">
        <w:rPr>
          <w:rFonts w:ascii="Book Antiqua" w:hAnsi="Book Antiqua" w:cs="Arial"/>
        </w:rPr>
        <w:tab/>
      </w:r>
    </w:p>
    <w:p w:rsidR="00EC458C" w:rsidRPr="00F5664C" w:rsidRDefault="00EC458C" w:rsidP="00EC458C">
      <w:pPr>
        <w:tabs>
          <w:tab w:val="left" w:pos="5103"/>
        </w:tabs>
        <w:jc w:val="both"/>
        <w:rPr>
          <w:rFonts w:ascii="Book Antiqua" w:hAnsi="Book Antiqua" w:cs="Arial"/>
        </w:rPr>
      </w:pPr>
      <w:r w:rsidRPr="009D71ED">
        <w:rPr>
          <w:rFonts w:ascii="Book Antiqua" w:hAnsi="Book Antiqua" w:cs="Arial"/>
        </w:rPr>
        <w:t>Date</w:t>
      </w:r>
      <w:r>
        <w:rPr>
          <w:rFonts w:ascii="Book Antiqua" w:hAnsi="Book Antiqua" w:cs="Arial"/>
        </w:rPr>
        <w:t xml:space="preserve"> 15</w:t>
      </w:r>
      <w:r w:rsidRPr="00D2022F">
        <w:rPr>
          <w:rFonts w:ascii="Book Antiqua" w:hAnsi="Book Antiqua" w:cs="Arial"/>
          <w:vertAlign w:val="superscript"/>
        </w:rPr>
        <w:t>th</w:t>
      </w:r>
      <w:r>
        <w:rPr>
          <w:rFonts w:ascii="Book Antiqua" w:hAnsi="Book Antiqua" w:cs="Arial"/>
        </w:rPr>
        <w:t xml:space="preserve"> June 2018</w:t>
      </w:r>
    </w:p>
    <w:p w:rsidR="00EC458C" w:rsidRPr="00522668" w:rsidRDefault="00EC458C" w:rsidP="00EC458C">
      <w:pPr>
        <w:tabs>
          <w:tab w:val="left" w:pos="2520"/>
        </w:tabs>
        <w:jc w:val="both"/>
        <w:rPr>
          <w:rFonts w:ascii="Book Antiqua" w:hAnsi="Book Antiqua" w:cs="Arial"/>
        </w:rPr>
      </w:pPr>
      <w:r>
        <w:rPr>
          <w:rFonts w:ascii="Book Antiqua" w:hAnsi="Book Antiqua" w:cs="Arial"/>
        </w:rPr>
        <w:t>Deputy Upper Tribunal Judge McClure</w:t>
      </w:r>
    </w:p>
    <w:p w:rsidR="00EC458C" w:rsidRDefault="00EC458C" w:rsidP="00EC458C"/>
    <w:p w:rsidR="00EC458C" w:rsidRPr="00522668" w:rsidRDefault="00EC458C" w:rsidP="00EC458C">
      <w:r w:rsidRPr="00522668">
        <w:lastRenderedPageBreak/>
        <w:t>Direction regarding anonymity- rule 14 of the Tribunal Proced</w:t>
      </w:r>
      <w:r>
        <w:t>ure (Upper Tribunal) Rules 2008</w:t>
      </w:r>
    </w:p>
    <w:p w:rsidR="00EC458C" w:rsidRPr="00522668" w:rsidRDefault="00EC458C" w:rsidP="00EC458C">
      <w:r w:rsidRPr="00522668">
        <w:t>Unless and until a tribunal or court directs otherwise, the appellant is granted anonymity. No report of these proceedings shall directly or indirectly identify the appellant or any member of the appellant’s family. This direction applies both to the appellant and the respondent. Failure to comply with this direction could lead to contempt of court proceedings</w:t>
      </w:r>
    </w:p>
    <w:p w:rsidR="00EC458C" w:rsidRPr="00522668" w:rsidRDefault="00A83B9E" w:rsidP="00EC458C">
      <w:r w:rsidRPr="00522668">
        <w:rPr>
          <w:rFonts w:ascii="Book Antiqua" w:hAnsi="Book Antiqua" w:cs="Arial"/>
          <w:noProof/>
          <w:lang w:eastAsia="en-GB"/>
        </w:rPr>
        <w:drawing>
          <wp:anchor distT="0" distB="0" distL="114300" distR="114300" simplePos="0" relativeHeight="251658752" behindDoc="0" locked="0" layoutInCell="1" allowOverlap="1">
            <wp:simplePos x="0" y="0"/>
            <wp:positionH relativeFrom="column">
              <wp:posOffset>727710</wp:posOffset>
            </wp:positionH>
            <wp:positionV relativeFrom="paragraph">
              <wp:posOffset>142875</wp:posOffset>
            </wp:positionV>
            <wp:extent cx="1828800" cy="4108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458C" w:rsidRPr="00522668" w:rsidRDefault="00EC458C" w:rsidP="00EC458C"/>
    <w:p w:rsidR="00EC458C" w:rsidRPr="00522668" w:rsidRDefault="00EC458C" w:rsidP="00EC458C">
      <w:r>
        <w:t>Signed</w:t>
      </w:r>
      <w:r>
        <w:tab/>
      </w:r>
      <w:r>
        <w:tab/>
      </w:r>
      <w:r>
        <w:tab/>
      </w:r>
      <w:r>
        <w:tab/>
      </w:r>
      <w:r>
        <w:tab/>
      </w:r>
      <w:r>
        <w:tab/>
      </w:r>
      <w:r>
        <w:tab/>
      </w:r>
      <w:r>
        <w:tab/>
      </w:r>
      <w:r>
        <w:tab/>
        <w:t>Date 15</w:t>
      </w:r>
      <w:r w:rsidRPr="00D2022F">
        <w:rPr>
          <w:vertAlign w:val="superscript"/>
        </w:rPr>
        <w:t>th</w:t>
      </w:r>
      <w:r>
        <w:t xml:space="preserve"> June</w:t>
      </w:r>
      <w:r w:rsidRPr="00522668">
        <w:t xml:space="preserve"> 2018 </w:t>
      </w:r>
    </w:p>
    <w:p w:rsidR="00EC458C" w:rsidRPr="00522668" w:rsidRDefault="00EC458C" w:rsidP="00EC458C"/>
    <w:p w:rsidR="00EC458C" w:rsidRPr="008C2A9C" w:rsidRDefault="00EC458C" w:rsidP="00EC458C">
      <w:r w:rsidRPr="00522668">
        <w:t>Deputy Upper Tribunal Judge McClure</w:t>
      </w:r>
    </w:p>
    <w:p w:rsidR="001D5AB7" w:rsidRDefault="001D5AB7"/>
    <w:sectPr w:rsidR="001D5AB7" w:rsidSect="002D23AE">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1A7" w:rsidRDefault="008861A7" w:rsidP="002D23AE">
      <w:pPr>
        <w:spacing w:after="0" w:line="240" w:lineRule="auto"/>
      </w:pPr>
      <w:r>
        <w:separator/>
      </w:r>
    </w:p>
  </w:endnote>
  <w:endnote w:type="continuationSeparator" w:id="0">
    <w:p w:rsidR="008861A7" w:rsidRDefault="008861A7" w:rsidP="002D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3AE" w:rsidRDefault="002D23AE">
    <w:pPr>
      <w:pStyle w:val="Footer"/>
      <w:jc w:val="center"/>
    </w:pPr>
    <w:r>
      <w:fldChar w:fldCharType="begin"/>
    </w:r>
    <w:r>
      <w:instrText xml:space="preserve"> PAGE   \* MERGEFORMAT </w:instrText>
    </w:r>
    <w:r>
      <w:fldChar w:fldCharType="separate"/>
    </w:r>
    <w:r w:rsidR="00530DC6">
      <w:rPr>
        <w:noProof/>
      </w:rPr>
      <w:t>4</w:t>
    </w:r>
    <w:r>
      <w:rPr>
        <w:noProof/>
      </w:rPr>
      <w:fldChar w:fldCharType="end"/>
    </w:r>
  </w:p>
  <w:p w:rsidR="002D23AE" w:rsidRDefault="002D23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3AE" w:rsidRDefault="002D23AE" w:rsidP="002D23AE">
    <w:pPr>
      <w:pStyle w:val="Footer"/>
      <w:jc w:val="center"/>
    </w:pPr>
    <w:r w:rsidRPr="002D23AE">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1A7" w:rsidRDefault="008861A7" w:rsidP="002D23AE">
      <w:pPr>
        <w:spacing w:after="0" w:line="240" w:lineRule="auto"/>
      </w:pPr>
      <w:r>
        <w:separator/>
      </w:r>
    </w:p>
  </w:footnote>
  <w:footnote w:type="continuationSeparator" w:id="0">
    <w:p w:rsidR="008861A7" w:rsidRDefault="008861A7" w:rsidP="002D2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3AE" w:rsidRDefault="006022D7" w:rsidP="002D23AE">
    <w:pPr>
      <w:pStyle w:val="Header"/>
      <w:jc w:val="right"/>
    </w:pPr>
    <w:r>
      <w:t xml:space="preserve">Appeal number: </w:t>
    </w:r>
    <w:r w:rsidR="002D23AE" w:rsidRPr="002D23AE">
      <w:t>EA/09142/2016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996C5B0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9FA5F71-29C0-4BC5-BB0D-0D24F64CAF90}"/>
    <w:docVar w:name="dgnword-eventsink" w:val="626421048"/>
  </w:docVars>
  <w:rsids>
    <w:rsidRoot w:val="00EC458C"/>
    <w:rsid w:val="001D5AB7"/>
    <w:rsid w:val="002752C1"/>
    <w:rsid w:val="00282527"/>
    <w:rsid w:val="002D23AE"/>
    <w:rsid w:val="00530DC6"/>
    <w:rsid w:val="006022D7"/>
    <w:rsid w:val="006564A9"/>
    <w:rsid w:val="008861A7"/>
    <w:rsid w:val="00891FE6"/>
    <w:rsid w:val="008D28D0"/>
    <w:rsid w:val="00A83B9E"/>
    <w:rsid w:val="00EC45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3AE"/>
    <w:pPr>
      <w:tabs>
        <w:tab w:val="center" w:pos="4513"/>
        <w:tab w:val="right" w:pos="9026"/>
      </w:tabs>
    </w:pPr>
  </w:style>
  <w:style w:type="character" w:customStyle="1" w:styleId="HeaderChar">
    <w:name w:val="Header Char"/>
    <w:link w:val="Header"/>
    <w:uiPriority w:val="99"/>
    <w:rsid w:val="002D23AE"/>
    <w:rPr>
      <w:sz w:val="22"/>
      <w:szCs w:val="22"/>
      <w:lang w:eastAsia="en-US"/>
    </w:rPr>
  </w:style>
  <w:style w:type="paragraph" w:styleId="Footer">
    <w:name w:val="footer"/>
    <w:basedOn w:val="Normal"/>
    <w:link w:val="FooterChar"/>
    <w:uiPriority w:val="99"/>
    <w:unhideWhenUsed/>
    <w:rsid w:val="002D23AE"/>
    <w:pPr>
      <w:tabs>
        <w:tab w:val="center" w:pos="4513"/>
        <w:tab w:val="right" w:pos="9026"/>
      </w:tabs>
    </w:pPr>
  </w:style>
  <w:style w:type="character" w:customStyle="1" w:styleId="FooterChar">
    <w:name w:val="Footer Char"/>
    <w:link w:val="Footer"/>
    <w:uiPriority w:val="99"/>
    <w:rsid w:val="002D23AE"/>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1075</Words>
  <Characters>6129</Characters>
  <Application>Microsoft Office Word</Application>
  <DocSecurity>0</DocSecurity>
  <Lines>51</Lines>
  <Paragraphs>14</Paragraphs>
  <ScaleCrop>false</ScaleCrop>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2018-07-12T12:00:00Z</dcterms:created>
  <dcterms:modified xsi:type="dcterms:W3CDTF">2018-07-12T12:00:00Z</dcterms:modified>
</cp:coreProperties>
</file>