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67AD" w14:textId="31B7B4F0" w:rsidR="00C321B5" w:rsidRDefault="00D279DF" w:rsidP="00C321B5">
      <w:pPr>
        <w:jc w:val="center"/>
        <w:rPr>
          <w:rFonts w:ascii="Book Antiqua" w:hAnsi="Book Antiqua" w:cs="Arial"/>
          <w:sz w:val="16"/>
          <w:szCs w:val="16"/>
        </w:rPr>
      </w:pPr>
      <w:r>
        <w:rPr>
          <w:noProof/>
        </w:rPr>
        <w:drawing>
          <wp:inline distT="0" distB="0" distL="0" distR="0" wp14:anchorId="2129740C" wp14:editId="4E55BECF">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6FA52B95" w14:textId="77777777" w:rsidR="007C28B9" w:rsidRPr="00F5664C" w:rsidRDefault="007C28B9" w:rsidP="00C321B5">
      <w:pPr>
        <w:jc w:val="center"/>
        <w:rPr>
          <w:rFonts w:ascii="Book Antiqua" w:hAnsi="Book Antiqua" w:cs="Arial"/>
          <w:sz w:val="16"/>
          <w:szCs w:val="16"/>
        </w:rPr>
      </w:pPr>
    </w:p>
    <w:p w14:paraId="42FC498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39D157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C0BF3">
        <w:rPr>
          <w:rFonts w:ascii="Book Antiqua" w:hAnsi="Book Antiqua" w:cs="Arial"/>
          <w:caps/>
        </w:rPr>
        <w:t>EA/09242/2017</w:t>
      </w:r>
      <w:bookmarkEnd w:id="0"/>
    </w:p>
    <w:p w14:paraId="1C4E094B" w14:textId="77777777" w:rsidR="00C345E1" w:rsidRPr="00F5664C" w:rsidRDefault="00C345E1" w:rsidP="00C345E1">
      <w:pPr>
        <w:jc w:val="center"/>
        <w:rPr>
          <w:rFonts w:ascii="Book Antiqua" w:hAnsi="Book Antiqua" w:cs="Arial"/>
        </w:rPr>
      </w:pPr>
    </w:p>
    <w:p w14:paraId="78C75484" w14:textId="77777777" w:rsidR="00C345E1" w:rsidRPr="00F5664C" w:rsidRDefault="00C345E1" w:rsidP="00C345E1">
      <w:pPr>
        <w:jc w:val="center"/>
        <w:rPr>
          <w:rFonts w:ascii="Book Antiqua" w:hAnsi="Book Antiqua" w:cs="Arial"/>
        </w:rPr>
      </w:pPr>
    </w:p>
    <w:p w14:paraId="120236B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9FA5143" w14:textId="77777777" w:rsidR="00C345E1" w:rsidRPr="00F5664C" w:rsidRDefault="00C345E1" w:rsidP="00C345E1">
      <w:pPr>
        <w:jc w:val="center"/>
        <w:rPr>
          <w:rFonts w:ascii="Book Antiqua" w:hAnsi="Book Antiqua" w:cs="Arial"/>
          <w:b/>
          <w:u w:val="single"/>
        </w:rPr>
      </w:pPr>
    </w:p>
    <w:p w14:paraId="130C736D"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48FBEE2A" w14:textId="77777777" w:rsidTr="00E249AA">
        <w:tc>
          <w:tcPr>
            <w:tcW w:w="6048" w:type="dxa"/>
            <w:shd w:val="clear" w:color="auto" w:fill="auto"/>
          </w:tcPr>
          <w:p w14:paraId="5FB4C847"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7C0BF3">
              <w:rPr>
                <w:rFonts w:ascii="Book Antiqua" w:hAnsi="Book Antiqua" w:cs="Arial"/>
                <w:b/>
              </w:rPr>
              <w:t>Manchester</w:t>
            </w:r>
          </w:p>
        </w:tc>
        <w:tc>
          <w:tcPr>
            <w:tcW w:w="3960" w:type="dxa"/>
            <w:shd w:val="clear" w:color="auto" w:fill="auto"/>
          </w:tcPr>
          <w:p w14:paraId="35744806"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16ED5C54" w14:textId="77777777" w:rsidTr="00E249AA">
        <w:tc>
          <w:tcPr>
            <w:tcW w:w="6048" w:type="dxa"/>
            <w:shd w:val="clear" w:color="auto" w:fill="auto"/>
          </w:tcPr>
          <w:p w14:paraId="03EC8EE3"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7C0BF3">
              <w:rPr>
                <w:rFonts w:ascii="Book Antiqua" w:hAnsi="Book Antiqua" w:cs="Arial"/>
                <w:b/>
              </w:rPr>
              <w:t>24</w:t>
            </w:r>
            <w:r w:rsidR="007C0BF3" w:rsidRPr="007C0BF3">
              <w:rPr>
                <w:rFonts w:ascii="Book Antiqua" w:hAnsi="Book Antiqua" w:cs="Arial"/>
                <w:b/>
                <w:vertAlign w:val="superscript"/>
              </w:rPr>
              <w:t>th</w:t>
            </w:r>
            <w:r w:rsidR="007C0BF3">
              <w:rPr>
                <w:rFonts w:ascii="Book Antiqua" w:hAnsi="Book Antiqua" w:cs="Arial"/>
                <w:b/>
              </w:rPr>
              <w:t xml:space="preserve"> July 2018</w:t>
            </w:r>
          </w:p>
        </w:tc>
        <w:tc>
          <w:tcPr>
            <w:tcW w:w="3960" w:type="dxa"/>
            <w:shd w:val="clear" w:color="auto" w:fill="auto"/>
          </w:tcPr>
          <w:p w14:paraId="253254D6" w14:textId="77777777" w:rsidR="00D22636" w:rsidRPr="00E249AA" w:rsidRDefault="007B4B93" w:rsidP="00E249AA">
            <w:pPr>
              <w:jc w:val="both"/>
              <w:rPr>
                <w:rFonts w:ascii="Book Antiqua" w:hAnsi="Book Antiqua" w:cs="Arial"/>
                <w:b/>
              </w:rPr>
            </w:pPr>
            <w:r w:rsidRPr="007B4B93">
              <w:rPr>
                <w:rFonts w:ascii="Book Antiqua" w:hAnsi="Book Antiqua" w:cs="Arial"/>
                <w:b/>
              </w:rPr>
              <w:t>On 15 August 2018</w:t>
            </w:r>
          </w:p>
        </w:tc>
      </w:tr>
      <w:tr w:rsidR="00D22636" w:rsidRPr="00E249AA" w14:paraId="6C2F4D66" w14:textId="77777777" w:rsidTr="00E249AA">
        <w:tc>
          <w:tcPr>
            <w:tcW w:w="6048" w:type="dxa"/>
            <w:shd w:val="clear" w:color="auto" w:fill="auto"/>
          </w:tcPr>
          <w:p w14:paraId="2AFBBA0A" w14:textId="77777777" w:rsidR="00D22636" w:rsidRPr="00E249AA" w:rsidRDefault="00D22636" w:rsidP="00E249AA">
            <w:pPr>
              <w:jc w:val="both"/>
              <w:rPr>
                <w:rFonts w:ascii="Book Antiqua" w:hAnsi="Book Antiqua" w:cs="Arial"/>
                <w:b/>
              </w:rPr>
            </w:pPr>
          </w:p>
        </w:tc>
        <w:tc>
          <w:tcPr>
            <w:tcW w:w="3960" w:type="dxa"/>
            <w:shd w:val="clear" w:color="auto" w:fill="auto"/>
          </w:tcPr>
          <w:p w14:paraId="161CDBF7" w14:textId="77777777" w:rsidR="00D22636" w:rsidRPr="00E249AA" w:rsidRDefault="00D22636" w:rsidP="00E249AA">
            <w:pPr>
              <w:jc w:val="both"/>
              <w:rPr>
                <w:rFonts w:ascii="Book Antiqua" w:hAnsi="Book Antiqua" w:cs="Arial"/>
                <w:b/>
              </w:rPr>
            </w:pPr>
          </w:p>
        </w:tc>
      </w:tr>
    </w:tbl>
    <w:p w14:paraId="6DB92482" w14:textId="77777777" w:rsidR="00A15234" w:rsidRPr="00F5664C" w:rsidRDefault="00A15234" w:rsidP="00A15234">
      <w:pPr>
        <w:jc w:val="center"/>
        <w:rPr>
          <w:rFonts w:ascii="Book Antiqua" w:hAnsi="Book Antiqua" w:cs="Arial"/>
        </w:rPr>
      </w:pPr>
    </w:p>
    <w:p w14:paraId="7845D5E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2A2C6A1F" w14:textId="77777777" w:rsidR="00A15234" w:rsidRPr="00F5664C" w:rsidRDefault="00A15234" w:rsidP="00A15234">
      <w:pPr>
        <w:jc w:val="center"/>
        <w:rPr>
          <w:rFonts w:ascii="Book Antiqua" w:hAnsi="Book Antiqua" w:cs="Arial"/>
          <w:b/>
        </w:rPr>
      </w:pPr>
    </w:p>
    <w:p w14:paraId="04EFE156" w14:textId="77777777" w:rsidR="001A1E2C" w:rsidRPr="00F5664C" w:rsidRDefault="00255071" w:rsidP="007C0BF3">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01A44AF5" w14:textId="2A302CB9" w:rsidR="00B16F58" w:rsidRDefault="00B16F58" w:rsidP="00A15234">
      <w:pPr>
        <w:jc w:val="center"/>
        <w:rPr>
          <w:rFonts w:ascii="Book Antiqua" w:hAnsi="Book Antiqua" w:cs="Arial"/>
          <w:b/>
        </w:rPr>
      </w:pPr>
    </w:p>
    <w:p w14:paraId="15307367" w14:textId="77777777" w:rsidR="007C28B9" w:rsidRPr="00F5664C" w:rsidRDefault="007C28B9" w:rsidP="00A15234">
      <w:pPr>
        <w:jc w:val="center"/>
        <w:rPr>
          <w:rFonts w:ascii="Book Antiqua" w:hAnsi="Book Antiqua" w:cs="Arial"/>
          <w:b/>
        </w:rPr>
      </w:pPr>
    </w:p>
    <w:p w14:paraId="16DC3AA6" w14:textId="77777777" w:rsidR="00A845DC" w:rsidRDefault="00A845DC" w:rsidP="00A15234">
      <w:pPr>
        <w:jc w:val="center"/>
        <w:rPr>
          <w:rFonts w:ascii="Book Antiqua" w:hAnsi="Book Antiqua" w:cs="Arial"/>
          <w:b/>
        </w:rPr>
      </w:pPr>
      <w:r w:rsidRPr="00F5664C">
        <w:rPr>
          <w:rFonts w:ascii="Book Antiqua" w:hAnsi="Book Antiqua" w:cs="Arial"/>
          <w:b/>
        </w:rPr>
        <w:t>Between</w:t>
      </w:r>
    </w:p>
    <w:p w14:paraId="19C2BB24" w14:textId="77777777" w:rsidR="005426E6" w:rsidRPr="00F5664C" w:rsidRDefault="005426E6" w:rsidP="00A15234">
      <w:pPr>
        <w:jc w:val="center"/>
        <w:rPr>
          <w:rFonts w:ascii="Book Antiqua" w:hAnsi="Book Antiqua" w:cs="Arial"/>
          <w:b/>
        </w:rPr>
      </w:pPr>
    </w:p>
    <w:p w14:paraId="5E9201F8" w14:textId="77777777" w:rsidR="005426E6" w:rsidRDefault="005426E6" w:rsidP="005426E6">
      <w:pPr>
        <w:jc w:val="center"/>
        <w:rPr>
          <w:rFonts w:ascii="Book Antiqua" w:hAnsi="Book Antiqua" w:cs="Arial"/>
          <w:b/>
          <w:caps/>
        </w:rPr>
      </w:pPr>
      <w:r>
        <w:rPr>
          <w:rFonts w:ascii="Book Antiqua" w:hAnsi="Book Antiqua" w:cs="Arial"/>
          <w:b/>
          <w:caps/>
        </w:rPr>
        <w:t xml:space="preserve">MR SAHEED ADEBOla </w:t>
      </w:r>
      <w:proofErr w:type="spellStart"/>
      <w:r>
        <w:rPr>
          <w:rFonts w:ascii="Book Antiqua" w:hAnsi="Book Antiqua" w:cs="Arial"/>
          <w:b/>
          <w:caps/>
        </w:rPr>
        <w:t>ADEBOLA</w:t>
      </w:r>
      <w:proofErr w:type="spellEnd"/>
    </w:p>
    <w:p w14:paraId="22627DE5" w14:textId="77777777" w:rsidR="005426E6" w:rsidRPr="00F5664C" w:rsidRDefault="005426E6" w:rsidP="005426E6">
      <w:pPr>
        <w:jc w:val="center"/>
        <w:rPr>
          <w:rFonts w:ascii="Book Antiqua" w:hAnsi="Book Antiqua" w:cs="Arial"/>
          <w:b/>
          <w:caps/>
        </w:rPr>
      </w:pPr>
      <w:r w:rsidRPr="003405B7">
        <w:rPr>
          <w:rFonts w:ascii="Book Antiqua" w:hAnsi="Book Antiqua" w:cs="Arial"/>
          <w:b/>
          <w:caps/>
        </w:rPr>
        <w:t xml:space="preserve">(ANONYMITY DIRECTION </w:t>
      </w:r>
      <w:r>
        <w:rPr>
          <w:rFonts w:ascii="Book Antiqua" w:hAnsi="Book Antiqua" w:cs="Arial"/>
          <w:b/>
          <w:caps/>
        </w:rPr>
        <w:t>NOT MADE</w:t>
      </w:r>
      <w:r w:rsidRPr="003405B7">
        <w:rPr>
          <w:rFonts w:ascii="Book Antiqua" w:hAnsi="Book Antiqua" w:cs="Arial"/>
          <w:b/>
          <w:caps/>
        </w:rPr>
        <w:t>)</w:t>
      </w:r>
    </w:p>
    <w:p w14:paraId="71418A54"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A64B9B0"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5349AD7" w14:textId="77777777" w:rsidR="00DD5071" w:rsidRPr="00F5664C" w:rsidRDefault="00DD5071" w:rsidP="00704B61">
      <w:pPr>
        <w:jc w:val="center"/>
        <w:rPr>
          <w:rFonts w:ascii="Book Antiqua" w:hAnsi="Book Antiqua" w:cs="Arial"/>
          <w:b/>
        </w:rPr>
      </w:pPr>
    </w:p>
    <w:p w14:paraId="4E24CDFF" w14:textId="77777777" w:rsidR="005426E6" w:rsidRPr="00F5664C" w:rsidRDefault="005426E6" w:rsidP="005426E6">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A527E9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9CFCD6A" w14:textId="77777777" w:rsidR="00DD5071" w:rsidRPr="00F5664C" w:rsidRDefault="00DD5071" w:rsidP="00DD5071">
      <w:pPr>
        <w:rPr>
          <w:rFonts w:ascii="Book Antiqua" w:hAnsi="Book Antiqua" w:cs="Arial"/>
          <w:u w:val="single"/>
        </w:rPr>
      </w:pPr>
    </w:p>
    <w:p w14:paraId="54080B76" w14:textId="77777777" w:rsidR="00DD5071" w:rsidRPr="00F5664C" w:rsidRDefault="00DD5071" w:rsidP="00DD5071">
      <w:pPr>
        <w:rPr>
          <w:rFonts w:ascii="Book Antiqua" w:hAnsi="Book Antiqua" w:cs="Arial"/>
          <w:u w:val="single"/>
        </w:rPr>
      </w:pPr>
    </w:p>
    <w:p w14:paraId="53AC914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4BBACF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7C0BF3">
        <w:rPr>
          <w:rFonts w:ascii="Book Antiqua" w:hAnsi="Book Antiqua" w:cs="Arial"/>
        </w:rPr>
        <w:t>In person</w:t>
      </w:r>
    </w:p>
    <w:p w14:paraId="3EE8641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C0BF3">
        <w:rPr>
          <w:rFonts w:ascii="Book Antiqua" w:hAnsi="Book Antiqua" w:cs="Arial"/>
        </w:rPr>
        <w:t xml:space="preserve">Mr </w:t>
      </w:r>
      <w:proofErr w:type="spellStart"/>
      <w:r w:rsidR="007C0BF3">
        <w:rPr>
          <w:rFonts w:ascii="Book Antiqua" w:hAnsi="Book Antiqua" w:cs="Arial"/>
        </w:rPr>
        <w:t>Diwnycz</w:t>
      </w:r>
      <w:proofErr w:type="spellEnd"/>
      <w:r w:rsidR="007C0BF3">
        <w:rPr>
          <w:rFonts w:ascii="Book Antiqua" w:hAnsi="Book Antiqua" w:cs="Arial"/>
        </w:rPr>
        <w:t xml:space="preserve">, Home Office Presenting Officer </w:t>
      </w:r>
    </w:p>
    <w:p w14:paraId="74549BB2" w14:textId="77777777" w:rsidR="00DE7DB7" w:rsidRPr="00F5664C" w:rsidRDefault="00DE7DB7" w:rsidP="00402B9E">
      <w:pPr>
        <w:tabs>
          <w:tab w:val="left" w:pos="2520"/>
        </w:tabs>
        <w:jc w:val="center"/>
        <w:rPr>
          <w:rFonts w:ascii="Book Antiqua" w:hAnsi="Book Antiqua" w:cs="Arial"/>
        </w:rPr>
      </w:pPr>
    </w:p>
    <w:p w14:paraId="6CE5F798" w14:textId="77777777" w:rsidR="00DE7DB7" w:rsidRPr="00F5664C" w:rsidRDefault="00DE7DB7" w:rsidP="00402B9E">
      <w:pPr>
        <w:tabs>
          <w:tab w:val="left" w:pos="2520"/>
        </w:tabs>
        <w:jc w:val="center"/>
        <w:rPr>
          <w:rFonts w:ascii="Book Antiqua" w:hAnsi="Book Antiqua" w:cs="Arial"/>
        </w:rPr>
      </w:pPr>
    </w:p>
    <w:p w14:paraId="4D586CD7"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43FC6F08" w14:textId="221E9008" w:rsidR="00AF533C" w:rsidRDefault="007C0BF3" w:rsidP="00AF533C">
      <w:pPr>
        <w:numPr>
          <w:ilvl w:val="0"/>
          <w:numId w:val="3"/>
        </w:numPr>
        <w:spacing w:before="240"/>
        <w:jc w:val="both"/>
        <w:rPr>
          <w:rFonts w:ascii="Book Antiqua" w:hAnsi="Book Antiqua" w:cs="Arial"/>
        </w:rPr>
      </w:pPr>
      <w:r>
        <w:rPr>
          <w:rFonts w:ascii="Book Antiqua" w:hAnsi="Book Antiqua" w:cs="Arial"/>
        </w:rPr>
        <w:t>The Appellant is a citizen of Nigeria born on 23</w:t>
      </w:r>
      <w:r w:rsidR="00623E13">
        <w:rPr>
          <w:rFonts w:ascii="Book Antiqua" w:hAnsi="Book Antiqua" w:cs="Arial"/>
          <w:vertAlign w:val="superscript"/>
        </w:rPr>
        <w:t>rd</w:t>
      </w:r>
      <w:r>
        <w:rPr>
          <w:rFonts w:ascii="Book Antiqua" w:hAnsi="Book Antiqua" w:cs="Arial"/>
        </w:rPr>
        <w:t xml:space="preserve"> February 1985.  On 5</w:t>
      </w:r>
      <w:r w:rsidR="00623E13" w:rsidRPr="00623E13">
        <w:rPr>
          <w:rFonts w:ascii="Book Antiqua" w:hAnsi="Book Antiqua" w:cs="Arial"/>
          <w:vertAlign w:val="superscript"/>
        </w:rPr>
        <w:t>th</w:t>
      </w:r>
      <w:r w:rsidR="00623E13">
        <w:rPr>
          <w:rFonts w:ascii="Book Antiqua" w:hAnsi="Book Antiqua" w:cs="Arial"/>
        </w:rPr>
        <w:t xml:space="preserve"> </w:t>
      </w:r>
      <w:r>
        <w:rPr>
          <w:rFonts w:ascii="Book Antiqua" w:hAnsi="Book Antiqua" w:cs="Arial"/>
        </w:rPr>
        <w:t xml:space="preserve">July 2017 the Appellant had applied for a residence card as a family member who had a retained right of residence following the end of his marriage to </w:t>
      </w:r>
      <w:r w:rsidR="00903F69">
        <w:rPr>
          <w:rFonts w:ascii="Book Antiqua" w:hAnsi="Book Antiqua" w:cs="Arial"/>
        </w:rPr>
        <w:t>[</w:t>
      </w:r>
      <w:r>
        <w:rPr>
          <w:rFonts w:ascii="Book Antiqua" w:hAnsi="Book Antiqua" w:cs="Arial"/>
        </w:rPr>
        <w:t>DA</w:t>
      </w:r>
      <w:r w:rsidR="00903F69">
        <w:rPr>
          <w:rFonts w:ascii="Book Antiqua" w:hAnsi="Book Antiqua" w:cs="Arial"/>
        </w:rPr>
        <w:t>]</w:t>
      </w:r>
      <w:r>
        <w:rPr>
          <w:rFonts w:ascii="Book Antiqua" w:hAnsi="Book Antiqua" w:cs="Arial"/>
        </w:rPr>
        <w:t>.  The Appellant’s application was refused on 9</w:t>
      </w:r>
      <w:r w:rsidRPr="007C0BF3">
        <w:rPr>
          <w:rFonts w:ascii="Book Antiqua" w:hAnsi="Book Antiqua" w:cs="Arial"/>
          <w:vertAlign w:val="superscript"/>
        </w:rPr>
        <w:t>th</w:t>
      </w:r>
      <w:r>
        <w:rPr>
          <w:rFonts w:ascii="Book Antiqua" w:hAnsi="Book Antiqua" w:cs="Arial"/>
        </w:rPr>
        <w:t xml:space="preserve"> October 2017 on the basis that he had not provided adequate evidence that he had a retained right of residence in the UK following the end of his marriage to his EEA partner.  It was noted that Regulation 21(5) of the 2006 EEA Regulations stated that when an application was made by an applicant on the </w:t>
      </w:r>
      <w:r>
        <w:rPr>
          <w:rFonts w:ascii="Book Antiqua" w:hAnsi="Book Antiqua" w:cs="Arial"/>
        </w:rPr>
        <w:lastRenderedPageBreak/>
        <w:t>basis that they are or were the family member of an EEA national then a valid national identity card or passport must be provided.</w:t>
      </w:r>
    </w:p>
    <w:p w14:paraId="463C5734" w14:textId="77777777" w:rsidR="007C0BF3" w:rsidRDefault="007C0BF3" w:rsidP="00AF533C">
      <w:pPr>
        <w:numPr>
          <w:ilvl w:val="0"/>
          <w:numId w:val="3"/>
        </w:numPr>
        <w:spacing w:before="240"/>
        <w:jc w:val="both"/>
        <w:rPr>
          <w:rFonts w:ascii="Book Antiqua" w:hAnsi="Book Antiqua" w:cs="Arial"/>
        </w:rPr>
      </w:pPr>
      <w:r>
        <w:rPr>
          <w:rFonts w:ascii="Book Antiqua" w:hAnsi="Book Antiqua" w:cs="Arial"/>
        </w:rPr>
        <w:t>The Appellant appealed the decision and the appeal came before Judge of the First-tier Tribunal Wyman sitting at Harmondsworth on 22</w:t>
      </w:r>
      <w:r w:rsidRPr="007C0BF3">
        <w:rPr>
          <w:rFonts w:ascii="Book Antiqua" w:hAnsi="Book Antiqua" w:cs="Arial"/>
          <w:vertAlign w:val="superscript"/>
        </w:rPr>
        <w:t>nd</w:t>
      </w:r>
      <w:r>
        <w:rPr>
          <w:rFonts w:ascii="Book Antiqua" w:hAnsi="Book Antiqua" w:cs="Arial"/>
        </w:rPr>
        <w:t xml:space="preserve"> January 2018.  Judge Wyman addressed the appeal on the papers.  He noted that the Appellant explained that he had acquired permanent residence status from his ex-spouse’s exercise of her treaty rights for a period of five years in the United Kingdom.  His ex-wife had been a student from September 2009 to June 2013 following which she worked for a period of three years in the United Kingdom.  The Appellant explained that he had provided suitable evidence of his wife’s studies and employment together with the comprehensive sickness insurance that she had obtained.  He had noted that the burden of proof was on the Appellant on the balance of probabilities.  He noted that the Appellant had provided a significant amount of documentation confirming </w:t>
      </w:r>
      <w:r w:rsidR="00442958">
        <w:rPr>
          <w:rFonts w:ascii="Book Antiqua" w:hAnsi="Book Antiqua" w:cs="Arial"/>
        </w:rPr>
        <w:t>that both</w:t>
      </w:r>
      <w:r>
        <w:rPr>
          <w:rFonts w:ascii="Book Antiqua" w:hAnsi="Book Antiqua" w:cs="Arial"/>
        </w:rPr>
        <w:t xml:space="preserve"> his ex-wife and he had been exercising treaty rights in the UK and had provided a copy of his ex-wife’s Belgian identity card.  In the circumstances he allowed the appeal.  </w:t>
      </w:r>
    </w:p>
    <w:p w14:paraId="13EA42CE" w14:textId="77777777" w:rsidR="007C0BF3" w:rsidRDefault="007C0BF3" w:rsidP="00AF533C">
      <w:pPr>
        <w:numPr>
          <w:ilvl w:val="0"/>
          <w:numId w:val="3"/>
        </w:numPr>
        <w:spacing w:before="240"/>
        <w:jc w:val="both"/>
        <w:rPr>
          <w:rFonts w:ascii="Book Antiqua" w:hAnsi="Book Antiqua" w:cs="Arial"/>
        </w:rPr>
      </w:pPr>
      <w:r>
        <w:rPr>
          <w:rFonts w:ascii="Book Antiqua" w:hAnsi="Book Antiqua" w:cs="Arial"/>
        </w:rPr>
        <w:t>On 14</w:t>
      </w:r>
      <w:r w:rsidRPr="007C0BF3">
        <w:rPr>
          <w:rFonts w:ascii="Book Antiqua" w:hAnsi="Book Antiqua" w:cs="Arial"/>
          <w:vertAlign w:val="superscript"/>
        </w:rPr>
        <w:t>th</w:t>
      </w:r>
      <w:r>
        <w:rPr>
          <w:rFonts w:ascii="Book Antiqua" w:hAnsi="Book Antiqua" w:cs="Arial"/>
        </w:rPr>
        <w:t xml:space="preserve"> February 2018 the Secretary of State </w:t>
      </w:r>
      <w:proofErr w:type="gramStart"/>
      <w:r>
        <w:rPr>
          <w:rFonts w:ascii="Book Antiqua" w:hAnsi="Book Antiqua" w:cs="Arial"/>
        </w:rPr>
        <w:t>lodged</w:t>
      </w:r>
      <w:proofErr w:type="gramEnd"/>
      <w:r>
        <w:rPr>
          <w:rFonts w:ascii="Book Antiqua" w:hAnsi="Book Antiqua" w:cs="Arial"/>
        </w:rPr>
        <w:t xml:space="preserve"> Grounds of Appeal to the Upper Tribunal.  Those grounds contended that in allowing the appeal the judge had found that the EEA Sponsor was exercising treaty rights as a student.  </w:t>
      </w:r>
      <w:proofErr w:type="gramStart"/>
      <w:r>
        <w:rPr>
          <w:rFonts w:ascii="Book Antiqua" w:hAnsi="Book Antiqua" w:cs="Arial"/>
        </w:rPr>
        <w:t>However</w:t>
      </w:r>
      <w:proofErr w:type="gramEnd"/>
      <w:r>
        <w:rPr>
          <w:rFonts w:ascii="Book Antiqua" w:hAnsi="Book Antiqua" w:cs="Arial"/>
        </w:rPr>
        <w:t xml:space="preserve"> it was submitted that the judge had not given adequate reasons to establish that the evidence before the Tribunal was sufficient to establish that the EEA national satisfied the requirements of Regulation 4(d).  Given that this was a paper appeal it was submitted that it was incumbent upon the judge to clearly identify the evidence which supported the findings made and give reasons as to why the evidence was accepted.  The </w:t>
      </w:r>
      <w:r w:rsidR="00623E13">
        <w:rPr>
          <w:rFonts w:ascii="Book Antiqua" w:hAnsi="Book Antiqua" w:cs="Arial"/>
        </w:rPr>
        <w:t>grounds</w:t>
      </w:r>
      <w:r>
        <w:rPr>
          <w:rFonts w:ascii="Book Antiqua" w:hAnsi="Book Antiqua" w:cs="Arial"/>
        </w:rPr>
        <w:t xml:space="preserve"> contended there was nothing in paragraph 19 to suggest that the judge had turned his mind to the requirement of Regulation 4(d) when assessing whether or not the EEA Sponsor satisfied all other requirements of being a student and there are no reasons given to enable a reader to establish what evidence and factors the judge took into account beyond the fact that the Sponsor was a student.</w:t>
      </w:r>
    </w:p>
    <w:p w14:paraId="1D11954E" w14:textId="77777777" w:rsidR="007C0BF3" w:rsidRDefault="007C0BF3" w:rsidP="00AF533C">
      <w:pPr>
        <w:numPr>
          <w:ilvl w:val="0"/>
          <w:numId w:val="3"/>
        </w:numPr>
        <w:spacing w:before="240"/>
        <w:jc w:val="both"/>
        <w:rPr>
          <w:rFonts w:ascii="Book Antiqua" w:hAnsi="Book Antiqua" w:cs="Arial"/>
        </w:rPr>
      </w:pPr>
      <w:r>
        <w:rPr>
          <w:rFonts w:ascii="Book Antiqua" w:hAnsi="Book Antiqua" w:cs="Arial"/>
        </w:rPr>
        <w:t>On 30</w:t>
      </w:r>
      <w:r w:rsidRPr="007C0BF3">
        <w:rPr>
          <w:rFonts w:ascii="Book Antiqua" w:hAnsi="Book Antiqua" w:cs="Arial"/>
          <w:vertAlign w:val="superscript"/>
        </w:rPr>
        <w:t>th</w:t>
      </w:r>
      <w:r>
        <w:rPr>
          <w:rFonts w:ascii="Book Antiqua" w:hAnsi="Book Antiqua" w:cs="Arial"/>
        </w:rPr>
        <w:t xml:space="preserve"> May 2018 the First-tier Tribunal Judge </w:t>
      </w:r>
      <w:proofErr w:type="spellStart"/>
      <w:r>
        <w:rPr>
          <w:rFonts w:ascii="Book Antiqua" w:hAnsi="Book Antiqua" w:cs="Arial"/>
        </w:rPr>
        <w:t>Birrell</w:t>
      </w:r>
      <w:proofErr w:type="spellEnd"/>
      <w:r>
        <w:rPr>
          <w:rFonts w:ascii="Book Antiqua" w:hAnsi="Book Antiqua" w:cs="Arial"/>
        </w:rPr>
        <w:t xml:space="preserve"> granted permission to appeal.  Judge </w:t>
      </w:r>
      <w:proofErr w:type="spellStart"/>
      <w:r>
        <w:rPr>
          <w:rFonts w:ascii="Book Antiqua" w:hAnsi="Book Antiqua" w:cs="Arial"/>
        </w:rPr>
        <w:t>Birrell</w:t>
      </w:r>
      <w:proofErr w:type="spellEnd"/>
      <w:r>
        <w:rPr>
          <w:rFonts w:ascii="Book Antiqua" w:hAnsi="Book Antiqua" w:cs="Arial"/>
        </w:rPr>
        <w:t xml:space="preserve"> considered that it was arguable that the judge had failed to identify which of the documents he found in the Respondent’s bundle met the requirements of “comprehensive sickness insurance” as required by a student as there is a document in the Respondent’s bundle that is stated to be a “basic plan” and a letter from “Health Online” that may show the start date of a comprehensive policy in 2010 but arguably did not clarify whether the policy was renewed.</w:t>
      </w:r>
    </w:p>
    <w:p w14:paraId="46999B37" w14:textId="77777777" w:rsidR="007C0BF3" w:rsidRPr="00442958" w:rsidRDefault="007C0BF3" w:rsidP="00442958">
      <w:pPr>
        <w:numPr>
          <w:ilvl w:val="0"/>
          <w:numId w:val="3"/>
        </w:numPr>
        <w:spacing w:before="240"/>
        <w:jc w:val="both"/>
        <w:rPr>
          <w:rFonts w:ascii="Book Antiqua" w:hAnsi="Book Antiqua" w:cs="Arial"/>
        </w:rPr>
      </w:pPr>
      <w:r>
        <w:rPr>
          <w:rFonts w:ascii="Book Antiqua" w:hAnsi="Book Antiqua" w:cs="Arial"/>
        </w:rPr>
        <w:t xml:space="preserve">It is on that basis that the appeal comes before me to determine whether or not there is </w:t>
      </w:r>
      <w:r w:rsidR="00623E13">
        <w:rPr>
          <w:rFonts w:ascii="Book Antiqua" w:hAnsi="Book Antiqua" w:cs="Arial"/>
        </w:rPr>
        <w:t xml:space="preserve">a </w:t>
      </w:r>
      <w:r>
        <w:rPr>
          <w:rFonts w:ascii="Book Antiqua" w:hAnsi="Book Antiqua" w:cs="Arial"/>
        </w:rPr>
        <w:t xml:space="preserve">material error of law in the decision of the First-tier Tribunal Judge.  </w:t>
      </w:r>
      <w:r w:rsidRPr="00442958">
        <w:rPr>
          <w:rFonts w:ascii="Book Antiqua" w:hAnsi="Book Antiqua" w:cs="Arial"/>
        </w:rPr>
        <w:t xml:space="preserve">I note this is an appeal by the Secretary of State.  </w:t>
      </w:r>
      <w:proofErr w:type="gramStart"/>
      <w:r w:rsidRPr="00442958">
        <w:rPr>
          <w:rFonts w:ascii="Book Antiqua" w:hAnsi="Book Antiqua" w:cs="Arial"/>
        </w:rPr>
        <w:t>However</w:t>
      </w:r>
      <w:proofErr w:type="gramEnd"/>
      <w:r w:rsidRPr="00442958">
        <w:rPr>
          <w:rFonts w:ascii="Book Antiqua" w:hAnsi="Book Antiqua" w:cs="Arial"/>
        </w:rPr>
        <w:t xml:space="preserve"> for the purpose of continuity throughout the appeal process Mr Adebola is referred to herein as the Appellant and the Secretary of State as the Respondent.</w:t>
      </w:r>
      <w:r w:rsidR="00A459D5" w:rsidRPr="00442958">
        <w:rPr>
          <w:rFonts w:ascii="Book Antiqua" w:hAnsi="Book Antiqua" w:cs="Arial"/>
        </w:rPr>
        <w:t xml:space="preserve">  The respondent appears by her Home Office Presenting Officer Mr </w:t>
      </w:r>
      <w:proofErr w:type="spellStart"/>
      <w:r w:rsidR="00A459D5" w:rsidRPr="00442958">
        <w:rPr>
          <w:rFonts w:ascii="Book Antiqua" w:hAnsi="Book Antiqua" w:cs="Arial"/>
        </w:rPr>
        <w:t>Diwnycz</w:t>
      </w:r>
      <w:proofErr w:type="spellEnd"/>
      <w:r w:rsidR="00A459D5" w:rsidRPr="00442958">
        <w:rPr>
          <w:rFonts w:ascii="Book Antiqua" w:hAnsi="Book Antiqua" w:cs="Arial"/>
        </w:rPr>
        <w:t xml:space="preserve">.  The Appellant appears in person.  </w:t>
      </w:r>
    </w:p>
    <w:p w14:paraId="02EB5021" w14:textId="77777777" w:rsidR="007C28B9" w:rsidRDefault="007C28B9" w:rsidP="00A459D5">
      <w:pPr>
        <w:spacing w:before="240"/>
        <w:jc w:val="both"/>
        <w:rPr>
          <w:rFonts w:ascii="Book Antiqua" w:hAnsi="Book Antiqua" w:cs="Arial"/>
          <w:b/>
        </w:rPr>
      </w:pPr>
    </w:p>
    <w:p w14:paraId="0DE46A92" w14:textId="2EC2D17C" w:rsidR="00A459D5" w:rsidRPr="00A459D5" w:rsidRDefault="00A459D5" w:rsidP="00A459D5">
      <w:pPr>
        <w:spacing w:before="240"/>
        <w:jc w:val="both"/>
        <w:rPr>
          <w:rFonts w:ascii="Book Antiqua" w:hAnsi="Book Antiqua" w:cs="Arial"/>
          <w:b/>
        </w:rPr>
      </w:pPr>
      <w:r>
        <w:rPr>
          <w:rFonts w:ascii="Book Antiqua" w:hAnsi="Book Antiqua" w:cs="Arial"/>
          <w:b/>
        </w:rPr>
        <w:lastRenderedPageBreak/>
        <w:t>Submissions/Discussion</w:t>
      </w:r>
    </w:p>
    <w:p w14:paraId="0ED9117F" w14:textId="77777777" w:rsidR="00A459D5" w:rsidRDefault="00A459D5" w:rsidP="00AF533C">
      <w:pPr>
        <w:numPr>
          <w:ilvl w:val="0"/>
          <w:numId w:val="3"/>
        </w:numPr>
        <w:spacing w:before="240"/>
        <w:jc w:val="both"/>
        <w:rPr>
          <w:rFonts w:ascii="Book Antiqua" w:hAnsi="Book Antiqua" w:cs="Arial"/>
        </w:rPr>
      </w:pPr>
      <w:r>
        <w:rPr>
          <w:rFonts w:ascii="Book Antiqua" w:hAnsi="Book Antiqua" w:cs="Arial"/>
        </w:rPr>
        <w:t>The Appellant appeared in person and I appreciated that this was the first time he had appeared in the appeal process, his appeal having previously been dealt with on the papers.  I explained the process to him and he acknowledged understanding, and I indicated to him that the appeal was being made by the Secretary of State and that I would listen without interruption to any submissions he made.</w:t>
      </w:r>
    </w:p>
    <w:p w14:paraId="3881004A" w14:textId="77777777" w:rsidR="00442958" w:rsidRDefault="00A459D5" w:rsidP="00AF533C">
      <w:pPr>
        <w:numPr>
          <w:ilvl w:val="0"/>
          <w:numId w:val="3"/>
        </w:numPr>
        <w:spacing w:before="240"/>
        <w:jc w:val="both"/>
        <w:rPr>
          <w:rFonts w:ascii="Book Antiqua" w:hAnsi="Book Antiqua" w:cs="Arial"/>
        </w:rPr>
      </w:pPr>
      <w:r>
        <w:rPr>
          <w:rFonts w:ascii="Book Antiqua" w:hAnsi="Book Antiqua" w:cs="Arial"/>
        </w:rPr>
        <w:t>He asked me to note a document which I have given due consideration to, this being a master certificate of insurance that was provided through the underwriters International Health Management Services of Lagos, Nigeria, covering the period 1</w:t>
      </w:r>
      <w:r w:rsidRPr="00A459D5">
        <w:rPr>
          <w:rFonts w:ascii="Book Antiqua" w:hAnsi="Book Antiqua" w:cs="Arial"/>
          <w:vertAlign w:val="superscript"/>
        </w:rPr>
        <w:t>st</w:t>
      </w:r>
      <w:r>
        <w:rPr>
          <w:rFonts w:ascii="Book Antiqua" w:hAnsi="Book Antiqua" w:cs="Arial"/>
        </w:rPr>
        <w:t> December 2010 to 31</w:t>
      </w:r>
      <w:r w:rsidRPr="00A459D5">
        <w:rPr>
          <w:rFonts w:ascii="Book Antiqua" w:hAnsi="Book Antiqua" w:cs="Arial"/>
          <w:vertAlign w:val="superscript"/>
        </w:rPr>
        <w:t>st</w:t>
      </w:r>
      <w:r>
        <w:rPr>
          <w:rFonts w:ascii="Book Antiqua" w:hAnsi="Book Antiqua" w:cs="Arial"/>
        </w:rPr>
        <w:t xml:space="preserve"> November 2013.  This certificate of insurance was for the benefit of the Appellant’s spouse.  The Appellant also seeks to rely on the production of P60s and indicates that his belief was he only needed to provide these as his former spouse is no longer at university.  </w:t>
      </w:r>
    </w:p>
    <w:p w14:paraId="47F4F7D7" w14:textId="77777777" w:rsidR="00442958" w:rsidRDefault="00A459D5" w:rsidP="00AF533C">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corrects the Appellant by pointing out that it is necessary to provide details of comprehensive health insurance as required by statute.  He submits that the P60 is not sufficient documentation and that the Appellant had failed to provide sufficient documents for the judge to make the decision that he did, and therefore there is a material error of law.  </w:t>
      </w:r>
    </w:p>
    <w:p w14:paraId="1BD4CE98" w14:textId="77777777" w:rsidR="00A459D5" w:rsidRDefault="00A459D5" w:rsidP="00AF533C">
      <w:pPr>
        <w:numPr>
          <w:ilvl w:val="0"/>
          <w:numId w:val="3"/>
        </w:numPr>
        <w:spacing w:before="240"/>
        <w:jc w:val="both"/>
        <w:rPr>
          <w:rFonts w:ascii="Book Antiqua" w:hAnsi="Book Antiqua" w:cs="Arial"/>
        </w:rPr>
      </w:pPr>
      <w:r>
        <w:rPr>
          <w:rFonts w:ascii="Book Antiqua" w:hAnsi="Book Antiqua" w:cs="Arial"/>
        </w:rPr>
        <w:t>In a brief response the Appe</w:t>
      </w:r>
      <w:r w:rsidR="00442958">
        <w:rPr>
          <w:rFonts w:ascii="Book Antiqua" w:hAnsi="Book Antiqua" w:cs="Arial"/>
        </w:rPr>
        <w:t>llant states that he is working and that his</w:t>
      </w:r>
      <w:r w:rsidR="00623E13">
        <w:rPr>
          <w:rFonts w:ascii="Book Antiqua" w:hAnsi="Book Antiqua" w:cs="Arial"/>
        </w:rPr>
        <w:t xml:space="preserve"> former spouse wa</w:t>
      </w:r>
      <w:r w:rsidR="00442958">
        <w:rPr>
          <w:rFonts w:ascii="Book Antiqua" w:hAnsi="Book Antiqua" w:cs="Arial"/>
        </w:rPr>
        <w:t>s aware of the Rules,</w:t>
      </w:r>
      <w:r>
        <w:rPr>
          <w:rFonts w:ascii="Book Antiqua" w:hAnsi="Book Antiqua" w:cs="Arial"/>
        </w:rPr>
        <w:t xml:space="preserve"> provided comprehensive insurance and that the policy was in force.  He submits that the judge was correct and there </w:t>
      </w:r>
      <w:r w:rsidR="00623E13">
        <w:rPr>
          <w:rFonts w:ascii="Book Antiqua" w:hAnsi="Book Antiqua" w:cs="Arial"/>
        </w:rPr>
        <w:t>is</w:t>
      </w:r>
      <w:r>
        <w:rPr>
          <w:rFonts w:ascii="Book Antiqua" w:hAnsi="Book Antiqua" w:cs="Arial"/>
        </w:rPr>
        <w:t xml:space="preserve"> no material error in law.  He advised he has no contact with </w:t>
      </w:r>
      <w:r w:rsidR="00442958">
        <w:rPr>
          <w:rFonts w:ascii="Book Antiqua" w:hAnsi="Book Antiqua" w:cs="Arial"/>
        </w:rPr>
        <w:t>his</w:t>
      </w:r>
      <w:r>
        <w:rPr>
          <w:rFonts w:ascii="Book Antiqua" w:hAnsi="Book Antiqua" w:cs="Arial"/>
        </w:rPr>
        <w:t xml:space="preserve"> former spouse now whatsoever.</w:t>
      </w:r>
    </w:p>
    <w:p w14:paraId="4E066EBD" w14:textId="77777777" w:rsidR="00A459D5" w:rsidRPr="00A459D5" w:rsidRDefault="00A459D5" w:rsidP="00A459D5">
      <w:pPr>
        <w:spacing w:before="240"/>
        <w:jc w:val="both"/>
        <w:rPr>
          <w:rFonts w:ascii="Book Antiqua" w:hAnsi="Book Antiqua" w:cs="Arial"/>
          <w:b/>
        </w:rPr>
      </w:pPr>
      <w:r>
        <w:rPr>
          <w:rFonts w:ascii="Book Antiqua" w:hAnsi="Book Antiqua" w:cs="Arial"/>
          <w:b/>
        </w:rPr>
        <w:t>The Law</w:t>
      </w:r>
    </w:p>
    <w:p w14:paraId="67D33A79" w14:textId="77777777" w:rsidR="00A459D5" w:rsidRDefault="00A459D5" w:rsidP="00A459D5">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2D7730CA" w14:textId="77777777" w:rsidR="00A459D5" w:rsidRDefault="00A459D5" w:rsidP="00A459D5">
      <w:pPr>
        <w:numPr>
          <w:ilvl w:val="0"/>
          <w:numId w:val="3"/>
        </w:numPr>
        <w:spacing w:before="240"/>
        <w:jc w:val="both"/>
        <w:rPr>
          <w:rFonts w:ascii="Book Antiqua" w:hAnsi="Book Antiqua"/>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w:t>
      </w:r>
      <w:r>
        <w:rPr>
          <w:rFonts w:ascii="Book Antiqua" w:hAnsi="Book Antiqua"/>
        </w:rPr>
        <w:lastRenderedPageBreak/>
        <w:t>significance has been ignored or misunderstood, that is a failure to take into account a material consideration.</w:t>
      </w:r>
    </w:p>
    <w:p w14:paraId="50978063" w14:textId="77777777" w:rsidR="00A459D5" w:rsidRPr="00A459D5" w:rsidRDefault="00A459D5" w:rsidP="00A459D5">
      <w:pPr>
        <w:spacing w:before="240"/>
        <w:jc w:val="both"/>
        <w:rPr>
          <w:rFonts w:ascii="Book Antiqua" w:hAnsi="Book Antiqua"/>
          <w:b/>
        </w:rPr>
      </w:pPr>
      <w:r>
        <w:rPr>
          <w:rFonts w:ascii="Book Antiqua" w:hAnsi="Book Antiqua"/>
          <w:b/>
        </w:rPr>
        <w:t>Statutory Provision</w:t>
      </w:r>
    </w:p>
    <w:p w14:paraId="5F2528FC" w14:textId="77777777" w:rsidR="00A459D5" w:rsidRDefault="00A459D5" w:rsidP="00AF533C">
      <w:pPr>
        <w:numPr>
          <w:ilvl w:val="0"/>
          <w:numId w:val="3"/>
        </w:numPr>
        <w:spacing w:before="240"/>
        <w:jc w:val="both"/>
        <w:rPr>
          <w:rFonts w:ascii="Book Antiqua" w:hAnsi="Book Antiqua" w:cs="Arial"/>
        </w:rPr>
      </w:pPr>
      <w:r>
        <w:rPr>
          <w:rFonts w:ascii="Book Antiqua" w:hAnsi="Book Antiqua" w:cs="Arial"/>
        </w:rPr>
        <w:t>Regulation 4(d) of the EEA 2006 Regulations states:</w:t>
      </w:r>
    </w:p>
    <w:p w14:paraId="2FA22F47" w14:textId="77777777" w:rsidR="00A459D5" w:rsidRPr="003453D1" w:rsidRDefault="00A459D5" w:rsidP="003453D1">
      <w:pPr>
        <w:spacing w:before="240" w:after="240"/>
        <w:ind w:left="567"/>
        <w:rPr>
          <w:rFonts w:ascii="Book Antiqua" w:hAnsi="Book Antiqua"/>
          <w:i/>
        </w:rPr>
      </w:pPr>
      <w:r w:rsidRPr="003453D1">
        <w:rPr>
          <w:i/>
        </w:rPr>
        <w:t>“(</w:t>
      </w:r>
      <w:r w:rsidRPr="003453D1">
        <w:rPr>
          <w:rFonts w:ascii="Book Antiqua" w:hAnsi="Book Antiqua"/>
          <w:i/>
        </w:rPr>
        <w:t xml:space="preserve">d) </w:t>
      </w:r>
      <w:r w:rsidRPr="003453D1">
        <w:rPr>
          <w:rFonts w:ascii="Book Antiqua" w:hAnsi="Book Antiqua"/>
          <w:i/>
        </w:rPr>
        <w:tab/>
        <w:t>‘student’ means a person who—</w:t>
      </w:r>
    </w:p>
    <w:p w14:paraId="7BFC8790" w14:textId="042A3104" w:rsidR="003453D1" w:rsidRPr="003453D1" w:rsidRDefault="00A459D5" w:rsidP="003453D1">
      <w:pPr>
        <w:spacing w:before="240"/>
        <w:ind w:left="1701" w:hanging="567"/>
        <w:jc w:val="both"/>
        <w:rPr>
          <w:rFonts w:ascii="Book Antiqua" w:hAnsi="Book Antiqua"/>
          <w:i/>
        </w:rPr>
      </w:pPr>
      <w:r w:rsidRPr="003453D1">
        <w:rPr>
          <w:rFonts w:ascii="Book Antiqua" w:hAnsi="Book Antiqua"/>
          <w:i/>
        </w:rPr>
        <w:t>(</w:t>
      </w:r>
      <w:proofErr w:type="spellStart"/>
      <w:r w:rsidRPr="003453D1">
        <w:rPr>
          <w:rFonts w:ascii="Book Antiqua" w:hAnsi="Book Antiqua"/>
          <w:i/>
        </w:rPr>
        <w:t>i</w:t>
      </w:r>
      <w:proofErr w:type="spellEnd"/>
      <w:r w:rsidRPr="003453D1">
        <w:rPr>
          <w:rFonts w:ascii="Book Antiqua" w:hAnsi="Book Antiqua"/>
          <w:i/>
        </w:rPr>
        <w:t xml:space="preserve">) </w:t>
      </w:r>
      <w:r w:rsidRPr="003453D1">
        <w:rPr>
          <w:rFonts w:ascii="Book Antiqua" w:hAnsi="Book Antiqua"/>
          <w:i/>
        </w:rPr>
        <w:tab/>
        <w:t>is enrolled at a private or public establishment, included on the Department for Education and Skills' Register of Education and Training Providers</w:t>
      </w:r>
      <w:r w:rsidR="00903F69">
        <w:rPr>
          <w:rFonts w:ascii="Book Antiqua" w:hAnsi="Book Antiqua"/>
          <w:i/>
        </w:rPr>
        <w:t xml:space="preserve"> </w:t>
      </w:r>
      <w:r w:rsidRPr="003453D1">
        <w:rPr>
          <w:rFonts w:ascii="Book Antiqua" w:hAnsi="Book Antiqua"/>
          <w:i/>
        </w:rPr>
        <w:t>[</w:t>
      </w:r>
      <w:bookmarkStart w:id="2" w:name="n9"/>
      <w:bookmarkEnd w:id="2"/>
      <w:r w:rsidRPr="003453D1">
        <w:rPr>
          <w:rFonts w:ascii="Book Antiqua" w:hAnsi="Book Antiqua"/>
          <w:i/>
        </w:rPr>
        <w:fldChar w:fldCharType="begin"/>
      </w:r>
      <w:r w:rsidRPr="003453D1">
        <w:rPr>
          <w:rFonts w:ascii="Book Antiqua" w:hAnsi="Book Antiqua"/>
          <w:i/>
        </w:rPr>
        <w:instrText xml:space="preserve"> HYPERLINK "http://www.opsi.gov.uk/si/si2006/20061003.htm" \l "note9" </w:instrText>
      </w:r>
      <w:r w:rsidRPr="003453D1">
        <w:rPr>
          <w:rFonts w:ascii="Book Antiqua" w:hAnsi="Book Antiqua"/>
          <w:i/>
        </w:rPr>
        <w:fldChar w:fldCharType="separate"/>
      </w:r>
      <w:r w:rsidRPr="003453D1">
        <w:rPr>
          <w:rFonts w:ascii="Book Antiqua" w:hAnsi="Book Antiqua"/>
          <w:i/>
        </w:rPr>
        <w:t>9</w:t>
      </w:r>
      <w:r w:rsidRPr="003453D1">
        <w:rPr>
          <w:rFonts w:ascii="Book Antiqua" w:hAnsi="Book Antiqua"/>
          <w:i/>
        </w:rPr>
        <w:fldChar w:fldCharType="end"/>
      </w:r>
      <w:r w:rsidRPr="003453D1">
        <w:rPr>
          <w:rFonts w:ascii="Book Antiqua" w:hAnsi="Book Antiqua"/>
          <w:i/>
        </w:rPr>
        <w:t>] or financed from public funds, for the principal purpose of following a course of study, including vocational training;</w:t>
      </w:r>
    </w:p>
    <w:p w14:paraId="21E9982D" w14:textId="77777777" w:rsidR="003453D1" w:rsidRPr="003453D1" w:rsidRDefault="00A459D5" w:rsidP="003453D1">
      <w:pPr>
        <w:spacing w:before="240"/>
        <w:ind w:left="1701" w:hanging="567"/>
        <w:jc w:val="both"/>
        <w:rPr>
          <w:rFonts w:ascii="Book Antiqua" w:hAnsi="Book Antiqua"/>
          <w:i/>
        </w:rPr>
      </w:pPr>
      <w:r w:rsidRPr="003453D1">
        <w:rPr>
          <w:rFonts w:ascii="Book Antiqua" w:hAnsi="Book Antiqua"/>
          <w:i/>
        </w:rPr>
        <w:t xml:space="preserve">(ii) </w:t>
      </w:r>
      <w:r w:rsidRPr="003453D1">
        <w:rPr>
          <w:rFonts w:ascii="Book Antiqua" w:hAnsi="Book Antiqua"/>
          <w:i/>
        </w:rPr>
        <w:tab/>
        <w:t>has comprehensive sickness insurance cover in the United Kingdom; and</w:t>
      </w:r>
    </w:p>
    <w:p w14:paraId="197FA960" w14:textId="77777777" w:rsidR="00A459D5" w:rsidRPr="00A459D5" w:rsidRDefault="00A459D5" w:rsidP="003453D1">
      <w:pPr>
        <w:spacing w:before="240"/>
        <w:ind w:left="1701" w:hanging="567"/>
        <w:jc w:val="both"/>
        <w:rPr>
          <w:rFonts w:ascii="Book Antiqua" w:hAnsi="Book Antiqua"/>
        </w:rPr>
      </w:pPr>
      <w:r w:rsidRPr="003453D1">
        <w:rPr>
          <w:rFonts w:ascii="Book Antiqua" w:hAnsi="Book Antiqua"/>
          <w:i/>
        </w:rPr>
        <w:t xml:space="preserve">(iii) </w:t>
      </w:r>
      <w:r w:rsidRPr="003453D1">
        <w:rPr>
          <w:rFonts w:ascii="Book Antiqua" w:hAnsi="Book Antiqua"/>
          <w:i/>
        </w:rPr>
        <w:tab/>
        <w:t>assures the Secretary of State, by means of a declaration, or by such equivalent means as the person may choose, that he has sufficient resources not to become a burden on the social assistance system of the United Kingdom during his period of residence</w:t>
      </w:r>
      <w:r w:rsidRPr="00A459D5">
        <w:rPr>
          <w:rFonts w:ascii="Book Antiqua" w:hAnsi="Book Antiqua"/>
        </w:rPr>
        <w:t>.</w:t>
      </w:r>
      <w:r w:rsidR="003453D1">
        <w:rPr>
          <w:rFonts w:ascii="Book Antiqua" w:hAnsi="Book Antiqua"/>
        </w:rPr>
        <w:t>”</w:t>
      </w:r>
    </w:p>
    <w:p w14:paraId="51919619" w14:textId="77777777" w:rsidR="00A459D5" w:rsidRPr="003453D1" w:rsidRDefault="003453D1" w:rsidP="003453D1">
      <w:pPr>
        <w:spacing w:before="240"/>
        <w:jc w:val="both"/>
        <w:rPr>
          <w:rFonts w:ascii="Book Antiqua" w:hAnsi="Book Antiqua" w:cs="Arial"/>
          <w:b/>
        </w:rPr>
      </w:pPr>
      <w:r>
        <w:rPr>
          <w:rFonts w:ascii="Book Antiqua" w:hAnsi="Book Antiqua" w:cs="Arial"/>
          <w:b/>
        </w:rPr>
        <w:t>Findings on Error of Law</w:t>
      </w:r>
    </w:p>
    <w:p w14:paraId="59382F32" w14:textId="45441696" w:rsidR="003453D1" w:rsidRDefault="003453D1" w:rsidP="00AF533C">
      <w:pPr>
        <w:numPr>
          <w:ilvl w:val="0"/>
          <w:numId w:val="3"/>
        </w:numPr>
        <w:spacing w:before="240"/>
        <w:jc w:val="both"/>
        <w:rPr>
          <w:rFonts w:ascii="Book Antiqua" w:hAnsi="Book Antiqua" w:cs="Arial"/>
        </w:rPr>
      </w:pPr>
      <w:r>
        <w:rPr>
          <w:rFonts w:ascii="Book Antiqua" w:hAnsi="Book Antiqua" w:cs="Arial"/>
        </w:rPr>
        <w:t xml:space="preserve">This appeal turns on whether or not the judge has turned his mind to the requirements of Regulation 4(d) when assessing whether or not the EEA Sponsor satisfied all the requirements of being a student.  I am mindful that the certificate of insurance has been produced.  I have also given due consideration to the history of this matter and the current position of the Appellant and his former spouse.  In Judge Wyman’s finding and conclusions at paragraphs 18 to 23 he has given full and detailed consideration to the documentation that has been provided.  That includes the insurance certificate.  He has noted the evidence regarding the Appellant’s former spouse’s period of study as a student and that she had successfully completed a BSc in computing and he had noted evidence provided of the Appellant’s own employment in the form of P60s.  The basis of course upon which the original notice of refusal was made was based on a failure to provide a valid passport or identity card for his ex-wife.  </w:t>
      </w:r>
      <w:r w:rsidR="00442958">
        <w:rPr>
          <w:rFonts w:ascii="Book Antiqua" w:hAnsi="Book Antiqua" w:cs="Arial"/>
        </w:rPr>
        <w:t xml:space="preserve">In </w:t>
      </w:r>
      <w:proofErr w:type="gramStart"/>
      <w:r w:rsidR="00442958">
        <w:rPr>
          <w:rFonts w:ascii="Book Antiqua" w:hAnsi="Book Antiqua" w:cs="Arial"/>
        </w:rPr>
        <w:t>addition</w:t>
      </w:r>
      <w:proofErr w:type="gramEnd"/>
      <w:r>
        <w:rPr>
          <w:rFonts w:ascii="Book Antiqua" w:hAnsi="Book Antiqua" w:cs="Arial"/>
        </w:rPr>
        <w:t xml:space="preserve"> at paragraph 21 Judge Wyman noted that the copy of </w:t>
      </w:r>
      <w:r w:rsidR="00903F69">
        <w:rPr>
          <w:rFonts w:ascii="Book Antiqua" w:hAnsi="Book Antiqua" w:cs="Arial"/>
        </w:rPr>
        <w:t>[DA]</w:t>
      </w:r>
      <w:r>
        <w:rPr>
          <w:rFonts w:ascii="Book Antiqua" w:hAnsi="Book Antiqua" w:cs="Arial"/>
        </w:rPr>
        <w:t>’s Belgian national identity card had been provided and that it was valid until 27</w:t>
      </w:r>
      <w:r w:rsidRPr="003453D1">
        <w:rPr>
          <w:rFonts w:ascii="Book Antiqua" w:hAnsi="Book Antiqua" w:cs="Arial"/>
          <w:vertAlign w:val="superscript"/>
        </w:rPr>
        <w:t>th</w:t>
      </w:r>
      <w:r w:rsidR="00442958">
        <w:rPr>
          <w:rFonts w:ascii="Book Antiqua" w:hAnsi="Book Antiqua" w:cs="Arial"/>
        </w:rPr>
        <w:t xml:space="preserve"> July 2017 and </w:t>
      </w:r>
      <w:r>
        <w:rPr>
          <w:rFonts w:ascii="Book Antiqua" w:hAnsi="Book Antiqua" w:cs="Arial"/>
        </w:rPr>
        <w:t xml:space="preserve">he noted that there had been a significant amount of documentation confirming that both </w:t>
      </w:r>
      <w:r w:rsidR="00903F69">
        <w:rPr>
          <w:rFonts w:ascii="Book Antiqua" w:hAnsi="Book Antiqua" w:cs="Arial"/>
        </w:rPr>
        <w:t>[DA]</w:t>
      </w:r>
      <w:r w:rsidR="00903F69">
        <w:rPr>
          <w:rFonts w:ascii="Book Antiqua" w:hAnsi="Book Antiqua" w:cs="Arial"/>
        </w:rPr>
        <w:t xml:space="preserve"> </w:t>
      </w:r>
      <w:r>
        <w:rPr>
          <w:rFonts w:ascii="Book Antiqua" w:hAnsi="Book Antiqua" w:cs="Arial"/>
        </w:rPr>
        <w:t xml:space="preserve">and the Appellant had been exercising treaty rights over the previous five years.  </w:t>
      </w:r>
    </w:p>
    <w:p w14:paraId="5B778381" w14:textId="77777777" w:rsidR="003453D1" w:rsidRPr="00F5664C" w:rsidRDefault="003453D1" w:rsidP="00AF533C">
      <w:pPr>
        <w:numPr>
          <w:ilvl w:val="0"/>
          <w:numId w:val="3"/>
        </w:numPr>
        <w:spacing w:before="240"/>
        <w:jc w:val="both"/>
        <w:rPr>
          <w:rFonts w:ascii="Book Antiqua" w:hAnsi="Book Antiqua" w:cs="Arial"/>
        </w:rPr>
      </w:pPr>
      <w:r>
        <w:rPr>
          <w:rFonts w:ascii="Book Antiqua" w:hAnsi="Book Antiqua" w:cs="Arial"/>
        </w:rPr>
        <w:t xml:space="preserve">When all these documents are looked at in the round I am satisfied that the judge has fully exercised his mind to the issues that were before him and has assessed whether or not the EEA Sponsor satisfied all the requirements of being a student.  In such circumstances the submission made by Mr </w:t>
      </w:r>
      <w:proofErr w:type="spellStart"/>
      <w:r>
        <w:rPr>
          <w:rFonts w:ascii="Book Antiqua" w:hAnsi="Book Antiqua" w:cs="Arial"/>
        </w:rPr>
        <w:t>Diwnycz</w:t>
      </w:r>
      <w:proofErr w:type="spellEnd"/>
      <w:r>
        <w:rPr>
          <w:rFonts w:ascii="Book Antiqua" w:hAnsi="Book Antiqua" w:cs="Arial"/>
        </w:rPr>
        <w:t xml:space="preserve"> on behalf of the Secretary of State and the Grounds of Appeal amount to little more than a disagreement.  This is a judge who has carried out a very full analysis and made findings he was entitled to.  In such circumstances the appeal is dismissed and the decision of the First-tier Tribunal Judge is maintained.</w:t>
      </w:r>
    </w:p>
    <w:p w14:paraId="12FCCCC0" w14:textId="77777777" w:rsidR="003405B7" w:rsidRPr="003405B7" w:rsidRDefault="003405B7" w:rsidP="00AF533C">
      <w:pPr>
        <w:spacing w:before="240"/>
        <w:jc w:val="both"/>
        <w:rPr>
          <w:rFonts w:ascii="Book Antiqua" w:hAnsi="Book Antiqua" w:cs="Arial"/>
          <w:b/>
        </w:rPr>
      </w:pPr>
      <w:r w:rsidRPr="003405B7">
        <w:rPr>
          <w:rFonts w:ascii="Book Antiqua" w:hAnsi="Book Antiqua" w:cs="Arial"/>
          <w:b/>
        </w:rPr>
        <w:lastRenderedPageBreak/>
        <w:t>Notice of Decision</w:t>
      </w:r>
    </w:p>
    <w:p w14:paraId="07478FE9" w14:textId="77777777" w:rsidR="003405B7" w:rsidRPr="003405B7" w:rsidRDefault="003405B7" w:rsidP="003405B7">
      <w:pPr>
        <w:jc w:val="both"/>
        <w:rPr>
          <w:rFonts w:ascii="Book Antiqua" w:hAnsi="Book Antiqua" w:cs="Arial"/>
        </w:rPr>
      </w:pPr>
    </w:p>
    <w:p w14:paraId="5F688CEC" w14:textId="77777777" w:rsidR="003405B7" w:rsidRPr="003405B7" w:rsidRDefault="003453D1" w:rsidP="003405B7">
      <w:pPr>
        <w:jc w:val="both"/>
        <w:rPr>
          <w:rFonts w:ascii="Book Antiqua" w:hAnsi="Book Antiqua" w:cs="Arial"/>
        </w:rPr>
      </w:pPr>
      <w:r>
        <w:rPr>
          <w:rFonts w:ascii="Book Antiqua" w:hAnsi="Book Antiqua" w:cs="Arial"/>
        </w:rPr>
        <w:t xml:space="preserve">The decision of the First-tier Tribunal </w:t>
      </w:r>
      <w:r w:rsidR="00623E13">
        <w:rPr>
          <w:rFonts w:ascii="Book Antiqua" w:hAnsi="Book Antiqua" w:cs="Arial"/>
        </w:rPr>
        <w:t xml:space="preserve">Judge </w:t>
      </w:r>
      <w:r>
        <w:rPr>
          <w:rFonts w:ascii="Book Antiqua" w:hAnsi="Book Antiqua" w:cs="Arial"/>
        </w:rPr>
        <w:t>discloses no material error of law and the appeal of the Secretary of State is dismissed and the decision of the First-tier Tribunal Judge is maintained.</w:t>
      </w:r>
    </w:p>
    <w:p w14:paraId="48F32B2D" w14:textId="77777777" w:rsidR="003405B7" w:rsidRPr="003405B7" w:rsidRDefault="003405B7" w:rsidP="003405B7">
      <w:pPr>
        <w:jc w:val="both"/>
        <w:rPr>
          <w:rFonts w:ascii="Book Antiqua" w:hAnsi="Book Antiqua" w:cs="Arial"/>
        </w:rPr>
      </w:pPr>
    </w:p>
    <w:p w14:paraId="33CC3756"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3C73BDDA" w14:textId="77777777" w:rsidR="003405B7" w:rsidRPr="00F5664C" w:rsidRDefault="003405B7" w:rsidP="003405B7">
      <w:pPr>
        <w:tabs>
          <w:tab w:val="left" w:pos="2520"/>
        </w:tabs>
        <w:jc w:val="both"/>
        <w:rPr>
          <w:rFonts w:ascii="Book Antiqua" w:hAnsi="Book Antiqua" w:cs="Arial"/>
        </w:rPr>
      </w:pPr>
    </w:p>
    <w:p w14:paraId="09B4EC3F" w14:textId="77777777" w:rsidR="000369F5" w:rsidRPr="00F5664C" w:rsidRDefault="000369F5" w:rsidP="000369F5">
      <w:pPr>
        <w:tabs>
          <w:tab w:val="left" w:pos="2520"/>
        </w:tabs>
        <w:jc w:val="both"/>
        <w:rPr>
          <w:rFonts w:ascii="Book Antiqua" w:hAnsi="Book Antiqua" w:cs="Arial"/>
        </w:rPr>
      </w:pPr>
    </w:p>
    <w:p w14:paraId="7CD7DE30"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74616023" w14:textId="77777777" w:rsidR="001F2716" w:rsidRPr="00F5664C" w:rsidRDefault="001F2716" w:rsidP="000369F5">
      <w:pPr>
        <w:tabs>
          <w:tab w:val="left" w:pos="2520"/>
        </w:tabs>
        <w:jc w:val="both"/>
        <w:rPr>
          <w:rFonts w:ascii="Book Antiqua" w:hAnsi="Book Antiqua" w:cs="Arial"/>
        </w:rPr>
      </w:pPr>
    </w:p>
    <w:p w14:paraId="56B20F68"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0805F55B" w14:textId="3779B50B" w:rsidR="003405B7" w:rsidRDefault="003405B7" w:rsidP="000369F5">
      <w:pPr>
        <w:tabs>
          <w:tab w:val="left" w:pos="2520"/>
        </w:tabs>
        <w:jc w:val="both"/>
        <w:rPr>
          <w:rFonts w:ascii="Book Antiqua" w:hAnsi="Book Antiqua" w:cs="Arial"/>
        </w:rPr>
      </w:pPr>
    </w:p>
    <w:p w14:paraId="532333A6" w14:textId="77777777" w:rsidR="00903F69" w:rsidRPr="00F5664C" w:rsidRDefault="00903F69" w:rsidP="000369F5">
      <w:pPr>
        <w:tabs>
          <w:tab w:val="left" w:pos="2520"/>
        </w:tabs>
        <w:jc w:val="both"/>
        <w:rPr>
          <w:rFonts w:ascii="Book Antiqua" w:hAnsi="Book Antiqua" w:cs="Arial"/>
        </w:rPr>
      </w:pPr>
    </w:p>
    <w:p w14:paraId="67A25F1A" w14:textId="69A41E31" w:rsidR="00C321B5" w:rsidRDefault="00C321B5" w:rsidP="000369F5">
      <w:pPr>
        <w:tabs>
          <w:tab w:val="left" w:pos="2520"/>
        </w:tabs>
        <w:jc w:val="both"/>
        <w:rPr>
          <w:rFonts w:ascii="Book Antiqua" w:hAnsi="Book Antiqua" w:cs="Arial"/>
        </w:rPr>
      </w:pPr>
    </w:p>
    <w:p w14:paraId="58272CFE" w14:textId="77777777" w:rsidR="007C28B9" w:rsidRPr="00F5664C" w:rsidRDefault="007C28B9" w:rsidP="000369F5">
      <w:pPr>
        <w:tabs>
          <w:tab w:val="left" w:pos="2520"/>
        </w:tabs>
        <w:jc w:val="both"/>
        <w:rPr>
          <w:rFonts w:ascii="Book Antiqua" w:hAnsi="Book Antiqua" w:cs="Arial"/>
        </w:rPr>
      </w:pPr>
    </w:p>
    <w:p w14:paraId="5B274761"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0CEA3367"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0FC29DC2" w14:textId="77777777" w:rsidR="003405B7" w:rsidRPr="00385C3B" w:rsidRDefault="003405B7" w:rsidP="003405B7">
      <w:pPr>
        <w:ind w:left="567" w:hanging="567"/>
        <w:jc w:val="both"/>
        <w:rPr>
          <w:rFonts w:ascii="Book Antiqua" w:hAnsi="Book Antiqua" w:cs="Arial"/>
        </w:rPr>
      </w:pPr>
    </w:p>
    <w:p w14:paraId="382ADCD1" w14:textId="77777777" w:rsidR="003405B7" w:rsidRDefault="003453D1" w:rsidP="003405B7">
      <w:pPr>
        <w:jc w:val="both"/>
        <w:rPr>
          <w:rFonts w:ascii="Book Antiqua" w:hAnsi="Book Antiqua" w:cs="Arial"/>
        </w:rPr>
      </w:pPr>
      <w:r>
        <w:rPr>
          <w:rFonts w:ascii="Book Antiqua" w:hAnsi="Book Antiqua" w:cs="Arial"/>
        </w:rPr>
        <w:t>No application is made for a fee award and none is made.</w:t>
      </w:r>
    </w:p>
    <w:p w14:paraId="5F660063" w14:textId="77777777" w:rsidR="003405B7" w:rsidRDefault="003405B7" w:rsidP="003405B7">
      <w:pPr>
        <w:tabs>
          <w:tab w:val="left" w:pos="2520"/>
        </w:tabs>
        <w:jc w:val="both"/>
        <w:rPr>
          <w:rFonts w:ascii="Book Antiqua" w:hAnsi="Book Antiqua" w:cs="Arial"/>
        </w:rPr>
      </w:pPr>
    </w:p>
    <w:p w14:paraId="56EA5AA6" w14:textId="77777777" w:rsidR="003405B7" w:rsidRDefault="003405B7" w:rsidP="003405B7">
      <w:pPr>
        <w:tabs>
          <w:tab w:val="left" w:pos="2520"/>
        </w:tabs>
        <w:jc w:val="both"/>
        <w:rPr>
          <w:rFonts w:ascii="Book Antiqua" w:hAnsi="Book Antiqua" w:cs="Arial"/>
        </w:rPr>
      </w:pPr>
    </w:p>
    <w:p w14:paraId="77A46A31"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798ADC79" w14:textId="77777777" w:rsidR="003405B7" w:rsidRPr="00F5664C" w:rsidRDefault="003405B7" w:rsidP="003405B7">
      <w:pPr>
        <w:tabs>
          <w:tab w:val="left" w:pos="2520"/>
        </w:tabs>
        <w:jc w:val="both"/>
        <w:rPr>
          <w:rFonts w:ascii="Book Antiqua" w:hAnsi="Book Antiqua" w:cs="Arial"/>
        </w:rPr>
      </w:pPr>
    </w:p>
    <w:p w14:paraId="299F1B21" w14:textId="77777777" w:rsidR="005B7789" w:rsidRPr="00F5664C" w:rsidRDefault="003405B7" w:rsidP="000369F5">
      <w:pPr>
        <w:tabs>
          <w:tab w:val="left" w:pos="2520"/>
        </w:tabs>
        <w:jc w:val="both"/>
        <w:rPr>
          <w:rFonts w:ascii="Book Antiqua" w:hAnsi="Book Antiqua" w:cs="Arial"/>
        </w:rPr>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r>
        <w:rPr>
          <w:rFonts w:ascii="Book Antiqua" w:hAnsi="Book Antiqua" w:cs="Arial"/>
        </w:rPr>
        <w:t>Deputy</w:t>
      </w:r>
      <w:r w:rsidR="007B4B93">
        <w:rPr>
          <w:rFonts w:ascii="Book Antiqua" w:hAnsi="Book Antiqua" w:cs="Arial"/>
        </w:rPr>
        <w:t xml:space="preserve"> Upper Tribunal Judge D N Harris</w:t>
      </w:r>
    </w:p>
    <w:p w14:paraId="57E07C2E" w14:textId="77777777" w:rsidR="005B7789" w:rsidRPr="00F5664C" w:rsidRDefault="005B7789" w:rsidP="005B7789">
      <w:pPr>
        <w:tabs>
          <w:tab w:val="left" w:pos="2520"/>
        </w:tabs>
        <w:ind w:left="540" w:hanging="540"/>
        <w:jc w:val="both"/>
        <w:rPr>
          <w:rFonts w:ascii="Book Antiqua" w:hAnsi="Book Antiqua" w:cs="Arial"/>
        </w:rPr>
      </w:pPr>
    </w:p>
    <w:p w14:paraId="5A08DD95" w14:textId="77777777" w:rsidR="005B7789" w:rsidRPr="00F5664C" w:rsidRDefault="005B7789" w:rsidP="000369F5">
      <w:pPr>
        <w:tabs>
          <w:tab w:val="left" w:pos="2520"/>
        </w:tabs>
        <w:jc w:val="both"/>
        <w:rPr>
          <w:rFonts w:ascii="Book Antiqua" w:hAnsi="Book Antiqua" w:cs="Arial"/>
        </w:rPr>
      </w:pPr>
    </w:p>
    <w:sectPr w:rsidR="005B7789" w:rsidRPr="00F5664C" w:rsidSect="007B4B93">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22F5C" w14:textId="77777777" w:rsidR="00D279DF" w:rsidRDefault="00D279DF">
      <w:r>
        <w:separator/>
      </w:r>
    </w:p>
  </w:endnote>
  <w:endnote w:type="continuationSeparator" w:id="0">
    <w:p w14:paraId="0B3FA2FF" w14:textId="77777777" w:rsidR="00D279DF" w:rsidRDefault="00D2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0A37" w14:textId="72AE94E8"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C092B">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7FE81"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CC5F3" w14:textId="77777777" w:rsidR="00D279DF" w:rsidRDefault="00D279DF">
      <w:r>
        <w:separator/>
      </w:r>
    </w:p>
  </w:footnote>
  <w:footnote w:type="continuationSeparator" w:id="0">
    <w:p w14:paraId="4B531F68" w14:textId="77777777" w:rsidR="00D279DF" w:rsidRDefault="00D27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6A61"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7C0BF3">
      <w:rPr>
        <w:rFonts w:ascii="Book Antiqua" w:hAnsi="Book Antiqua" w:cs="Arial"/>
        <w:sz w:val="16"/>
        <w:szCs w:val="16"/>
      </w:rPr>
      <w:t>EA/09242/2017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4804"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DF"/>
    <w:rsid w:val="00000621"/>
    <w:rsid w:val="000036C2"/>
    <w:rsid w:val="00021665"/>
    <w:rsid w:val="00033D3D"/>
    <w:rsid w:val="000369F5"/>
    <w:rsid w:val="0003746D"/>
    <w:rsid w:val="00071A7E"/>
    <w:rsid w:val="000746C0"/>
    <w:rsid w:val="00074D1D"/>
    <w:rsid w:val="00092580"/>
    <w:rsid w:val="000B2F29"/>
    <w:rsid w:val="000D01C9"/>
    <w:rsid w:val="000D5D94"/>
    <w:rsid w:val="000E0CD7"/>
    <w:rsid w:val="00114F8B"/>
    <w:rsid w:val="001165A7"/>
    <w:rsid w:val="00151BB7"/>
    <w:rsid w:val="00167D3A"/>
    <w:rsid w:val="001A1E2C"/>
    <w:rsid w:val="001E2C99"/>
    <w:rsid w:val="001F2716"/>
    <w:rsid w:val="0020133A"/>
    <w:rsid w:val="00207617"/>
    <w:rsid w:val="00255071"/>
    <w:rsid w:val="00283659"/>
    <w:rsid w:val="002C4E73"/>
    <w:rsid w:val="002D68BF"/>
    <w:rsid w:val="00336CBF"/>
    <w:rsid w:val="003405B7"/>
    <w:rsid w:val="003453D1"/>
    <w:rsid w:val="00353469"/>
    <w:rsid w:val="003546C8"/>
    <w:rsid w:val="00372706"/>
    <w:rsid w:val="00385C3B"/>
    <w:rsid w:val="003A7CF2"/>
    <w:rsid w:val="003C5CE5"/>
    <w:rsid w:val="003E267B"/>
    <w:rsid w:val="003E7CD1"/>
    <w:rsid w:val="003F6C5E"/>
    <w:rsid w:val="00402B9E"/>
    <w:rsid w:val="00423932"/>
    <w:rsid w:val="004249CB"/>
    <w:rsid w:val="0044127D"/>
    <w:rsid w:val="00442958"/>
    <w:rsid w:val="004448DB"/>
    <w:rsid w:val="00446C9A"/>
    <w:rsid w:val="00477193"/>
    <w:rsid w:val="004A1848"/>
    <w:rsid w:val="00507FEC"/>
    <w:rsid w:val="00510F0E"/>
    <w:rsid w:val="005426E6"/>
    <w:rsid w:val="005479E1"/>
    <w:rsid w:val="005570FD"/>
    <w:rsid w:val="005575EA"/>
    <w:rsid w:val="0057790C"/>
    <w:rsid w:val="00593795"/>
    <w:rsid w:val="005A75FF"/>
    <w:rsid w:val="005B7789"/>
    <w:rsid w:val="005C1A42"/>
    <w:rsid w:val="005D63E8"/>
    <w:rsid w:val="005E49A7"/>
    <w:rsid w:val="00623E13"/>
    <w:rsid w:val="0065791C"/>
    <w:rsid w:val="00690B8A"/>
    <w:rsid w:val="0069218B"/>
    <w:rsid w:val="006C092B"/>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B4B93"/>
    <w:rsid w:val="007C0BF3"/>
    <w:rsid w:val="007C0CD9"/>
    <w:rsid w:val="007C28B9"/>
    <w:rsid w:val="007F61AD"/>
    <w:rsid w:val="008303B8"/>
    <w:rsid w:val="00833DCE"/>
    <w:rsid w:val="00842418"/>
    <w:rsid w:val="008579D7"/>
    <w:rsid w:val="008634DB"/>
    <w:rsid w:val="00871D34"/>
    <w:rsid w:val="008B270C"/>
    <w:rsid w:val="008B3A83"/>
    <w:rsid w:val="008C3D3D"/>
    <w:rsid w:val="008D4131"/>
    <w:rsid w:val="008F1932"/>
    <w:rsid w:val="008F294D"/>
    <w:rsid w:val="00903F69"/>
    <w:rsid w:val="00921062"/>
    <w:rsid w:val="0092618D"/>
    <w:rsid w:val="009306CD"/>
    <w:rsid w:val="0093083E"/>
    <w:rsid w:val="00956C24"/>
    <w:rsid w:val="00960C72"/>
    <w:rsid w:val="00966ECF"/>
    <w:rsid w:val="009727A3"/>
    <w:rsid w:val="00987774"/>
    <w:rsid w:val="009A11E8"/>
    <w:rsid w:val="009E4E62"/>
    <w:rsid w:val="009F5220"/>
    <w:rsid w:val="009F7C4D"/>
    <w:rsid w:val="00A15234"/>
    <w:rsid w:val="00A201AB"/>
    <w:rsid w:val="00A31C8B"/>
    <w:rsid w:val="00A459D5"/>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6032"/>
    <w:rsid w:val="00C265B0"/>
    <w:rsid w:val="00C321B5"/>
    <w:rsid w:val="00C345E1"/>
    <w:rsid w:val="00C977BA"/>
    <w:rsid w:val="00CB6E35"/>
    <w:rsid w:val="00CE1A46"/>
    <w:rsid w:val="00CE26B2"/>
    <w:rsid w:val="00CF253F"/>
    <w:rsid w:val="00CF56B4"/>
    <w:rsid w:val="00D20F09"/>
    <w:rsid w:val="00D22636"/>
    <w:rsid w:val="00D279DF"/>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B8E83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uiPriority w:val="99"/>
    <w:rsid w:val="005B7789"/>
    <w:rPr>
      <w:color w:val="0000FF"/>
      <w:u w:val="single"/>
    </w:rPr>
  </w:style>
  <w:style w:type="numbering" w:customStyle="1" w:styleId="Style1">
    <w:name w:val="Style1"/>
    <w:rsid w:val="00960C72"/>
    <w:pPr>
      <w:numPr>
        <w:numId w:val="21"/>
      </w:numPr>
    </w:pPr>
  </w:style>
  <w:style w:type="paragraph" w:styleId="NormalWeb">
    <w:name w:val="Normal (Web)"/>
    <w:basedOn w:val="Normal"/>
    <w:uiPriority w:val="99"/>
    <w:unhideWhenUsed/>
    <w:rsid w:val="00A459D5"/>
    <w:pPr>
      <w:spacing w:before="100" w:beforeAutospacing="1" w:after="100" w:afterAutospacing="1"/>
    </w:pPr>
  </w:style>
  <w:style w:type="paragraph" w:styleId="ListParagraph">
    <w:name w:val="List Paragraph"/>
    <w:basedOn w:val="Normal"/>
    <w:uiPriority w:val="34"/>
    <w:qFormat/>
    <w:rsid w:val="00A4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1819</Words>
  <Characters>9116</Characters>
  <Application>Microsoft Office Word</Application>
  <DocSecurity>0</DocSecurity>
  <Lines>75</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2018-08-29T11:47:00Z</dcterms:created>
  <dcterms:modified xsi:type="dcterms:W3CDTF">2018-08-29T11:47:00Z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