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443FD6" w:rsidP="00C321B5">
      <w:pPr>
        <w:jc w:val="center"/>
        <w:rPr>
          <w:rFonts w:ascii="Book Antiqua" w:hAnsi="Book Antiqua" w:cs="Arial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71.25pt">
            <v:imagedata r:id="rId7" o:title=""/>
          </v:shape>
        </w:pict>
      </w:r>
    </w:p>
    <w:p w:rsidR="00D94AFC" w:rsidRPr="00F5664C" w:rsidRDefault="00D94AFC">
      <w:pPr>
        <w:rPr>
          <w:rFonts w:ascii="Book Antiqua" w:hAnsi="Book Antiqua" w:cs="Arial"/>
          <w:sz w:val="16"/>
          <w:szCs w:val="16"/>
        </w:rPr>
      </w:pPr>
    </w:p>
    <w:p w:rsidR="00D94AFC" w:rsidRPr="00F5664C" w:rsidRDefault="00D94AFC">
      <w:pPr>
        <w:rPr>
          <w:rFonts w:ascii="Book Antiqua" w:hAnsi="Book Antiqua" w:cs="Arial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10272">
        <w:rPr>
          <w:rFonts w:ascii="Book Antiqua" w:hAnsi="Book Antiqua" w:cs="Arial"/>
          <w:b/>
        </w:rPr>
        <w:t>Tribunal</w:t>
      </w:r>
    </w:p>
    <w:p w:rsidR="007B0824" w:rsidRPr="00AD7697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443FD6" w:rsidRPr="00443FD6">
        <w:rPr>
          <w:rFonts w:ascii="Book Antiqua" w:hAnsi="Book Antiqua" w:cs="Arial"/>
          <w:caps/>
        </w:rPr>
        <w:t>EA/09270/2016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E41B8E" w:rsidTr="00E41B8E">
        <w:tc>
          <w:tcPr>
            <w:tcW w:w="6048" w:type="dxa"/>
            <w:shd w:val="clear" w:color="auto" w:fill="auto"/>
          </w:tcPr>
          <w:p w:rsidR="00D22636" w:rsidRPr="00E41B8E" w:rsidRDefault="00D22636" w:rsidP="00E41B8E">
            <w:pPr>
              <w:jc w:val="both"/>
              <w:rPr>
                <w:rFonts w:ascii="Book Antiqua" w:hAnsi="Book Antiqua" w:cs="Arial"/>
                <w:b/>
              </w:rPr>
            </w:pPr>
            <w:r w:rsidRPr="00E41B8E">
              <w:rPr>
                <w:rFonts w:ascii="Book Antiqua" w:hAnsi="Book Antiqua" w:cs="Arial"/>
                <w:b/>
              </w:rPr>
              <w:t xml:space="preserve">Heard at </w:t>
            </w:r>
            <w:r w:rsidR="000B50E1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E41B8E" w:rsidRDefault="00C77259" w:rsidP="00E41B8E">
            <w:pPr>
              <w:jc w:val="both"/>
              <w:rPr>
                <w:rFonts w:ascii="Book Antiqua" w:hAnsi="Book Antiqua" w:cs="Arial"/>
                <w:b/>
              </w:rPr>
            </w:pPr>
            <w:r w:rsidRPr="00E41B8E">
              <w:rPr>
                <w:rFonts w:ascii="Book Antiqua" w:hAnsi="Book Antiqua" w:cs="Arial"/>
                <w:b/>
              </w:rPr>
              <w:t>Decision &amp; Reasons</w:t>
            </w:r>
            <w:r w:rsidR="00B768CA" w:rsidRPr="00E41B8E">
              <w:rPr>
                <w:rFonts w:ascii="Book Antiqua" w:hAnsi="Book Antiqua" w:cs="Arial"/>
                <w:b/>
              </w:rPr>
              <w:t xml:space="preserve"> Promulgated</w:t>
            </w:r>
            <w:r w:rsidR="008C63D4" w:rsidRPr="00E41B8E">
              <w:rPr>
                <w:rFonts w:ascii="Book Antiqua" w:hAnsi="Book Antiqua" w:cs="Arial"/>
                <w:b/>
              </w:rPr>
              <w:t xml:space="preserve"> </w:t>
            </w:r>
          </w:p>
        </w:tc>
      </w:tr>
      <w:tr w:rsidR="00D22636" w:rsidRPr="00E41B8E" w:rsidTr="00E41B8E">
        <w:tc>
          <w:tcPr>
            <w:tcW w:w="6048" w:type="dxa"/>
            <w:shd w:val="clear" w:color="auto" w:fill="auto"/>
          </w:tcPr>
          <w:p w:rsidR="00D22636" w:rsidRPr="00E41B8E" w:rsidRDefault="00D22636" w:rsidP="00E41B8E">
            <w:pPr>
              <w:jc w:val="both"/>
              <w:rPr>
                <w:rFonts w:ascii="Book Antiqua" w:hAnsi="Book Antiqua" w:cs="Arial"/>
                <w:b/>
              </w:rPr>
            </w:pPr>
            <w:r w:rsidRPr="00E41B8E">
              <w:rPr>
                <w:rFonts w:ascii="Book Antiqua" w:hAnsi="Book Antiqua" w:cs="Arial"/>
                <w:b/>
              </w:rPr>
              <w:t xml:space="preserve">On </w:t>
            </w:r>
            <w:r w:rsidR="000B50E1">
              <w:rPr>
                <w:rFonts w:ascii="Book Antiqua" w:hAnsi="Book Antiqua" w:cs="Arial"/>
                <w:b/>
              </w:rPr>
              <w:t>the</w:t>
            </w:r>
            <w:r w:rsidR="00CA4CC9">
              <w:rPr>
                <w:rFonts w:ascii="Book Antiqua" w:hAnsi="Book Antiqua" w:cs="Arial"/>
                <w:b/>
              </w:rPr>
              <w:t xml:space="preserve"> </w:t>
            </w:r>
            <w:r w:rsidR="009E3BA8">
              <w:rPr>
                <w:rFonts w:ascii="Book Antiqua" w:hAnsi="Book Antiqua" w:cs="Arial"/>
                <w:b/>
              </w:rPr>
              <w:t>13</w:t>
            </w:r>
            <w:r w:rsidR="009E3BA8" w:rsidRPr="009E3BA8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9E3BA8">
              <w:rPr>
                <w:rFonts w:ascii="Book Antiqua" w:hAnsi="Book Antiqua" w:cs="Arial"/>
                <w:b/>
              </w:rPr>
              <w:t xml:space="preserve"> June</w:t>
            </w:r>
            <w:r w:rsidR="000B50E1">
              <w:rPr>
                <w:rFonts w:ascii="Book Antiqua" w:hAnsi="Book Antiqua" w:cs="Arial"/>
                <w:b/>
              </w:rPr>
              <w:t xml:space="preserve"> 2018</w:t>
            </w:r>
            <w:r w:rsidR="00AD7697" w:rsidRPr="00E41B8E">
              <w:rPr>
                <w:rFonts w:ascii="Book Antiqua" w:hAnsi="Book Antiqua" w:cs="Arial"/>
                <w:b/>
              </w:rPr>
              <w:t xml:space="preserve"> </w:t>
            </w:r>
            <w:r w:rsidR="00CA4CC9">
              <w:rPr>
                <w:rFonts w:ascii="Book Antiqua" w:hAnsi="Book Antiqua" w:cs="Arial"/>
                <w:b/>
              </w:rPr>
              <w:t>(on the papers)</w:t>
            </w:r>
          </w:p>
        </w:tc>
        <w:tc>
          <w:tcPr>
            <w:tcW w:w="3960" w:type="dxa"/>
            <w:shd w:val="clear" w:color="auto" w:fill="auto"/>
          </w:tcPr>
          <w:p w:rsidR="00D22636" w:rsidRPr="00E41B8E" w:rsidRDefault="00EB3505" w:rsidP="00E41B8E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the 18</w:t>
            </w:r>
            <w:r w:rsidRPr="00EB3505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2018 </w:t>
            </w:r>
          </w:p>
        </w:tc>
      </w:tr>
      <w:tr w:rsidR="00D22636" w:rsidRPr="00E41B8E" w:rsidTr="00E41B8E">
        <w:tc>
          <w:tcPr>
            <w:tcW w:w="6048" w:type="dxa"/>
            <w:shd w:val="clear" w:color="auto" w:fill="auto"/>
          </w:tcPr>
          <w:p w:rsidR="00D22636" w:rsidRPr="00E41B8E" w:rsidRDefault="00D22636" w:rsidP="00E41B8E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E41B8E" w:rsidRDefault="00D22636" w:rsidP="00E41B8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10272">
        <w:rPr>
          <w:rFonts w:ascii="Book Antiqua" w:hAnsi="Book Antiqua" w:cs="Arial"/>
          <w:b/>
        </w:rPr>
        <w:t>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 xml:space="preserve">JUDGE </w:t>
      </w:r>
      <w:r w:rsidR="000E4845">
        <w:rPr>
          <w:rFonts w:ascii="Book Antiqua" w:hAnsi="Book Antiqua" w:cs="Arial"/>
          <w:b/>
        </w:rPr>
        <w:t>REEDS</w:t>
      </w:r>
    </w:p>
    <w:p w:rsidR="001A1E2C" w:rsidRDefault="001A1E2C" w:rsidP="00A15234">
      <w:pPr>
        <w:jc w:val="center"/>
        <w:rPr>
          <w:rFonts w:ascii="Book Antiqua" w:hAnsi="Book Antiqua" w:cs="Arial"/>
          <w:b/>
        </w:rPr>
      </w:pPr>
    </w:p>
    <w:p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Pr="00AD7697" w:rsidRDefault="000B50E1" w:rsidP="000B50E1">
      <w:pPr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 w:rsidR="002015B0">
        <w:rPr>
          <w:rFonts w:ascii="Book Antiqua" w:hAnsi="Book Antiqua" w:cs="Arial"/>
          <w:b/>
          <w:caps/>
        </w:rPr>
        <w:t xml:space="preserve">   </w:t>
      </w:r>
      <w:r w:rsidR="009E3BA8">
        <w:rPr>
          <w:rFonts w:ascii="Book Antiqua" w:hAnsi="Book Antiqua" w:cs="Arial"/>
          <w:b/>
          <w:caps/>
        </w:rPr>
        <w:t>Qasim mehmood</w:t>
      </w:r>
    </w:p>
    <w:p w:rsidR="00C77259" w:rsidRDefault="00C77259" w:rsidP="00C77259">
      <w:pPr>
        <w:jc w:val="center"/>
        <w:rPr>
          <w:rFonts w:ascii="Book Antiqua" w:hAnsi="Book Antiqua" w:cs="Arial"/>
          <w:b/>
          <w:caps/>
        </w:rPr>
      </w:pPr>
      <w:r w:rsidRPr="00C77259">
        <w:rPr>
          <w:rFonts w:ascii="Book Antiqua" w:hAnsi="Book Antiqua" w:cs="Arial"/>
          <w:b/>
          <w:caps/>
        </w:rPr>
        <w:t>(</w:t>
      </w:r>
      <w:r w:rsidR="000B50E1">
        <w:rPr>
          <w:rFonts w:ascii="Book Antiqua" w:hAnsi="Book Antiqua" w:cs="Arial"/>
          <w:b/>
          <w:caps/>
        </w:rPr>
        <w:t xml:space="preserve">no </w:t>
      </w:r>
      <w:r w:rsidRPr="00C77259">
        <w:rPr>
          <w:rFonts w:ascii="Book Antiqua" w:hAnsi="Book Antiqua" w:cs="Arial"/>
          <w:b/>
          <w:caps/>
        </w:rPr>
        <w:t xml:space="preserve">ANONYMITY DIRECTION </w:t>
      </w:r>
      <w:r w:rsidR="00AD7697">
        <w:rPr>
          <w:rFonts w:ascii="Book Antiqua" w:hAnsi="Book Antiqua" w:cs="Arial"/>
          <w:b/>
          <w:caps/>
        </w:rPr>
        <w:t>made</w:t>
      </w:r>
      <w:r w:rsidRPr="00C77259">
        <w:rPr>
          <w:rFonts w:ascii="Book Antiqua" w:hAnsi="Book Antiqua" w:cs="Arial"/>
          <w:b/>
          <w:caps/>
        </w:rPr>
        <w:t>)</w:t>
      </w:r>
    </w:p>
    <w:p w:rsidR="00704B61" w:rsidRPr="00F5664C" w:rsidRDefault="00C10272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5664C" w:rsidRDefault="00C10272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Pr="002015B0" w:rsidRDefault="002015B0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2015B0">
        <w:rPr>
          <w:rFonts w:ascii="Book Antiqua" w:hAnsi="Book Antiqua" w:cs="Arial"/>
          <w:b/>
          <w:u w:val="single"/>
        </w:rPr>
        <w:t>DECISION AND REASONS</w:t>
      </w:r>
    </w:p>
    <w:p w:rsidR="00AD7697" w:rsidRPr="00CA4CC9" w:rsidRDefault="00AD7697" w:rsidP="00CA4CC9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C10272">
        <w:rPr>
          <w:rFonts w:ascii="Book Antiqua" w:hAnsi="Book Antiqua" w:cs="Arial"/>
        </w:rPr>
        <w:t>Appellant</w:t>
      </w:r>
      <w:r w:rsidR="00185EFB">
        <w:rPr>
          <w:rFonts w:ascii="Book Antiqua" w:hAnsi="Book Antiqua" w:cs="Arial"/>
        </w:rPr>
        <w:t xml:space="preserve"> is a citizen o</w:t>
      </w:r>
      <w:r w:rsidR="002015B0">
        <w:rPr>
          <w:rFonts w:ascii="Book Antiqua" w:hAnsi="Book Antiqua" w:cs="Arial"/>
        </w:rPr>
        <w:t>f Pakistan</w:t>
      </w:r>
      <w:r w:rsidR="004B4735">
        <w:rPr>
          <w:rFonts w:ascii="Book Antiqua" w:hAnsi="Book Antiqua" w:cs="Arial"/>
        </w:rPr>
        <w:t>.</w:t>
      </w:r>
    </w:p>
    <w:p w:rsidR="002015B0" w:rsidRDefault="000B50E1" w:rsidP="001E704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2015B0">
        <w:rPr>
          <w:rFonts w:ascii="Book Antiqua" w:hAnsi="Book Antiqua" w:cs="Arial"/>
        </w:rPr>
        <w:t xml:space="preserve">The </w:t>
      </w:r>
      <w:r w:rsidR="00C10272" w:rsidRPr="002015B0">
        <w:rPr>
          <w:rFonts w:ascii="Book Antiqua" w:hAnsi="Book Antiqua" w:cs="Arial"/>
        </w:rPr>
        <w:t>Appellant</w:t>
      </w:r>
      <w:r w:rsidR="00AD7697" w:rsidRPr="002015B0">
        <w:rPr>
          <w:rFonts w:ascii="Book Antiqua" w:hAnsi="Book Antiqua" w:cs="Arial"/>
        </w:rPr>
        <w:t xml:space="preserve"> with permission, appeals against the decision of the First-tier </w:t>
      </w:r>
      <w:r w:rsidR="00C10272" w:rsidRPr="002015B0">
        <w:rPr>
          <w:rFonts w:ascii="Book Antiqua" w:hAnsi="Book Antiqua" w:cs="Arial"/>
        </w:rPr>
        <w:t>Tribunal</w:t>
      </w:r>
      <w:r w:rsidR="009E3BA8">
        <w:rPr>
          <w:rFonts w:ascii="Book Antiqua" w:hAnsi="Book Antiqua" w:cs="Arial"/>
        </w:rPr>
        <w:t xml:space="preserve"> (Judge Walker</w:t>
      </w:r>
      <w:r w:rsidR="002015B0" w:rsidRPr="002015B0">
        <w:rPr>
          <w:rFonts w:ascii="Book Antiqua" w:hAnsi="Book Antiqua" w:cs="Arial"/>
        </w:rPr>
        <w:t>)</w:t>
      </w:r>
      <w:r w:rsidR="00AD7697" w:rsidRPr="002015B0">
        <w:rPr>
          <w:rFonts w:ascii="Book Antiqua" w:hAnsi="Book Antiqua" w:cs="Arial"/>
        </w:rPr>
        <w:t xml:space="preserve">, who in a determination promulgated on </w:t>
      </w:r>
      <w:r w:rsidR="002015B0" w:rsidRPr="002015B0">
        <w:rPr>
          <w:rFonts w:ascii="Book Antiqua" w:hAnsi="Book Antiqua" w:cs="Arial"/>
        </w:rPr>
        <w:t xml:space="preserve">the </w:t>
      </w:r>
      <w:r w:rsidR="00CA4CC9">
        <w:rPr>
          <w:rFonts w:ascii="Book Antiqua" w:hAnsi="Book Antiqua" w:cs="Arial"/>
        </w:rPr>
        <w:t>1</w:t>
      </w:r>
      <w:r w:rsidR="009E3BA8">
        <w:rPr>
          <w:rFonts w:ascii="Book Antiqua" w:hAnsi="Book Antiqua" w:cs="Arial"/>
        </w:rPr>
        <w:t>3</w:t>
      </w:r>
      <w:r w:rsidR="009E3BA8" w:rsidRPr="009E3BA8">
        <w:rPr>
          <w:rFonts w:ascii="Book Antiqua" w:hAnsi="Book Antiqua" w:cs="Arial"/>
          <w:vertAlign w:val="superscript"/>
        </w:rPr>
        <w:t>th</w:t>
      </w:r>
      <w:r w:rsidR="009E3BA8">
        <w:rPr>
          <w:rFonts w:ascii="Book Antiqua" w:hAnsi="Book Antiqua" w:cs="Arial"/>
        </w:rPr>
        <w:t xml:space="preserve"> September</w:t>
      </w:r>
      <w:r w:rsidR="002015B0" w:rsidRPr="002015B0">
        <w:rPr>
          <w:rFonts w:ascii="Book Antiqua" w:hAnsi="Book Antiqua" w:cs="Arial"/>
        </w:rPr>
        <w:t xml:space="preserve"> 2017 dismissed </w:t>
      </w:r>
      <w:r w:rsidR="008B729E" w:rsidRPr="002015B0">
        <w:rPr>
          <w:rFonts w:ascii="Book Antiqua" w:hAnsi="Book Antiqua" w:cs="Arial"/>
        </w:rPr>
        <w:t>his appeal</w:t>
      </w:r>
      <w:r w:rsidR="00E14957" w:rsidRPr="002015B0">
        <w:rPr>
          <w:rFonts w:ascii="Book Antiqua" w:hAnsi="Book Antiqua" w:cs="Arial"/>
        </w:rPr>
        <w:t xml:space="preserve"> against the decision of the </w:t>
      </w:r>
      <w:r w:rsidR="00C10272" w:rsidRPr="002015B0">
        <w:rPr>
          <w:rFonts w:ascii="Book Antiqua" w:hAnsi="Book Antiqua" w:cs="Arial"/>
        </w:rPr>
        <w:t>Respondent</w:t>
      </w:r>
      <w:r w:rsidR="006975B5">
        <w:rPr>
          <w:rFonts w:ascii="Book Antiqua" w:hAnsi="Book Antiqua" w:cs="Arial"/>
        </w:rPr>
        <w:t xml:space="preserve"> to refuse his appeal</w:t>
      </w:r>
      <w:r w:rsidR="00221D5E">
        <w:rPr>
          <w:rFonts w:ascii="Book Antiqua" w:hAnsi="Book Antiqua" w:cs="Arial"/>
        </w:rPr>
        <w:t xml:space="preserve"> under </w:t>
      </w:r>
      <w:r w:rsidR="008B729E">
        <w:rPr>
          <w:rFonts w:ascii="Book Antiqua" w:hAnsi="Book Antiqua" w:cs="Arial"/>
        </w:rPr>
        <w:t>the</w:t>
      </w:r>
      <w:r w:rsidR="002015B0" w:rsidRPr="002015B0">
        <w:rPr>
          <w:rFonts w:ascii="Book Antiqua" w:hAnsi="Book Antiqua" w:cs="Arial"/>
        </w:rPr>
        <w:t xml:space="preserve"> Immigration (European </w:t>
      </w:r>
      <w:r w:rsidR="006975B5">
        <w:rPr>
          <w:rFonts w:ascii="Book Antiqua" w:hAnsi="Book Antiqua" w:cs="Arial"/>
        </w:rPr>
        <w:t xml:space="preserve">Economic Area) Regulations 2006 based on the want of jurisdiction following the decision in </w:t>
      </w:r>
      <w:r w:rsidR="006975B5" w:rsidRPr="00007632">
        <w:rPr>
          <w:rFonts w:ascii="Book Antiqua" w:hAnsi="Book Antiqua" w:cs="Arial"/>
          <w:u w:val="single"/>
        </w:rPr>
        <w:t>Sala</w:t>
      </w:r>
      <w:r w:rsidR="006975B5">
        <w:rPr>
          <w:rFonts w:ascii="Book Antiqua" w:hAnsi="Book Antiqua" w:cs="Arial"/>
        </w:rPr>
        <w:t>.</w:t>
      </w:r>
    </w:p>
    <w:p w:rsidR="002015B0" w:rsidRDefault="002015B0" w:rsidP="002015B0">
      <w:pPr>
        <w:pStyle w:val="ListParagraph"/>
        <w:rPr>
          <w:rFonts w:ascii="Book Antiqua" w:hAnsi="Book Antiqua" w:cs="Arial"/>
        </w:rPr>
      </w:pPr>
    </w:p>
    <w:p w:rsidR="006A6045" w:rsidRDefault="006A6045" w:rsidP="009217E0">
      <w:pPr>
        <w:spacing w:before="240"/>
        <w:ind w:left="567"/>
        <w:jc w:val="both"/>
        <w:rPr>
          <w:rFonts w:ascii="Book Antiqua" w:hAnsi="Book Antiqua" w:cs="Arial"/>
        </w:rPr>
      </w:pPr>
    </w:p>
    <w:p w:rsidR="002015B0" w:rsidRDefault="002015B0" w:rsidP="002015B0">
      <w:pPr>
        <w:pStyle w:val="ListParagraph"/>
        <w:rPr>
          <w:rFonts w:ascii="Book Antiqua" w:hAnsi="Book Antiqua" w:cs="Arial"/>
        </w:rPr>
      </w:pPr>
    </w:p>
    <w:p w:rsidR="002015B0" w:rsidRDefault="002015B0" w:rsidP="002015B0">
      <w:pPr>
        <w:pStyle w:val="Style1"/>
        <w:numPr>
          <w:ilvl w:val="0"/>
          <w:numId w:val="3"/>
        </w:numPr>
        <w:jc w:val="both"/>
        <w:rPr>
          <w:rFonts w:ascii="Book Antiqua" w:hAnsi="Book Antiqua"/>
        </w:rPr>
      </w:pPr>
      <w:r w:rsidRPr="00C35D2E">
        <w:rPr>
          <w:rFonts w:ascii="Book Antiqua" w:hAnsi="Book Antiqua"/>
        </w:rPr>
        <w:t xml:space="preserve">In the light of </w:t>
      </w:r>
      <w:r w:rsidRPr="00C35D2E">
        <w:rPr>
          <w:rFonts w:ascii="Book Antiqua" w:hAnsi="Book Antiqua"/>
          <w:u w:val="single"/>
        </w:rPr>
        <w:t>Khan v Secretary of State for the Home Department</w:t>
      </w:r>
      <w:r w:rsidRPr="00C35D2E">
        <w:rPr>
          <w:rFonts w:ascii="Book Antiqua" w:hAnsi="Book Antiqua"/>
        </w:rPr>
        <w:t xml:space="preserve"> [2017] EWCA Civ 1755,</w:t>
      </w:r>
      <w:r>
        <w:rPr>
          <w:rFonts w:ascii="Book Antiqua" w:hAnsi="Book Antiqua"/>
        </w:rPr>
        <w:t xml:space="preserve"> the First-tier Tribunal granted permission to appeal on the basis that it was arguably wrong in law to have concluded that it did not have jurisdiction to hear the appeal.</w:t>
      </w:r>
    </w:p>
    <w:p w:rsidR="006975B5" w:rsidRDefault="006975B5" w:rsidP="006975B5">
      <w:pPr>
        <w:pStyle w:val="ListParagraph"/>
        <w:rPr>
          <w:rFonts w:ascii="Book Antiqua" w:hAnsi="Book Antiqua"/>
        </w:rPr>
      </w:pPr>
    </w:p>
    <w:p w:rsidR="006975B5" w:rsidRDefault="006975B5" w:rsidP="006975B5">
      <w:pPr>
        <w:pStyle w:val="Style1"/>
        <w:jc w:val="both"/>
        <w:rPr>
          <w:rFonts w:ascii="Book Antiqua" w:hAnsi="Book Antiqua"/>
        </w:rPr>
      </w:pPr>
    </w:p>
    <w:p w:rsidR="006975B5" w:rsidRPr="009E3BA8" w:rsidRDefault="009E3BA8" w:rsidP="009E3BA8">
      <w:pPr>
        <w:pStyle w:val="Style1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The Respondent has indicated that in cases such as this there is no dispute that in light of the decision in </w:t>
      </w:r>
      <w:r w:rsidRPr="00583619">
        <w:rPr>
          <w:rFonts w:ascii="Book Antiqua" w:hAnsi="Book Antiqua"/>
          <w:u w:val="single"/>
        </w:rPr>
        <w:t>Khan</w:t>
      </w:r>
      <w:r>
        <w:rPr>
          <w:rFonts w:ascii="Book Antiqua" w:hAnsi="Book Antiqua"/>
        </w:rPr>
        <w:t xml:space="preserve"> (as cited) the appropriate course is to set aside the decision. I am therefore satisfied that </w:t>
      </w:r>
      <w:r w:rsidR="006975B5" w:rsidRPr="009E3BA8">
        <w:rPr>
          <w:rFonts w:ascii="Book Antiqua" w:hAnsi="Book Antiqua"/>
        </w:rPr>
        <w:t>the FTT erred in law in reaching the decision that there was no jurisdiction. I therefore set aside the decision. It will be remitted to the FTT to be heard afresh.</w:t>
      </w:r>
    </w:p>
    <w:p w:rsidR="00CD672E" w:rsidRDefault="00CD672E" w:rsidP="00CD672E">
      <w:pPr>
        <w:pStyle w:val="ListParagraph"/>
        <w:rPr>
          <w:rFonts w:ascii="Book Antiqua" w:hAnsi="Book Antiqua"/>
        </w:rPr>
      </w:pPr>
    </w:p>
    <w:p w:rsidR="00CD672E" w:rsidRDefault="00CD672E" w:rsidP="00CD672E">
      <w:pPr>
        <w:pStyle w:val="Style1"/>
        <w:ind w:left="567"/>
        <w:jc w:val="both"/>
        <w:rPr>
          <w:rFonts w:ascii="Book Antiqua" w:hAnsi="Book Antiqua"/>
        </w:rPr>
      </w:pPr>
    </w:p>
    <w:p w:rsidR="00E14957" w:rsidRPr="002B246F" w:rsidRDefault="00E14957" w:rsidP="00E14957">
      <w:pPr>
        <w:spacing w:before="240"/>
        <w:jc w:val="both"/>
        <w:rPr>
          <w:rFonts w:ascii="Book Antiqua" w:hAnsi="Book Antiqua" w:cs="Arial"/>
          <w:u w:val="single"/>
        </w:rPr>
      </w:pPr>
      <w:r w:rsidRPr="002B246F">
        <w:rPr>
          <w:rFonts w:ascii="Book Antiqua" w:hAnsi="Book Antiqua" w:cs="Arial"/>
          <w:u w:val="single"/>
        </w:rPr>
        <w:t xml:space="preserve">Decision: </w:t>
      </w:r>
    </w:p>
    <w:p w:rsidR="002015B0" w:rsidRDefault="00E14957" w:rsidP="006975B5">
      <w:p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</w:t>
      </w:r>
      <w:r w:rsidR="00C10272">
        <w:rPr>
          <w:rFonts w:ascii="Book Antiqua" w:hAnsi="Book Antiqua" w:cs="Arial"/>
        </w:rPr>
        <w:t>Tribunal</w:t>
      </w:r>
      <w:r>
        <w:rPr>
          <w:rFonts w:ascii="Book Antiqua" w:hAnsi="Book Antiqua" w:cs="Arial"/>
        </w:rPr>
        <w:t xml:space="preserve"> involved the making of an error on a point of law. The decision is set aside and </w:t>
      </w:r>
      <w:r w:rsidR="002015B0">
        <w:rPr>
          <w:rFonts w:ascii="Book Antiqua" w:hAnsi="Book Antiqua" w:cs="Arial"/>
        </w:rPr>
        <w:t xml:space="preserve">will be </w:t>
      </w:r>
      <w:r w:rsidR="006975B5">
        <w:rPr>
          <w:rFonts w:ascii="Book Antiqua" w:hAnsi="Book Antiqua" w:cs="Arial"/>
        </w:rPr>
        <w:t>remitted to the First-tier Tribunal</w:t>
      </w:r>
      <w:r w:rsidR="002015B0">
        <w:rPr>
          <w:rFonts w:ascii="Book Antiqua" w:hAnsi="Book Antiqua" w:cs="Arial"/>
        </w:rPr>
        <w:t xml:space="preserve"> </w:t>
      </w:r>
    </w:p>
    <w:p w:rsidR="002015B0" w:rsidRPr="00E14957" w:rsidRDefault="002015B0" w:rsidP="00CD672E">
      <w:pPr>
        <w:spacing w:before="240"/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C17F4D">
        <w:rPr>
          <w:rFonts w:ascii="Book Antiqua" w:hAnsi="Book Antiqua" w:cs="Arial"/>
        </w:rPr>
        <w:t>:</w:t>
      </w:r>
      <w:r w:rsidR="009E3BA8">
        <w:rPr>
          <w:rFonts w:ascii="Book Antiqua" w:hAnsi="Book Antiqua" w:cs="Arial"/>
        </w:rPr>
        <w:t xml:space="preserve"> 13/6</w:t>
      </w:r>
      <w:r w:rsidR="00E14957">
        <w:rPr>
          <w:rFonts w:ascii="Book Antiqua" w:hAnsi="Book Antiqua" w:cs="Arial"/>
        </w:rPr>
        <w:t>/2018</w:t>
      </w:r>
    </w:p>
    <w:p w:rsidR="005B7789" w:rsidRPr="00F5664C" w:rsidRDefault="00255071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Upper </w:t>
      </w:r>
      <w:r w:rsidR="00C10272">
        <w:rPr>
          <w:rFonts w:ascii="Book Antiqua" w:hAnsi="Book Antiqua" w:cs="Arial"/>
        </w:rPr>
        <w:t>Tribunal</w:t>
      </w:r>
      <w:r>
        <w:rPr>
          <w:rFonts w:ascii="Book Antiqua" w:hAnsi="Book Antiqua" w:cs="Arial"/>
        </w:rPr>
        <w:t xml:space="preserve"> Judge </w:t>
      </w:r>
      <w:r w:rsidR="000E4845">
        <w:rPr>
          <w:rFonts w:ascii="Book Antiqua" w:hAnsi="Book Antiqua" w:cs="Arial"/>
        </w:rPr>
        <w:t>Reeds</w:t>
      </w:r>
    </w:p>
    <w:p w:rsidR="00C321B5" w:rsidRPr="00F5664C" w:rsidRDefault="00C321B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8"/>
      <w:footerReference w:type="defaul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A8" w:rsidRDefault="00F075A8">
      <w:r>
        <w:separator/>
      </w:r>
    </w:p>
  </w:endnote>
  <w:endnote w:type="continuationSeparator" w:id="0">
    <w:p w:rsidR="00F075A8" w:rsidRDefault="00F0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7E" w:rsidRPr="00F5664C" w:rsidRDefault="002B597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9C2690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7E" w:rsidRPr="00F5664C" w:rsidRDefault="002B597E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0B50E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A8" w:rsidRDefault="00F075A8">
      <w:r>
        <w:separator/>
      </w:r>
    </w:p>
  </w:footnote>
  <w:footnote w:type="continuationSeparator" w:id="0">
    <w:p w:rsidR="00F075A8" w:rsidRDefault="00F0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7E" w:rsidRPr="00AD7697" w:rsidRDefault="002B597E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 xml:space="preserve">Appeal Number: </w:t>
    </w:r>
    <w:r w:rsidR="00443FD6" w:rsidRPr="00443FD6">
      <w:rPr>
        <w:rFonts w:ascii="Book Antiqua" w:hAnsi="Book Antiqua" w:cs="Arial"/>
        <w:sz w:val="16"/>
        <w:szCs w:val="16"/>
      </w:rPr>
      <w:t>EA/09270/2016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7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1E57"/>
    <w:rsid w:val="00000621"/>
    <w:rsid w:val="000036C2"/>
    <w:rsid w:val="00007632"/>
    <w:rsid w:val="00022B44"/>
    <w:rsid w:val="00033D3D"/>
    <w:rsid w:val="000369F5"/>
    <w:rsid w:val="000569D2"/>
    <w:rsid w:val="00071A7E"/>
    <w:rsid w:val="000746C0"/>
    <w:rsid w:val="00074D1D"/>
    <w:rsid w:val="00092580"/>
    <w:rsid w:val="000B50E1"/>
    <w:rsid w:val="000D01C9"/>
    <w:rsid w:val="000D5D94"/>
    <w:rsid w:val="000E0CD7"/>
    <w:rsid w:val="000E4845"/>
    <w:rsid w:val="000E6041"/>
    <w:rsid w:val="00102DCE"/>
    <w:rsid w:val="0010506C"/>
    <w:rsid w:val="0010561B"/>
    <w:rsid w:val="00114F8B"/>
    <w:rsid w:val="001165A7"/>
    <w:rsid w:val="00125CE2"/>
    <w:rsid w:val="001309E5"/>
    <w:rsid w:val="00134EF7"/>
    <w:rsid w:val="00136DF4"/>
    <w:rsid w:val="00151BB7"/>
    <w:rsid w:val="00167D3A"/>
    <w:rsid w:val="00185EFB"/>
    <w:rsid w:val="001A1E2C"/>
    <w:rsid w:val="001C0DE6"/>
    <w:rsid w:val="001C467B"/>
    <w:rsid w:val="001C692B"/>
    <w:rsid w:val="001C741A"/>
    <w:rsid w:val="001E7046"/>
    <w:rsid w:val="001F2716"/>
    <w:rsid w:val="0020133A"/>
    <w:rsid w:val="002015B0"/>
    <w:rsid w:val="00207617"/>
    <w:rsid w:val="00221D5E"/>
    <w:rsid w:val="00255071"/>
    <w:rsid w:val="00283659"/>
    <w:rsid w:val="00291ECF"/>
    <w:rsid w:val="002A3A92"/>
    <w:rsid w:val="002A520B"/>
    <w:rsid w:val="002B246F"/>
    <w:rsid w:val="002B597E"/>
    <w:rsid w:val="002C4E73"/>
    <w:rsid w:val="002D68BF"/>
    <w:rsid w:val="002E4A80"/>
    <w:rsid w:val="00310822"/>
    <w:rsid w:val="00310B66"/>
    <w:rsid w:val="00327879"/>
    <w:rsid w:val="00336CBF"/>
    <w:rsid w:val="003546C8"/>
    <w:rsid w:val="003577DA"/>
    <w:rsid w:val="003A7CF2"/>
    <w:rsid w:val="003C5CE5"/>
    <w:rsid w:val="003D71B0"/>
    <w:rsid w:val="003E267B"/>
    <w:rsid w:val="003E7CD1"/>
    <w:rsid w:val="00402B9E"/>
    <w:rsid w:val="004064D0"/>
    <w:rsid w:val="00415A87"/>
    <w:rsid w:val="00417D4B"/>
    <w:rsid w:val="00423932"/>
    <w:rsid w:val="00423DD1"/>
    <w:rsid w:val="004249CB"/>
    <w:rsid w:val="00426D30"/>
    <w:rsid w:val="00430D44"/>
    <w:rsid w:val="00437B5C"/>
    <w:rsid w:val="0044127D"/>
    <w:rsid w:val="00443FD6"/>
    <w:rsid w:val="004448DB"/>
    <w:rsid w:val="00446C9A"/>
    <w:rsid w:val="00464ACF"/>
    <w:rsid w:val="00477193"/>
    <w:rsid w:val="004A000C"/>
    <w:rsid w:val="004A1177"/>
    <w:rsid w:val="004A1848"/>
    <w:rsid w:val="004A6A9D"/>
    <w:rsid w:val="004B1583"/>
    <w:rsid w:val="004B25A1"/>
    <w:rsid w:val="004B4735"/>
    <w:rsid w:val="004F053E"/>
    <w:rsid w:val="00507FEC"/>
    <w:rsid w:val="00510F0E"/>
    <w:rsid w:val="00513213"/>
    <w:rsid w:val="005213E3"/>
    <w:rsid w:val="005479E1"/>
    <w:rsid w:val="005541F0"/>
    <w:rsid w:val="005570FD"/>
    <w:rsid w:val="005575EA"/>
    <w:rsid w:val="0057790C"/>
    <w:rsid w:val="00583619"/>
    <w:rsid w:val="00593795"/>
    <w:rsid w:val="005A0E09"/>
    <w:rsid w:val="005A75FF"/>
    <w:rsid w:val="005B7789"/>
    <w:rsid w:val="005C4825"/>
    <w:rsid w:val="005D01CB"/>
    <w:rsid w:val="005D1323"/>
    <w:rsid w:val="005D5B4A"/>
    <w:rsid w:val="005E0177"/>
    <w:rsid w:val="00601B0B"/>
    <w:rsid w:val="00603CD4"/>
    <w:rsid w:val="006042A7"/>
    <w:rsid w:val="00605791"/>
    <w:rsid w:val="00610D5E"/>
    <w:rsid w:val="00627857"/>
    <w:rsid w:val="00646601"/>
    <w:rsid w:val="0065791C"/>
    <w:rsid w:val="00690B8A"/>
    <w:rsid w:val="00694536"/>
    <w:rsid w:val="006975B5"/>
    <w:rsid w:val="006A4535"/>
    <w:rsid w:val="006A6045"/>
    <w:rsid w:val="006A610F"/>
    <w:rsid w:val="006D1DFA"/>
    <w:rsid w:val="006D506B"/>
    <w:rsid w:val="006E3C90"/>
    <w:rsid w:val="00704B61"/>
    <w:rsid w:val="00707DB1"/>
    <w:rsid w:val="007353BB"/>
    <w:rsid w:val="00736110"/>
    <w:rsid w:val="00742A8D"/>
    <w:rsid w:val="00750234"/>
    <w:rsid w:val="007552A9"/>
    <w:rsid w:val="00761858"/>
    <w:rsid w:val="007654B5"/>
    <w:rsid w:val="00767D59"/>
    <w:rsid w:val="00772E51"/>
    <w:rsid w:val="00776E97"/>
    <w:rsid w:val="00780FD7"/>
    <w:rsid w:val="007912AD"/>
    <w:rsid w:val="007A1F28"/>
    <w:rsid w:val="007B0824"/>
    <w:rsid w:val="007E104F"/>
    <w:rsid w:val="008303B8"/>
    <w:rsid w:val="00833DCE"/>
    <w:rsid w:val="00842418"/>
    <w:rsid w:val="00845DF2"/>
    <w:rsid w:val="00855AF3"/>
    <w:rsid w:val="008634DB"/>
    <w:rsid w:val="00870BBE"/>
    <w:rsid w:val="00871D34"/>
    <w:rsid w:val="008B270C"/>
    <w:rsid w:val="008B729E"/>
    <w:rsid w:val="008C3D3D"/>
    <w:rsid w:val="008C63D4"/>
    <w:rsid w:val="008D4131"/>
    <w:rsid w:val="008D7C3E"/>
    <w:rsid w:val="008F1932"/>
    <w:rsid w:val="008F294D"/>
    <w:rsid w:val="009077BE"/>
    <w:rsid w:val="00921062"/>
    <w:rsid w:val="009217E0"/>
    <w:rsid w:val="0092618D"/>
    <w:rsid w:val="0093083E"/>
    <w:rsid w:val="00931E57"/>
    <w:rsid w:val="009510DF"/>
    <w:rsid w:val="00956548"/>
    <w:rsid w:val="00960269"/>
    <w:rsid w:val="00966ECF"/>
    <w:rsid w:val="009727A3"/>
    <w:rsid w:val="00974003"/>
    <w:rsid w:val="00980606"/>
    <w:rsid w:val="00984974"/>
    <w:rsid w:val="00986CE3"/>
    <w:rsid w:val="00987774"/>
    <w:rsid w:val="009A11E8"/>
    <w:rsid w:val="009B201A"/>
    <w:rsid w:val="009C2690"/>
    <w:rsid w:val="009D293A"/>
    <w:rsid w:val="009E3BA8"/>
    <w:rsid w:val="009E4E62"/>
    <w:rsid w:val="009F5220"/>
    <w:rsid w:val="009F7C4D"/>
    <w:rsid w:val="00A14759"/>
    <w:rsid w:val="00A15234"/>
    <w:rsid w:val="00A201AB"/>
    <w:rsid w:val="00A31C8B"/>
    <w:rsid w:val="00A3621B"/>
    <w:rsid w:val="00A75965"/>
    <w:rsid w:val="00A845DC"/>
    <w:rsid w:val="00A871FC"/>
    <w:rsid w:val="00A93E1E"/>
    <w:rsid w:val="00A97AEE"/>
    <w:rsid w:val="00AA01F8"/>
    <w:rsid w:val="00AA6613"/>
    <w:rsid w:val="00AB2E10"/>
    <w:rsid w:val="00AC235A"/>
    <w:rsid w:val="00AC5CF6"/>
    <w:rsid w:val="00AD7697"/>
    <w:rsid w:val="00AE072E"/>
    <w:rsid w:val="00AF4B3C"/>
    <w:rsid w:val="00B144FA"/>
    <w:rsid w:val="00B16F58"/>
    <w:rsid w:val="00B30648"/>
    <w:rsid w:val="00B3524D"/>
    <w:rsid w:val="00B40F69"/>
    <w:rsid w:val="00B46616"/>
    <w:rsid w:val="00B610E3"/>
    <w:rsid w:val="00B61205"/>
    <w:rsid w:val="00B617C4"/>
    <w:rsid w:val="00B626FA"/>
    <w:rsid w:val="00B66F98"/>
    <w:rsid w:val="00B7040A"/>
    <w:rsid w:val="00B74717"/>
    <w:rsid w:val="00B768CA"/>
    <w:rsid w:val="00B96FA0"/>
    <w:rsid w:val="00BD4196"/>
    <w:rsid w:val="00BE44D1"/>
    <w:rsid w:val="00BE5270"/>
    <w:rsid w:val="00BE77AA"/>
    <w:rsid w:val="00BF22CA"/>
    <w:rsid w:val="00BF6EFC"/>
    <w:rsid w:val="00C06E2D"/>
    <w:rsid w:val="00C10272"/>
    <w:rsid w:val="00C17F4D"/>
    <w:rsid w:val="00C26032"/>
    <w:rsid w:val="00C265B0"/>
    <w:rsid w:val="00C321B5"/>
    <w:rsid w:val="00C345E1"/>
    <w:rsid w:val="00C423C9"/>
    <w:rsid w:val="00C635C4"/>
    <w:rsid w:val="00C65220"/>
    <w:rsid w:val="00C716B3"/>
    <w:rsid w:val="00C77259"/>
    <w:rsid w:val="00C821C2"/>
    <w:rsid w:val="00C90233"/>
    <w:rsid w:val="00C977BA"/>
    <w:rsid w:val="00CA4CC9"/>
    <w:rsid w:val="00CB6E35"/>
    <w:rsid w:val="00CC58F2"/>
    <w:rsid w:val="00CD0A06"/>
    <w:rsid w:val="00CD672E"/>
    <w:rsid w:val="00CE1A46"/>
    <w:rsid w:val="00CE26B2"/>
    <w:rsid w:val="00CE5450"/>
    <w:rsid w:val="00CF253F"/>
    <w:rsid w:val="00CF56B4"/>
    <w:rsid w:val="00D20F09"/>
    <w:rsid w:val="00D22636"/>
    <w:rsid w:val="00D40FD9"/>
    <w:rsid w:val="00D46066"/>
    <w:rsid w:val="00D53769"/>
    <w:rsid w:val="00D63600"/>
    <w:rsid w:val="00D65912"/>
    <w:rsid w:val="00D66EA2"/>
    <w:rsid w:val="00D71BFB"/>
    <w:rsid w:val="00D836EA"/>
    <w:rsid w:val="00D85705"/>
    <w:rsid w:val="00D85C13"/>
    <w:rsid w:val="00D9195E"/>
    <w:rsid w:val="00D91BE3"/>
    <w:rsid w:val="00D923E0"/>
    <w:rsid w:val="00D94AFC"/>
    <w:rsid w:val="00DA084F"/>
    <w:rsid w:val="00DB44F3"/>
    <w:rsid w:val="00DB70AE"/>
    <w:rsid w:val="00DB7231"/>
    <w:rsid w:val="00DC46CF"/>
    <w:rsid w:val="00DC499E"/>
    <w:rsid w:val="00DD5071"/>
    <w:rsid w:val="00DD5C39"/>
    <w:rsid w:val="00DE26AF"/>
    <w:rsid w:val="00DE7DB7"/>
    <w:rsid w:val="00E00A0A"/>
    <w:rsid w:val="00E02E1D"/>
    <w:rsid w:val="00E07F57"/>
    <w:rsid w:val="00E1040E"/>
    <w:rsid w:val="00E14957"/>
    <w:rsid w:val="00E23B71"/>
    <w:rsid w:val="00E41B8E"/>
    <w:rsid w:val="00E50BCE"/>
    <w:rsid w:val="00E61292"/>
    <w:rsid w:val="00E66D93"/>
    <w:rsid w:val="00E76309"/>
    <w:rsid w:val="00E77C4D"/>
    <w:rsid w:val="00E81D01"/>
    <w:rsid w:val="00E85327"/>
    <w:rsid w:val="00E9064F"/>
    <w:rsid w:val="00EA4C45"/>
    <w:rsid w:val="00EB3505"/>
    <w:rsid w:val="00EE45D8"/>
    <w:rsid w:val="00F004CD"/>
    <w:rsid w:val="00F02062"/>
    <w:rsid w:val="00F05008"/>
    <w:rsid w:val="00F075A8"/>
    <w:rsid w:val="00F22A22"/>
    <w:rsid w:val="00F22EDA"/>
    <w:rsid w:val="00F3224D"/>
    <w:rsid w:val="00F33E0E"/>
    <w:rsid w:val="00F5664C"/>
    <w:rsid w:val="00F574B1"/>
    <w:rsid w:val="00F824FF"/>
    <w:rsid w:val="00FB7E80"/>
    <w:rsid w:val="00FC2E83"/>
    <w:rsid w:val="00FC4E4E"/>
    <w:rsid w:val="00FC55CF"/>
    <w:rsid w:val="00FE3D02"/>
    <w:rsid w:val="00FF0B4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15B0"/>
    <w:pPr>
      <w:ind w:left="720"/>
    </w:pPr>
  </w:style>
  <w:style w:type="paragraph" w:customStyle="1" w:styleId="Style1">
    <w:name w:val="Style1"/>
    <w:basedOn w:val="Normal"/>
    <w:rsid w:val="002015B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2018-07-11T14:57:00Z</dcterms:created>
  <dcterms:modified xsi:type="dcterms:W3CDTF">2018-07-11T14:57:00Z</dcterms:modified>
</cp:coreProperties>
</file>