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FA1712" w:rsidP="00643BFC">
      <w:pPr>
        <w:jc w:val="center"/>
        <w:rPr>
          <w:rFonts w:ascii="Book Antiqua" w:hAnsi="Book Antiqua" w:cs="Arial"/>
          <w:caps/>
          <w:color w:val="000000"/>
          <w:sz w:val="16"/>
          <w:szCs w:val="16"/>
        </w:rPr>
      </w:pPr>
      <w:r>
        <w:rPr>
          <w:noProof/>
        </w:rPr>
        <w:drawing>
          <wp:inline distT="0" distB="0" distL="0" distR="0">
            <wp:extent cx="1047750" cy="9048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Default="00D94AFC">
      <w:pPr>
        <w:rPr>
          <w:rFonts w:ascii="Book Antiqua" w:hAnsi="Book Antiqua" w:cs="Arial"/>
          <w:color w:val="000000"/>
        </w:rPr>
      </w:pP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7B0824" w:rsidRPr="005D1D4F" w:rsidRDefault="00643BFC" w:rsidP="00780F86">
      <w:pPr>
        <w:tabs>
          <w:tab w:val="right" w:pos="9720"/>
        </w:tabs>
        <w:ind w:right="-82"/>
        <w:rPr>
          <w:rFonts w:ascii="Book Antiqua" w:hAnsi="Book Antiqua" w:cs="Arial"/>
          <w:caps/>
          <w:color w:val="000000"/>
        </w:rPr>
      </w:pPr>
      <w:r w:rsidRPr="000704BB">
        <w:rPr>
          <w:rFonts w:ascii="Book Antiqua" w:hAnsi="Book Antiqua" w:cs="Arial"/>
          <w:b/>
          <w:color w:val="000000"/>
        </w:rPr>
        <w:t>(Immigration and Asylum Chamber)</w:t>
      </w:r>
      <w:r w:rsidR="00DB70AE" w:rsidRPr="000704BB">
        <w:rPr>
          <w:rFonts w:ascii="Book Antiqua" w:hAnsi="Book Antiqua" w:cs="Arial"/>
          <w:b/>
          <w:color w:val="000000"/>
        </w:rPr>
        <w:tab/>
      </w:r>
      <w:r w:rsidR="00B3524D" w:rsidRPr="000704BB">
        <w:rPr>
          <w:rFonts w:ascii="Book Antiqua" w:hAnsi="Book Antiqua" w:cs="Arial"/>
          <w:color w:val="000000"/>
        </w:rPr>
        <w:t>Appeal Number</w:t>
      </w:r>
      <w:r w:rsidR="00D53769" w:rsidRPr="000704BB">
        <w:rPr>
          <w:rFonts w:ascii="Book Antiqua" w:hAnsi="Book Antiqua" w:cs="Arial"/>
          <w:color w:val="000000"/>
        </w:rPr>
        <w:t>:</w:t>
      </w:r>
      <w:r w:rsidR="00B3524D" w:rsidRPr="000704BB">
        <w:rPr>
          <w:rFonts w:ascii="Book Antiqua" w:hAnsi="Book Antiqua" w:cs="Arial"/>
          <w:color w:val="000000"/>
        </w:rPr>
        <w:t xml:space="preserve"> </w:t>
      </w:r>
      <w:bookmarkStart w:id="0" w:name="_GoBack"/>
      <w:r w:rsidR="005D1D4F" w:rsidRPr="005D1D4F">
        <w:rPr>
          <w:rFonts w:ascii="Book Antiqua" w:hAnsi="Book Antiqua" w:cs="Arial"/>
          <w:caps/>
          <w:color w:val="000000"/>
        </w:rPr>
        <w:t>EA/09589/2016</w:t>
      </w:r>
      <w:bookmarkEnd w:id="0"/>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A06B0A" w:rsidTr="00A06B0A">
        <w:tc>
          <w:tcPr>
            <w:tcW w:w="5868" w:type="dxa"/>
            <w:shd w:val="clear" w:color="auto" w:fill="auto"/>
          </w:tcPr>
          <w:p w:rsidR="00D22636" w:rsidRPr="00A06B0A" w:rsidRDefault="00D22636" w:rsidP="00A06B0A">
            <w:pPr>
              <w:jc w:val="both"/>
              <w:rPr>
                <w:rFonts w:ascii="Book Antiqua" w:hAnsi="Book Antiqua" w:cs="Arial"/>
                <w:b/>
              </w:rPr>
            </w:pPr>
            <w:r w:rsidRPr="00A06B0A">
              <w:rPr>
                <w:rFonts w:ascii="Book Antiqua" w:hAnsi="Book Antiqua" w:cs="Arial"/>
                <w:b/>
              </w:rPr>
              <w:t xml:space="preserve">Heard at </w:t>
            </w:r>
            <w:r w:rsidR="005D1D4F" w:rsidRPr="00A06B0A">
              <w:rPr>
                <w:rFonts w:ascii="Book Antiqua" w:hAnsi="Book Antiqua" w:cs="Arial"/>
                <w:b/>
              </w:rPr>
              <w:t xml:space="preserve">Field House </w:t>
            </w:r>
          </w:p>
        </w:tc>
        <w:tc>
          <w:tcPr>
            <w:tcW w:w="3960" w:type="dxa"/>
            <w:shd w:val="clear" w:color="auto" w:fill="auto"/>
          </w:tcPr>
          <w:p w:rsidR="00D22636" w:rsidRPr="00A06B0A" w:rsidRDefault="00265B39" w:rsidP="00A06B0A">
            <w:pPr>
              <w:jc w:val="both"/>
              <w:rPr>
                <w:rFonts w:ascii="Book Antiqua" w:hAnsi="Book Antiqua" w:cs="Arial"/>
                <w:b/>
                <w:color w:val="000000"/>
              </w:rPr>
            </w:pPr>
            <w:r w:rsidRPr="00A06B0A">
              <w:rPr>
                <w:rFonts w:ascii="Book Antiqua" w:hAnsi="Book Antiqua" w:cs="Arial"/>
                <w:b/>
                <w:color w:val="000000"/>
              </w:rPr>
              <w:t>Decision &amp; Reasons</w:t>
            </w:r>
            <w:r w:rsidR="00283659" w:rsidRPr="00A06B0A">
              <w:rPr>
                <w:rFonts w:ascii="Book Antiqua" w:hAnsi="Book Antiqua" w:cs="Arial"/>
                <w:b/>
                <w:color w:val="000000"/>
              </w:rPr>
              <w:t xml:space="preserve"> Promulgated</w:t>
            </w:r>
          </w:p>
        </w:tc>
      </w:tr>
      <w:tr w:rsidR="00D22636" w:rsidRPr="00A06B0A" w:rsidTr="00A06B0A">
        <w:tc>
          <w:tcPr>
            <w:tcW w:w="5868" w:type="dxa"/>
            <w:shd w:val="clear" w:color="auto" w:fill="auto"/>
          </w:tcPr>
          <w:p w:rsidR="00D22636" w:rsidRPr="00A06B0A" w:rsidRDefault="00D22636" w:rsidP="00A06B0A">
            <w:pPr>
              <w:jc w:val="both"/>
              <w:rPr>
                <w:rFonts w:ascii="Book Antiqua" w:hAnsi="Book Antiqua" w:cs="Arial"/>
                <w:b/>
              </w:rPr>
            </w:pPr>
            <w:r w:rsidRPr="00A06B0A">
              <w:rPr>
                <w:rFonts w:ascii="Book Antiqua" w:hAnsi="Book Antiqua" w:cs="Arial"/>
                <w:b/>
              </w:rPr>
              <w:t xml:space="preserve">On </w:t>
            </w:r>
            <w:r w:rsidR="005D1D4F" w:rsidRPr="00A06B0A">
              <w:rPr>
                <w:rFonts w:ascii="Book Antiqua" w:hAnsi="Book Antiqua" w:cs="Arial"/>
                <w:b/>
              </w:rPr>
              <w:t xml:space="preserve">22 June 2018 </w:t>
            </w:r>
          </w:p>
        </w:tc>
        <w:tc>
          <w:tcPr>
            <w:tcW w:w="3960" w:type="dxa"/>
            <w:shd w:val="clear" w:color="auto" w:fill="auto"/>
          </w:tcPr>
          <w:p w:rsidR="00D22636" w:rsidRPr="00A06B0A" w:rsidRDefault="001E26D5" w:rsidP="00A06B0A">
            <w:pPr>
              <w:jc w:val="both"/>
              <w:rPr>
                <w:rFonts w:ascii="Book Antiqua" w:hAnsi="Book Antiqua" w:cs="Arial"/>
                <w:b/>
              </w:rPr>
            </w:pPr>
            <w:r>
              <w:rPr>
                <w:rFonts w:ascii="Book Antiqua" w:hAnsi="Book Antiqua" w:cs="Arial"/>
                <w:b/>
              </w:rPr>
              <w:t>On 4 July 2018</w:t>
            </w:r>
          </w:p>
        </w:tc>
      </w:tr>
      <w:tr w:rsidR="00D22636" w:rsidRPr="00A06B0A" w:rsidTr="00A06B0A">
        <w:tc>
          <w:tcPr>
            <w:tcW w:w="5868" w:type="dxa"/>
            <w:shd w:val="clear" w:color="auto" w:fill="auto"/>
          </w:tcPr>
          <w:p w:rsidR="00D22636" w:rsidRPr="00A06B0A" w:rsidRDefault="00D22636" w:rsidP="00A06B0A">
            <w:pPr>
              <w:jc w:val="both"/>
              <w:rPr>
                <w:rFonts w:ascii="Book Antiqua" w:hAnsi="Book Antiqua" w:cs="Arial"/>
                <w:b/>
              </w:rPr>
            </w:pPr>
          </w:p>
        </w:tc>
        <w:tc>
          <w:tcPr>
            <w:tcW w:w="3960" w:type="dxa"/>
            <w:shd w:val="clear" w:color="auto" w:fill="auto"/>
          </w:tcPr>
          <w:p w:rsidR="00D22636" w:rsidRPr="00A06B0A" w:rsidRDefault="00D22636" w:rsidP="00A06B0A">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3A194F" w:rsidP="00A15234">
      <w:pPr>
        <w:jc w:val="center"/>
        <w:rPr>
          <w:rFonts w:ascii="Book Antiqua" w:hAnsi="Book Antiqua" w:cs="Arial"/>
          <w:b/>
          <w:color w:val="000000"/>
        </w:rPr>
      </w:pPr>
      <w:r>
        <w:rPr>
          <w:rFonts w:ascii="Book Antiqua" w:hAnsi="Book Antiqua" w:cs="Arial"/>
          <w:b/>
          <w:color w:val="000000"/>
        </w:rPr>
        <w:t>UPPER TRIBUNAL</w:t>
      </w:r>
      <w:r w:rsidR="001B2F75" w:rsidRPr="000704BB">
        <w:rPr>
          <w:rFonts w:ascii="Book Antiqua" w:hAnsi="Book Antiqua" w:cs="Arial"/>
          <w:b/>
          <w:color w:val="000000"/>
        </w:rPr>
        <w:t xml:space="preserve"> JUDGE </w:t>
      </w:r>
      <w:r w:rsidR="004E0F3D" w:rsidRPr="000704BB">
        <w:rPr>
          <w:rFonts w:ascii="Book Antiqua" w:hAnsi="Book Antiqua" w:cs="Arial"/>
          <w:b/>
          <w:color w:val="000000"/>
        </w:rPr>
        <w:t>ALLEN</w:t>
      </w:r>
    </w:p>
    <w:p w:rsidR="001B186A" w:rsidRPr="000704BB" w:rsidRDefault="001B186A" w:rsidP="00A15234">
      <w:pPr>
        <w:jc w:val="center"/>
        <w:rPr>
          <w:rFonts w:ascii="Book Antiqua" w:hAnsi="Book Antiqua" w:cs="Arial"/>
          <w:b/>
          <w:color w:val="000000"/>
        </w:rPr>
      </w:pP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A845DC" w:rsidRPr="000704BB" w:rsidRDefault="00A845DC" w:rsidP="00A15234">
      <w:pPr>
        <w:jc w:val="center"/>
        <w:rPr>
          <w:rFonts w:ascii="Book Antiqua" w:hAnsi="Book Antiqua" w:cs="Arial"/>
          <w:b/>
        </w:rPr>
      </w:pPr>
    </w:p>
    <w:p w:rsidR="00A845DC" w:rsidRPr="005D1D4F" w:rsidRDefault="005D1D4F" w:rsidP="00A15234">
      <w:pPr>
        <w:jc w:val="center"/>
        <w:rPr>
          <w:rFonts w:ascii="Book Antiqua" w:hAnsi="Book Antiqua" w:cs="Arial"/>
          <w:b/>
          <w:caps/>
        </w:rPr>
      </w:pPr>
      <w:r w:rsidRPr="005D1D4F">
        <w:rPr>
          <w:rFonts w:ascii="Book Antiqua" w:hAnsi="Book Antiqua" w:cs="Arial"/>
          <w:b/>
          <w:caps/>
        </w:rPr>
        <w:t>Blessing Emmanuel</w:t>
      </w:r>
      <w:r>
        <w:rPr>
          <w:rFonts w:ascii="Book Antiqua" w:hAnsi="Book Antiqua" w:cs="Arial"/>
          <w:b/>
          <w:caps/>
        </w:rPr>
        <w:t xml:space="preserve"> </w:t>
      </w:r>
      <w:r w:rsidRPr="005D1D4F">
        <w:rPr>
          <w:rFonts w:ascii="Book Antiqua" w:hAnsi="Book Antiqua" w:cs="Arial"/>
          <w:b/>
          <w:caps/>
        </w:rPr>
        <w:t>Agbale</w:t>
      </w:r>
    </w:p>
    <w:p w:rsidR="00265B39" w:rsidRPr="000704BB" w:rsidRDefault="00265B39" w:rsidP="00A15234">
      <w:pPr>
        <w:jc w:val="center"/>
        <w:rPr>
          <w:rFonts w:ascii="Book Antiqua" w:hAnsi="Book Antiqua" w:cs="Arial"/>
          <w:b/>
          <w:caps/>
        </w:rPr>
      </w:pPr>
      <w:r>
        <w:rPr>
          <w:rFonts w:ascii="Book Antiqua" w:hAnsi="Book Antiqua" w:cs="Arial"/>
          <w:b/>
          <w:caps/>
        </w:rPr>
        <w:t xml:space="preserve">(anonymity direction </w:t>
      </w:r>
      <w:r w:rsidR="005D1D4F">
        <w:rPr>
          <w:rFonts w:ascii="Book Antiqua" w:hAnsi="Book Antiqua" w:cs="Arial"/>
          <w:b/>
          <w:caps/>
        </w:rPr>
        <w:t>not made</w:t>
      </w:r>
      <w:r>
        <w:rPr>
          <w:rFonts w:ascii="Book Antiqua" w:hAnsi="Book Antiqua" w:cs="Arial"/>
          <w:b/>
          <w:caps/>
        </w:rPr>
        <w:t>)</w:t>
      </w:r>
    </w:p>
    <w:p w:rsidR="00704B61" w:rsidRPr="000704BB" w:rsidRDefault="00704B61" w:rsidP="00704B61">
      <w:pPr>
        <w:jc w:val="right"/>
        <w:rPr>
          <w:rFonts w:ascii="Book Antiqua" w:hAnsi="Book Antiqua" w:cs="Arial"/>
          <w:u w:val="single"/>
        </w:rPr>
      </w:pPr>
      <w:r w:rsidRPr="000704BB">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p>
    <w:p w:rsidR="00DD5071" w:rsidRPr="000704BB" w:rsidRDefault="00DD5071" w:rsidP="00704B61">
      <w:pPr>
        <w:jc w:val="center"/>
        <w:rPr>
          <w:rFonts w:ascii="Book Antiqua" w:hAnsi="Book Antiqua" w:cs="Arial"/>
          <w:b/>
        </w:rPr>
      </w:pPr>
      <w:r w:rsidRPr="000704BB">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0704BB">
        <w:rPr>
          <w:rFonts w:ascii="Book Antiqua" w:hAnsi="Book Antiqua" w:cs="Arial"/>
          <w:b/>
        </w:rPr>
        <w:instrText xml:space="preserve"> FORMTEXT </w:instrText>
      </w:r>
      <w:r w:rsidRPr="000704BB">
        <w:rPr>
          <w:rFonts w:ascii="Book Antiqua" w:hAnsi="Book Antiqua" w:cs="Arial"/>
          <w:b/>
        </w:rPr>
      </w:r>
      <w:r w:rsidRPr="000704BB">
        <w:rPr>
          <w:rFonts w:ascii="Book Antiqua" w:hAnsi="Book Antiqua" w:cs="Arial"/>
          <w:b/>
        </w:rPr>
        <w:fldChar w:fldCharType="separate"/>
      </w:r>
      <w:r w:rsidRPr="000704BB">
        <w:rPr>
          <w:rFonts w:ascii="Book Antiqua" w:hAnsi="Book Antiqua" w:cs="Arial"/>
          <w:b/>
          <w:noProof/>
        </w:rPr>
        <w:t>THE SECRETARY OF STATE FOR THE HOME DEPARTMENT</w:t>
      </w:r>
      <w:r w:rsidRPr="000704BB">
        <w:rPr>
          <w:rFonts w:ascii="Book Antiqua" w:hAnsi="Book Antiqua" w:cs="Arial"/>
          <w:b/>
        </w:rPr>
        <w:fldChar w:fldCharType="end"/>
      </w:r>
      <w:bookmarkEnd w:id="1"/>
    </w:p>
    <w:p w:rsidR="00DD5071" w:rsidRPr="000704BB" w:rsidRDefault="00DD5071" w:rsidP="00DD5071">
      <w:pPr>
        <w:jc w:val="right"/>
        <w:rPr>
          <w:rFonts w:ascii="Book Antiqua" w:hAnsi="Book Antiqua" w:cs="Arial"/>
          <w:u w:val="single"/>
        </w:rPr>
      </w:pPr>
      <w:r w:rsidRPr="000704BB">
        <w:rPr>
          <w:rFonts w:ascii="Book Antiqua" w:hAnsi="Book Antiqua" w:cs="Arial"/>
          <w:u w:val="single"/>
        </w:rPr>
        <w:t>Respondent</w:t>
      </w:r>
    </w:p>
    <w:p w:rsidR="00DD5071" w:rsidRPr="000704BB" w:rsidRDefault="00DD5071" w:rsidP="00DD5071">
      <w:pPr>
        <w:rPr>
          <w:rFonts w:ascii="Book Antiqua" w:hAnsi="Book Antiqua" w:cs="Arial"/>
          <w:u w:val="single"/>
        </w:rPr>
      </w:pPr>
    </w:p>
    <w:p w:rsidR="00DD5071" w:rsidRPr="000704BB" w:rsidRDefault="00DD5071" w:rsidP="00DD5071">
      <w:pPr>
        <w:rPr>
          <w:rFonts w:ascii="Book Antiqua" w:hAnsi="Book Antiqua" w:cs="Arial"/>
          <w:u w:val="single"/>
        </w:rPr>
      </w:pPr>
    </w:p>
    <w:p w:rsidR="00DD5071"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FC38F1" w:rsidRDefault="00DE7DB7" w:rsidP="00DE7DB7">
      <w:pPr>
        <w:tabs>
          <w:tab w:val="left" w:pos="2520"/>
        </w:tabs>
        <w:rPr>
          <w:rFonts w:ascii="Book Antiqua" w:hAnsi="Book Antiqua" w:cs="Arial"/>
        </w:rPr>
      </w:pPr>
      <w:r w:rsidRPr="000704BB">
        <w:rPr>
          <w:rFonts w:ascii="Book Antiqua" w:hAnsi="Book Antiqua" w:cs="Arial"/>
        </w:rPr>
        <w:t>For the Appellant:</w:t>
      </w:r>
      <w:r w:rsidRPr="000704BB">
        <w:rPr>
          <w:rFonts w:ascii="Book Antiqua" w:hAnsi="Book Antiqua" w:cs="Arial"/>
        </w:rPr>
        <w:tab/>
      </w:r>
      <w:r w:rsidR="005D1D4F">
        <w:rPr>
          <w:rFonts w:ascii="Book Antiqua" w:hAnsi="Book Antiqua" w:cs="Arial"/>
        </w:rPr>
        <w:t>Mr M Afzal</w:t>
      </w:r>
      <w:r w:rsidR="00FC38F1">
        <w:rPr>
          <w:rFonts w:ascii="Book Antiqua" w:hAnsi="Book Antiqua" w:cs="Arial"/>
        </w:rPr>
        <w:t xml:space="preserve"> of International Immigration </w:t>
      </w:r>
      <w:r w:rsidR="00583A62">
        <w:rPr>
          <w:rFonts w:ascii="Book Antiqua" w:hAnsi="Book Antiqua" w:cs="Arial"/>
        </w:rPr>
        <w:t>Advisory</w:t>
      </w:r>
      <w:r w:rsidR="00FC38F1">
        <w:rPr>
          <w:rFonts w:ascii="Book Antiqua" w:hAnsi="Book Antiqua" w:cs="Arial"/>
        </w:rPr>
        <w:t xml:space="preserve"> Services</w:t>
      </w:r>
    </w:p>
    <w:p w:rsidR="00DE7DB7" w:rsidRPr="000704BB" w:rsidRDefault="00FC38F1" w:rsidP="00DE7DB7">
      <w:pPr>
        <w:tabs>
          <w:tab w:val="left" w:pos="2520"/>
        </w:tabs>
        <w:rPr>
          <w:rFonts w:ascii="Book Antiqua" w:hAnsi="Book Antiqua" w:cs="Arial"/>
        </w:rPr>
      </w:pPr>
      <w:r>
        <w:rPr>
          <w:rFonts w:ascii="Book Antiqua" w:hAnsi="Book Antiqua" w:cs="Arial"/>
        </w:rPr>
        <w:tab/>
        <w:t>(</w:t>
      </w:r>
      <w:proofErr w:type="spellStart"/>
      <w:r>
        <w:rPr>
          <w:rFonts w:ascii="Book Antiqua" w:hAnsi="Book Antiqua" w:cs="Arial"/>
        </w:rPr>
        <w:t>Levenshulme</w:t>
      </w:r>
      <w:proofErr w:type="spellEnd"/>
      <w:r>
        <w:rPr>
          <w:rFonts w:ascii="Book Antiqua" w:hAnsi="Book Antiqua" w:cs="Arial"/>
        </w:rPr>
        <w:t xml:space="preserve">) </w:t>
      </w:r>
    </w:p>
    <w:p w:rsidR="00DE7DB7" w:rsidRPr="000704BB" w:rsidRDefault="00DE7DB7" w:rsidP="00DE7DB7">
      <w:pPr>
        <w:tabs>
          <w:tab w:val="left" w:pos="2520"/>
        </w:tabs>
        <w:rPr>
          <w:rFonts w:ascii="Book Antiqua" w:hAnsi="Book Antiqua" w:cs="Arial"/>
        </w:rPr>
      </w:pPr>
      <w:r w:rsidRPr="000704BB">
        <w:rPr>
          <w:rFonts w:ascii="Book Antiqua" w:hAnsi="Book Antiqua" w:cs="Arial"/>
        </w:rPr>
        <w:t>For the Respondent:</w:t>
      </w:r>
      <w:r w:rsidRPr="000704BB">
        <w:rPr>
          <w:rFonts w:ascii="Book Antiqua" w:hAnsi="Book Antiqua" w:cs="Arial"/>
        </w:rPr>
        <w:tab/>
      </w:r>
      <w:r w:rsidR="005D1D4F">
        <w:rPr>
          <w:rFonts w:ascii="Book Antiqua" w:hAnsi="Book Antiqua" w:cs="Arial"/>
        </w:rPr>
        <w:t xml:space="preserve">Mr D Clarke, Senior </w:t>
      </w:r>
      <w:r w:rsidR="00FC38F1">
        <w:rPr>
          <w:rFonts w:ascii="Book Antiqua" w:hAnsi="Book Antiqua" w:cs="Arial"/>
        </w:rPr>
        <w:t xml:space="preserve">Home Office </w:t>
      </w:r>
      <w:r w:rsidR="005D1D4F">
        <w:rPr>
          <w:rFonts w:ascii="Book Antiqua" w:hAnsi="Book Antiqua" w:cs="Arial"/>
        </w:rPr>
        <w:t xml:space="preserve">Presenting Officer </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DE7DB7" w:rsidRPr="000704BB" w:rsidRDefault="00265B39" w:rsidP="00265B39">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BF23BB" w:rsidRDefault="003D670F" w:rsidP="00B75414">
      <w:pPr>
        <w:spacing w:before="120"/>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FC38F1">
        <w:rPr>
          <w:rFonts w:ascii="Book Antiqua" w:hAnsi="Book Antiqua" w:cs="Arial"/>
        </w:rPr>
        <w:t xml:space="preserve">The appellant is a national of </w:t>
      </w:r>
      <w:smartTag w:uri="urn:schemas-microsoft-com:office:smarttags" w:element="place">
        <w:smartTag w:uri="urn:schemas-microsoft-com:office:smarttags" w:element="country-region">
          <w:r w:rsidR="00FC38F1">
            <w:rPr>
              <w:rFonts w:ascii="Book Antiqua" w:hAnsi="Book Antiqua" w:cs="Arial"/>
            </w:rPr>
            <w:t>Nigeria</w:t>
          </w:r>
        </w:smartTag>
      </w:smartTag>
      <w:r w:rsidR="00FC38F1">
        <w:rPr>
          <w:rFonts w:ascii="Book Antiqua" w:hAnsi="Book Antiqua" w:cs="Arial"/>
        </w:rPr>
        <w:t xml:space="preserve">.  He appealed to the First-tier Tribunal against the decision of the Secretary of State of 22 July 2016 refusing to grant him permanent residence in the </w:t>
      </w:r>
      <w:smartTag w:uri="urn:schemas-microsoft-com:office:smarttags" w:element="country-region">
        <w:smartTag w:uri="urn:schemas-microsoft-com:office:smarttags" w:element="place">
          <w:r w:rsidR="00FC38F1">
            <w:rPr>
              <w:rFonts w:ascii="Book Antiqua" w:hAnsi="Book Antiqua" w:cs="Arial"/>
            </w:rPr>
            <w:t>United Kingdom</w:t>
          </w:r>
        </w:smartTag>
      </w:smartTag>
      <w:r w:rsidR="00FC38F1">
        <w:rPr>
          <w:rFonts w:ascii="Book Antiqua" w:hAnsi="Book Antiqua" w:cs="Arial"/>
        </w:rPr>
        <w:t xml:space="preserve">.  </w:t>
      </w:r>
    </w:p>
    <w:p w:rsidR="00FC38F1" w:rsidRDefault="003D670F" w:rsidP="00B75414">
      <w:pPr>
        <w:spacing w:before="120"/>
        <w:ind w:left="567" w:hanging="567"/>
        <w:jc w:val="both"/>
        <w:rPr>
          <w:rFonts w:ascii="Book Antiqua" w:hAnsi="Book Antiqua" w:cs="Arial"/>
        </w:rPr>
      </w:pPr>
      <w:r>
        <w:rPr>
          <w:rFonts w:ascii="Book Antiqua" w:hAnsi="Book Antiqua" w:cs="Arial"/>
        </w:rPr>
        <w:t>2</w:t>
      </w:r>
      <w:r w:rsidR="00FC38F1">
        <w:rPr>
          <w:rFonts w:ascii="Book Antiqua" w:hAnsi="Book Antiqua" w:cs="Arial"/>
        </w:rPr>
        <w:t>.</w:t>
      </w:r>
      <w:r w:rsidR="00FC38F1">
        <w:rPr>
          <w:rFonts w:ascii="Book Antiqua" w:hAnsi="Book Antiqua" w:cs="Arial"/>
        </w:rPr>
        <w:tab/>
        <w:t xml:space="preserve">Though the judge accepted a number of positive </w:t>
      </w:r>
      <w:r w:rsidR="008D55A4">
        <w:rPr>
          <w:rFonts w:ascii="Book Antiqua" w:hAnsi="Book Antiqua" w:cs="Arial"/>
        </w:rPr>
        <w:t xml:space="preserve">factors on the appellant’s behalf such as that it did not show that his wife was complicit in deception, and the respondent’s allegation that the sponsor was not residing in Ireland for any sustained period of time </w:t>
      </w:r>
      <w:r w:rsidR="008D55A4">
        <w:rPr>
          <w:rFonts w:ascii="Book Antiqua" w:hAnsi="Book Antiqua" w:cs="Arial"/>
        </w:rPr>
        <w:lastRenderedPageBreak/>
        <w:t xml:space="preserve">and did not transfer the centre of her life to that country was not made out, she refused the claim on the basis set out at paragraphs 20 and 21 of her decision.  </w:t>
      </w:r>
    </w:p>
    <w:p w:rsidR="008D55A4" w:rsidRDefault="003D670F" w:rsidP="00B75414">
      <w:pPr>
        <w:spacing w:before="120"/>
        <w:ind w:left="567" w:hanging="567"/>
        <w:jc w:val="both"/>
        <w:rPr>
          <w:rFonts w:ascii="Book Antiqua" w:hAnsi="Book Antiqua" w:cs="Arial"/>
        </w:rPr>
      </w:pPr>
      <w:r>
        <w:rPr>
          <w:rFonts w:ascii="Book Antiqua" w:hAnsi="Book Antiqua" w:cs="Arial"/>
        </w:rPr>
        <w:t>3</w:t>
      </w:r>
      <w:r w:rsidR="008D55A4">
        <w:rPr>
          <w:rFonts w:ascii="Book Antiqua" w:hAnsi="Book Antiqua" w:cs="Arial"/>
        </w:rPr>
        <w:t>.</w:t>
      </w:r>
      <w:r w:rsidR="008D55A4">
        <w:rPr>
          <w:rFonts w:ascii="Book Antiqua" w:hAnsi="Book Antiqua" w:cs="Arial"/>
        </w:rPr>
        <w:tab/>
        <w:t xml:space="preserve">At paragraph 20 she listed the documentation provided by the appellant to show that he had resided with his sponsor in the </w:t>
      </w:r>
      <w:smartTag w:uri="urn:schemas-microsoft-com:office:smarttags" w:element="place">
        <w:smartTag w:uri="urn:schemas-microsoft-com:office:smarttags" w:element="country-region">
          <w:r w:rsidR="008D55A4">
            <w:rPr>
              <w:rFonts w:ascii="Book Antiqua" w:hAnsi="Book Antiqua" w:cs="Arial"/>
            </w:rPr>
            <w:t>United Kingdom</w:t>
          </w:r>
        </w:smartTag>
      </w:smartTag>
      <w:r w:rsidR="008D55A4">
        <w:rPr>
          <w:rFonts w:ascii="Book Antiqua" w:hAnsi="Book Antiqua" w:cs="Arial"/>
        </w:rPr>
        <w:t xml:space="preserve"> for a continuous </w:t>
      </w:r>
      <w:proofErr w:type="gramStart"/>
      <w:r w:rsidR="008D55A4">
        <w:rPr>
          <w:rFonts w:ascii="Book Antiqua" w:hAnsi="Book Antiqua" w:cs="Arial"/>
        </w:rPr>
        <w:t>five year</w:t>
      </w:r>
      <w:proofErr w:type="gramEnd"/>
      <w:r w:rsidR="008D55A4">
        <w:rPr>
          <w:rFonts w:ascii="Book Antiqua" w:hAnsi="Book Antiqua" w:cs="Arial"/>
        </w:rPr>
        <w:t xml:space="preserve"> period.  At paragraph 21 she concluded that there was a gap in the evidence for 2010, 2012, 2013 and 2014 without an explanation and that as a consequence the appeal fell to be refused.</w:t>
      </w:r>
    </w:p>
    <w:p w:rsidR="008D55A4" w:rsidRDefault="003D670F" w:rsidP="00B75414">
      <w:pPr>
        <w:spacing w:before="120"/>
        <w:ind w:left="567" w:hanging="567"/>
        <w:jc w:val="both"/>
        <w:rPr>
          <w:rFonts w:ascii="Book Antiqua" w:hAnsi="Book Antiqua" w:cs="Arial"/>
        </w:rPr>
      </w:pPr>
      <w:r>
        <w:rPr>
          <w:rFonts w:ascii="Book Antiqua" w:hAnsi="Book Antiqua" w:cs="Arial"/>
        </w:rPr>
        <w:t>4</w:t>
      </w:r>
      <w:r w:rsidR="008D55A4">
        <w:rPr>
          <w:rFonts w:ascii="Book Antiqua" w:hAnsi="Book Antiqua" w:cs="Arial"/>
        </w:rPr>
        <w:t>.</w:t>
      </w:r>
      <w:r w:rsidR="008D55A4">
        <w:rPr>
          <w:rFonts w:ascii="Book Antiqua" w:hAnsi="Book Antiqua" w:cs="Arial"/>
        </w:rPr>
        <w:tab/>
      </w:r>
      <w:r w:rsidR="00583A62">
        <w:rPr>
          <w:rFonts w:ascii="Book Antiqua" w:hAnsi="Book Antiqua" w:cs="Arial"/>
        </w:rPr>
        <w:t>Permission</w:t>
      </w:r>
      <w:r w:rsidR="008D55A4">
        <w:rPr>
          <w:rFonts w:ascii="Book Antiqua" w:hAnsi="Book Antiqua" w:cs="Arial"/>
        </w:rPr>
        <w:t xml:space="preserve"> to appeal was sought on the basis that there was documentary evidence referring to the relevant years, and some documentation was attached to the grounds.  </w:t>
      </w:r>
      <w:r w:rsidR="00583A62">
        <w:rPr>
          <w:rFonts w:ascii="Book Antiqua" w:hAnsi="Book Antiqua" w:cs="Arial"/>
        </w:rPr>
        <w:t>Permission</w:t>
      </w:r>
      <w:r w:rsidR="008D55A4">
        <w:rPr>
          <w:rFonts w:ascii="Book Antiqua" w:hAnsi="Book Antiqua" w:cs="Arial"/>
        </w:rPr>
        <w:t xml:space="preserve"> to appeal was granted by a Judge of the First-tier Tribunal.</w:t>
      </w:r>
    </w:p>
    <w:p w:rsidR="008D55A4" w:rsidRDefault="003D670F" w:rsidP="00B75414">
      <w:pPr>
        <w:spacing w:before="120"/>
        <w:ind w:left="567" w:hanging="567"/>
        <w:jc w:val="both"/>
        <w:rPr>
          <w:rFonts w:ascii="Book Antiqua" w:hAnsi="Book Antiqua" w:cs="Arial"/>
        </w:rPr>
      </w:pPr>
      <w:r>
        <w:rPr>
          <w:rFonts w:ascii="Book Antiqua" w:hAnsi="Book Antiqua" w:cs="Arial"/>
        </w:rPr>
        <w:t>5</w:t>
      </w:r>
      <w:r w:rsidR="008D55A4">
        <w:rPr>
          <w:rFonts w:ascii="Book Antiqua" w:hAnsi="Book Antiqua" w:cs="Arial"/>
        </w:rPr>
        <w:t>.</w:t>
      </w:r>
      <w:r w:rsidR="008D55A4">
        <w:rPr>
          <w:rFonts w:ascii="Book Antiqua" w:hAnsi="Book Antiqua" w:cs="Arial"/>
        </w:rPr>
        <w:tab/>
        <w:t>In his submissions Mr Afzal argued that as regards 2010 there was the hearing before Judge Murray and the TV licence covered 2011 to 2012.  There was further evidence put in with the grounds concerning the missing years otherwise.</w:t>
      </w:r>
    </w:p>
    <w:p w:rsidR="008D55A4" w:rsidRDefault="003D670F" w:rsidP="00B75414">
      <w:pPr>
        <w:spacing w:before="120"/>
        <w:ind w:left="567" w:hanging="567"/>
        <w:jc w:val="both"/>
        <w:rPr>
          <w:rFonts w:ascii="Book Antiqua" w:hAnsi="Book Antiqua" w:cs="Arial"/>
        </w:rPr>
      </w:pPr>
      <w:r>
        <w:rPr>
          <w:rFonts w:ascii="Book Antiqua" w:hAnsi="Book Antiqua" w:cs="Arial"/>
        </w:rPr>
        <w:t>6</w:t>
      </w:r>
      <w:r w:rsidR="008D55A4">
        <w:rPr>
          <w:rFonts w:ascii="Book Antiqua" w:hAnsi="Book Antiqua" w:cs="Arial"/>
        </w:rPr>
        <w:t>.</w:t>
      </w:r>
      <w:r w:rsidR="008D55A4">
        <w:rPr>
          <w:rFonts w:ascii="Book Antiqua" w:hAnsi="Book Antiqua" w:cs="Arial"/>
        </w:rPr>
        <w:tab/>
        <w:t>In his submissions Mr Clarke argued that there was in fact no evidence before the judge for 2013 and 2014 and at its highest therefore the claim could not succeed.</w:t>
      </w:r>
    </w:p>
    <w:p w:rsidR="008D55A4" w:rsidRDefault="003D670F" w:rsidP="00B75414">
      <w:pPr>
        <w:spacing w:before="120"/>
        <w:ind w:left="567" w:hanging="567"/>
        <w:jc w:val="both"/>
        <w:rPr>
          <w:rFonts w:ascii="Book Antiqua" w:hAnsi="Book Antiqua" w:cs="Arial"/>
        </w:rPr>
      </w:pPr>
      <w:r>
        <w:rPr>
          <w:rFonts w:ascii="Book Antiqua" w:hAnsi="Book Antiqua" w:cs="Arial"/>
        </w:rPr>
        <w:t>7</w:t>
      </w:r>
      <w:r w:rsidR="008D55A4">
        <w:rPr>
          <w:rFonts w:ascii="Book Antiqua" w:hAnsi="Book Antiqua" w:cs="Arial"/>
        </w:rPr>
        <w:t>.</w:t>
      </w:r>
      <w:r w:rsidR="008D55A4">
        <w:rPr>
          <w:rFonts w:ascii="Book Antiqua" w:hAnsi="Book Antiqua" w:cs="Arial"/>
        </w:rPr>
        <w:tab/>
        <w:t>Mr Afzal had no points to make by way of reply.</w:t>
      </w:r>
    </w:p>
    <w:p w:rsidR="008D55A4" w:rsidRDefault="003D670F" w:rsidP="00B75414">
      <w:pPr>
        <w:spacing w:before="120"/>
        <w:ind w:left="567" w:hanging="567"/>
        <w:jc w:val="both"/>
        <w:rPr>
          <w:rFonts w:ascii="Book Antiqua" w:hAnsi="Book Antiqua" w:cs="Arial"/>
        </w:rPr>
      </w:pPr>
      <w:r>
        <w:rPr>
          <w:rFonts w:ascii="Book Antiqua" w:hAnsi="Book Antiqua" w:cs="Arial"/>
        </w:rPr>
        <w:t>8</w:t>
      </w:r>
      <w:r w:rsidR="008D55A4">
        <w:rPr>
          <w:rFonts w:ascii="Book Antiqua" w:hAnsi="Book Antiqua" w:cs="Arial"/>
        </w:rPr>
        <w:t>.</w:t>
      </w:r>
      <w:r w:rsidR="008D55A4">
        <w:rPr>
          <w:rFonts w:ascii="Book Antiqua" w:hAnsi="Book Antiqua" w:cs="Arial"/>
        </w:rPr>
        <w:tab/>
      </w:r>
      <w:r w:rsidR="00D633D6">
        <w:rPr>
          <w:rFonts w:ascii="Book Antiqua" w:hAnsi="Book Antiqua" w:cs="Arial"/>
        </w:rPr>
        <w:t xml:space="preserve">I am satisfied that in this case there is no error of law by the judge.  Mr Afzal accepted that the documents before the judge were those listed at A to L in the decision letter.  </w:t>
      </w:r>
      <w:r w:rsidR="00583A62">
        <w:rPr>
          <w:rFonts w:ascii="Book Antiqua" w:hAnsi="Book Antiqua" w:cs="Arial"/>
        </w:rPr>
        <w:t>Material</w:t>
      </w:r>
      <w:r w:rsidR="00D633D6">
        <w:rPr>
          <w:rFonts w:ascii="Book Antiqua" w:hAnsi="Book Antiqua" w:cs="Arial"/>
        </w:rPr>
        <w:t xml:space="preserve"> documents such as the P45, the photocopy of the British Gas bill, the Bank of Ireland statement and the tax credits letter all refer to the sponsor.  The grounds refer to 2010</w:t>
      </w:r>
      <w:r w:rsidR="00506FC5">
        <w:rPr>
          <w:rFonts w:ascii="Book Antiqua" w:hAnsi="Book Antiqua" w:cs="Arial"/>
        </w:rPr>
        <w:t xml:space="preserve"> and</w:t>
      </w:r>
      <w:r w:rsidR="00D633D6">
        <w:rPr>
          <w:rFonts w:ascii="Book Antiqua" w:hAnsi="Book Antiqua" w:cs="Arial"/>
        </w:rPr>
        <w:t xml:space="preserve"> the decision of Judge Murray in that year which may be said to show the presence in the </w:t>
      </w:r>
      <w:smartTag w:uri="urn:schemas-microsoft-com:office:smarttags" w:element="country-region">
        <w:smartTag w:uri="urn:schemas-microsoft-com:office:smarttags" w:element="place">
          <w:r w:rsidR="00D633D6">
            <w:rPr>
              <w:rFonts w:ascii="Book Antiqua" w:hAnsi="Book Antiqua" w:cs="Arial"/>
            </w:rPr>
            <w:t>United Kingdom</w:t>
          </w:r>
        </w:smartTag>
      </w:smartTag>
      <w:r w:rsidR="00D633D6">
        <w:rPr>
          <w:rFonts w:ascii="Book Antiqua" w:hAnsi="Book Antiqua" w:cs="Arial"/>
        </w:rPr>
        <w:t xml:space="preserve"> in that year.  Also the </w:t>
      </w:r>
      <w:r w:rsidR="00583A62">
        <w:rPr>
          <w:rFonts w:ascii="Book Antiqua" w:hAnsi="Book Antiqua" w:cs="Arial"/>
        </w:rPr>
        <w:t>television</w:t>
      </w:r>
      <w:r w:rsidR="00D633D6">
        <w:rPr>
          <w:rFonts w:ascii="Book Antiqua" w:hAnsi="Book Antiqua" w:cs="Arial"/>
        </w:rPr>
        <w:t xml:space="preserve"> licence dated 19 September 2011 addressed to the appellant at an address in </w:t>
      </w:r>
      <w:smartTag w:uri="urn:schemas-microsoft-com:office:smarttags" w:element="City">
        <w:smartTag w:uri="urn:schemas-microsoft-com:office:smarttags" w:element="place">
          <w:r w:rsidR="00D633D6">
            <w:rPr>
              <w:rFonts w:ascii="Book Antiqua" w:hAnsi="Book Antiqua" w:cs="Arial"/>
            </w:rPr>
            <w:t>Oxford</w:t>
          </w:r>
        </w:smartTag>
      </w:smartTag>
      <w:r w:rsidR="00D633D6">
        <w:rPr>
          <w:rFonts w:ascii="Book Antiqua" w:hAnsi="Book Antiqua" w:cs="Arial"/>
        </w:rPr>
        <w:t xml:space="preserve"> is of relevance to that year.  But as regards 2012, 2013 and 2014, the evidence is </w:t>
      </w:r>
      <w:r w:rsidR="00583A62">
        <w:rPr>
          <w:rFonts w:ascii="Book Antiqua" w:hAnsi="Book Antiqua" w:cs="Arial"/>
        </w:rPr>
        <w:t>simply</w:t>
      </w:r>
      <w:r w:rsidR="00D633D6">
        <w:rPr>
          <w:rFonts w:ascii="Book Antiqua" w:hAnsi="Book Antiqua" w:cs="Arial"/>
        </w:rPr>
        <w:t xml:space="preserve"> lacking.  The fact that the television licence was valid until July 2012 does not in my view show the presence in the country at that time, it is </w:t>
      </w:r>
      <w:r w:rsidR="00583A62">
        <w:rPr>
          <w:rFonts w:ascii="Book Antiqua" w:hAnsi="Book Antiqua" w:cs="Arial"/>
        </w:rPr>
        <w:t>simply</w:t>
      </w:r>
      <w:r w:rsidR="00D633D6">
        <w:rPr>
          <w:rFonts w:ascii="Book Antiqua" w:hAnsi="Book Antiqua" w:cs="Arial"/>
        </w:rPr>
        <w:t xml:space="preserve"> the fact that the licence was obtained the previous year.  In any event, there is no evidence for 2013 and 2014.  Evidence that has been subsequently provided with the grounds of appeal cannot go to show an error of law in the judge’s decision.  She was </w:t>
      </w:r>
      <w:r w:rsidR="00583A62">
        <w:rPr>
          <w:rFonts w:ascii="Book Antiqua" w:hAnsi="Book Antiqua" w:cs="Arial"/>
        </w:rPr>
        <w:t>clearly</w:t>
      </w:r>
      <w:r w:rsidR="00D633D6">
        <w:rPr>
          <w:rFonts w:ascii="Book Antiqua" w:hAnsi="Book Antiqua" w:cs="Arial"/>
        </w:rPr>
        <w:t xml:space="preserve"> right to conclude that there was no evidence to substantiate the appellant’s claim to have been in the </w:t>
      </w:r>
      <w:smartTag w:uri="urn:schemas-microsoft-com:office:smarttags" w:element="country-region">
        <w:smartTag w:uri="urn:schemas-microsoft-com:office:smarttags" w:element="place">
          <w:r w:rsidR="00D633D6">
            <w:rPr>
              <w:rFonts w:ascii="Book Antiqua" w:hAnsi="Book Antiqua" w:cs="Arial"/>
            </w:rPr>
            <w:t>United Kingdom</w:t>
          </w:r>
        </w:smartTag>
      </w:smartTag>
      <w:r w:rsidR="00D633D6">
        <w:rPr>
          <w:rFonts w:ascii="Book Antiqua" w:hAnsi="Book Antiqua" w:cs="Arial"/>
        </w:rPr>
        <w:t xml:space="preserve"> for a continuous five year period for 2013 and 2014 which is </w:t>
      </w:r>
      <w:r w:rsidR="00583A62">
        <w:rPr>
          <w:rFonts w:ascii="Book Antiqua" w:hAnsi="Book Antiqua" w:cs="Arial"/>
        </w:rPr>
        <w:t>clearly</w:t>
      </w:r>
      <w:r w:rsidR="00D633D6">
        <w:rPr>
          <w:rFonts w:ascii="Book Antiqua" w:hAnsi="Book Antiqua" w:cs="Arial"/>
        </w:rPr>
        <w:t xml:space="preserve"> crucial</w:t>
      </w:r>
      <w:r w:rsidR="00506FC5">
        <w:rPr>
          <w:rFonts w:ascii="Book Antiqua" w:hAnsi="Book Antiqua" w:cs="Arial"/>
        </w:rPr>
        <w:t>.</w:t>
      </w:r>
      <w:r w:rsidR="00D633D6">
        <w:rPr>
          <w:rFonts w:ascii="Book Antiqua" w:hAnsi="Book Antiqua" w:cs="Arial"/>
        </w:rPr>
        <w:t xml:space="preserve"> </w:t>
      </w:r>
      <w:r w:rsidR="00506FC5">
        <w:rPr>
          <w:rFonts w:ascii="Book Antiqua" w:hAnsi="Book Antiqua" w:cs="Arial"/>
        </w:rPr>
        <w:t>T</w:t>
      </w:r>
      <w:r w:rsidR="00D633D6">
        <w:rPr>
          <w:rFonts w:ascii="Book Antiqua" w:hAnsi="Book Antiqua" w:cs="Arial"/>
        </w:rPr>
        <w:t xml:space="preserve">hough the five year </w:t>
      </w:r>
      <w:r w:rsidR="00583A62">
        <w:rPr>
          <w:rFonts w:ascii="Book Antiqua" w:hAnsi="Book Antiqua" w:cs="Arial"/>
        </w:rPr>
        <w:t>continuous</w:t>
      </w:r>
      <w:r w:rsidR="00D633D6">
        <w:rPr>
          <w:rFonts w:ascii="Book Antiqua" w:hAnsi="Book Antiqua" w:cs="Arial"/>
        </w:rPr>
        <w:t xml:space="preserve"> residence period can be for any period from 2009</w:t>
      </w:r>
      <w:r w:rsidR="00506FC5">
        <w:rPr>
          <w:rFonts w:ascii="Book Antiqua" w:hAnsi="Book Antiqua" w:cs="Arial"/>
        </w:rPr>
        <w:t>, the lack of documentation for those two years is fatal</w:t>
      </w:r>
      <w:r w:rsidR="00D633D6">
        <w:rPr>
          <w:rFonts w:ascii="Book Antiqua" w:hAnsi="Book Antiqua" w:cs="Arial"/>
        </w:rPr>
        <w:t xml:space="preserve">.  Accordingly, I conclude that no error of law in her decision has been identified and the decision dismissing the appeal stands.  </w:t>
      </w:r>
    </w:p>
    <w:p w:rsidR="00265B39" w:rsidRDefault="003D670F" w:rsidP="00B75414">
      <w:pPr>
        <w:spacing w:before="120"/>
        <w:ind w:left="567" w:hanging="567"/>
        <w:jc w:val="both"/>
        <w:rPr>
          <w:rFonts w:ascii="Book Antiqua" w:hAnsi="Book Antiqua" w:cs="Arial"/>
        </w:rPr>
      </w:pPr>
      <w:r>
        <w:rPr>
          <w:rFonts w:ascii="Book Antiqua" w:hAnsi="Book Antiqua" w:cs="Arial"/>
        </w:rPr>
        <w:t>9</w:t>
      </w:r>
      <w:r w:rsidR="00583A62">
        <w:rPr>
          <w:rFonts w:ascii="Book Antiqua" w:hAnsi="Book Antiqua" w:cs="Arial"/>
        </w:rPr>
        <w:t>.</w:t>
      </w:r>
      <w:r w:rsidR="00583A62">
        <w:rPr>
          <w:rFonts w:ascii="Book Antiqua" w:hAnsi="Book Antiqua" w:cs="Arial"/>
        </w:rPr>
        <w:tab/>
      </w:r>
      <w:r w:rsidR="00265B39" w:rsidRPr="00687601">
        <w:rPr>
          <w:rFonts w:ascii="Book Antiqua" w:hAnsi="Book Antiqua" w:cs="Arial"/>
        </w:rPr>
        <w:t>No</w:t>
      </w:r>
      <w:r w:rsidR="00265B39">
        <w:rPr>
          <w:rFonts w:ascii="Book Antiqua" w:hAnsi="Book Antiqua" w:cs="Arial"/>
        </w:rPr>
        <w:t xml:space="preserve"> anonymity direction is made.</w:t>
      </w:r>
    </w:p>
    <w:p w:rsidR="00265B39" w:rsidRDefault="00265B39" w:rsidP="00265B39">
      <w:pPr>
        <w:jc w:val="both"/>
        <w:rPr>
          <w:rFonts w:ascii="Book Antiqua" w:hAnsi="Book Antiqua" w:cs="Arial"/>
        </w:rPr>
      </w:pPr>
    </w:p>
    <w:p w:rsidR="00265B39" w:rsidRDefault="00FA1712" w:rsidP="00265B39">
      <w:pPr>
        <w:jc w:val="both"/>
        <w:rPr>
          <w:rFonts w:ascii="Book Antiqua" w:hAnsi="Book Antiqua" w:cs="Arial"/>
        </w:rPr>
      </w:pPr>
      <w:r>
        <w:rPr>
          <w:noProof/>
        </w:rPr>
        <w:drawing>
          <wp:inline distT="0" distB="0" distL="0" distR="0">
            <wp:extent cx="2962275" cy="619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619125"/>
                    </a:xfrm>
                    <a:prstGeom prst="rect">
                      <a:avLst/>
                    </a:prstGeom>
                    <a:noFill/>
                    <a:ln>
                      <a:noFill/>
                    </a:ln>
                  </pic:spPr>
                </pic:pic>
              </a:graphicData>
            </a:graphic>
          </wp:inline>
        </w:drawing>
      </w: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1E26D5">
        <w:rPr>
          <w:rFonts w:ascii="Book Antiqua" w:hAnsi="Book Antiqua" w:cs="Arial"/>
        </w:rPr>
        <w:t xml:space="preserve">: </w:t>
      </w:r>
      <w:bookmarkStart w:id="2" w:name="_Hlk518468342"/>
      <w:r w:rsidR="001E26D5">
        <w:rPr>
          <w:rFonts w:ascii="Book Antiqua" w:hAnsi="Book Antiqua" w:cs="Arial"/>
        </w:rPr>
        <w:t>3</w:t>
      </w:r>
      <w:r w:rsidR="001E26D5" w:rsidRPr="001E26D5">
        <w:rPr>
          <w:rFonts w:ascii="Book Antiqua" w:hAnsi="Book Antiqua" w:cs="Arial"/>
          <w:vertAlign w:val="superscript"/>
        </w:rPr>
        <w:t>rd</w:t>
      </w:r>
      <w:r w:rsidR="001E26D5">
        <w:rPr>
          <w:rFonts w:ascii="Book Antiqua" w:hAnsi="Book Antiqua" w:cs="Arial"/>
        </w:rPr>
        <w:t xml:space="preserve"> July 2018</w:t>
      </w:r>
      <w:bookmarkEnd w:id="2"/>
    </w:p>
    <w:p w:rsidR="001F2716" w:rsidRPr="000704BB" w:rsidRDefault="001F2716" w:rsidP="00265B39">
      <w:pPr>
        <w:jc w:val="both"/>
        <w:rPr>
          <w:rFonts w:ascii="Book Antiqua" w:hAnsi="Book Antiqua" w:cs="Arial"/>
        </w:rPr>
      </w:pPr>
    </w:p>
    <w:p w:rsidR="00B95326" w:rsidRDefault="003A194F" w:rsidP="00265B39">
      <w:pPr>
        <w:jc w:val="both"/>
        <w:rPr>
          <w:rFonts w:ascii="Book Antiqua" w:hAnsi="Book Antiqua" w:cs="Arial"/>
          <w:color w:val="000000"/>
        </w:rPr>
      </w:pPr>
      <w:r>
        <w:rPr>
          <w:rFonts w:ascii="Book Antiqua" w:hAnsi="Book Antiqua" w:cs="Arial"/>
          <w:color w:val="000000"/>
        </w:rPr>
        <w:t>Upper Tribunal</w:t>
      </w:r>
      <w:r w:rsidR="00D9111A" w:rsidRPr="000704BB">
        <w:rPr>
          <w:rFonts w:ascii="Book Antiqua" w:hAnsi="Book Antiqua" w:cs="Arial"/>
          <w:color w:val="000000"/>
        </w:rPr>
        <w:t xml:space="preserve"> Judge</w:t>
      </w:r>
      <w:r w:rsidR="001B2F75" w:rsidRPr="000704BB">
        <w:rPr>
          <w:rFonts w:ascii="Book Antiqua" w:hAnsi="Book Antiqua" w:cs="Arial"/>
          <w:color w:val="000000"/>
        </w:rPr>
        <w:t xml:space="preserve"> </w:t>
      </w:r>
      <w:r w:rsidR="004E0F3D" w:rsidRPr="000704BB">
        <w:rPr>
          <w:rFonts w:ascii="Book Antiqua" w:hAnsi="Book Antiqua" w:cs="Arial"/>
          <w:color w:val="000000"/>
        </w:rPr>
        <w:t>Allen</w:t>
      </w:r>
    </w:p>
    <w:p w:rsidR="00265B39" w:rsidRDefault="00265B39" w:rsidP="00265B39">
      <w:pPr>
        <w:jc w:val="both"/>
        <w:rPr>
          <w:rFonts w:ascii="Book Antiqua" w:hAnsi="Book Antiqua" w:cs="Arial"/>
          <w:color w:val="000000"/>
        </w:rPr>
      </w:pPr>
    </w:p>
    <w:p w:rsidR="00B75414" w:rsidRDefault="00B75414" w:rsidP="00265B39">
      <w:pPr>
        <w:jc w:val="both"/>
        <w:rPr>
          <w:rFonts w:ascii="Book Antiqua" w:hAnsi="Book Antiqua" w:cs="Arial"/>
          <w:color w:val="000000"/>
        </w:rPr>
      </w:pPr>
    </w:p>
    <w:p w:rsidR="00265B39" w:rsidRDefault="00265B39" w:rsidP="00265B39">
      <w:pPr>
        <w:jc w:val="both"/>
        <w:rPr>
          <w:rFonts w:ascii="Book Antiqua" w:hAnsi="Book Antiqua" w:cs="Arial"/>
          <w:color w:val="000000"/>
        </w:rPr>
      </w:pPr>
    </w:p>
    <w:p w:rsidR="00265B39" w:rsidRDefault="00265B39" w:rsidP="00F22A5B">
      <w:pPr>
        <w:jc w:val="both"/>
        <w:rPr>
          <w:rFonts w:ascii="Book Antiqua" w:hAnsi="Book Antiqua" w:cs="Arial"/>
          <w:b/>
          <w:u w:val="single"/>
        </w:rPr>
      </w:pPr>
      <w:r>
        <w:rPr>
          <w:rFonts w:ascii="Book Antiqua" w:hAnsi="Book Antiqua" w:cs="Arial"/>
          <w:b/>
          <w:u w:val="single"/>
        </w:rPr>
        <w:t>TO THE RESPONDENT</w:t>
      </w:r>
    </w:p>
    <w:p w:rsidR="00265B39" w:rsidRDefault="00265B39" w:rsidP="00F22A5B">
      <w:pPr>
        <w:jc w:val="both"/>
        <w:rPr>
          <w:rFonts w:ascii="Book Antiqua" w:hAnsi="Book Antiqua" w:cs="Arial"/>
        </w:rPr>
      </w:pPr>
      <w:r>
        <w:rPr>
          <w:rFonts w:ascii="Book Antiqua" w:hAnsi="Book Antiqua" w:cs="Arial"/>
          <w:b/>
          <w:u w:val="single"/>
        </w:rPr>
        <w:t>FEE AWARD</w:t>
      </w:r>
    </w:p>
    <w:p w:rsidR="00265B39" w:rsidRDefault="00265B39" w:rsidP="00F22A5B">
      <w:pPr>
        <w:jc w:val="both"/>
        <w:rPr>
          <w:rFonts w:ascii="Book Antiqua" w:hAnsi="Book Antiqua" w:cs="Arial"/>
        </w:rPr>
      </w:pPr>
    </w:p>
    <w:p w:rsidR="00265B39" w:rsidRDefault="00583A62" w:rsidP="00265B39">
      <w:pPr>
        <w:jc w:val="both"/>
        <w:rPr>
          <w:rFonts w:ascii="Book Antiqua" w:hAnsi="Book Antiqua" w:cs="Arial"/>
        </w:rPr>
      </w:pPr>
      <w:r>
        <w:rPr>
          <w:rFonts w:ascii="Book Antiqua" w:hAnsi="Book Antiqua" w:cs="Arial"/>
        </w:rPr>
        <w:t>T</w:t>
      </w:r>
      <w:r w:rsidR="00265B39">
        <w:rPr>
          <w:rFonts w:ascii="Book Antiqua" w:hAnsi="Book Antiqua" w:cs="Arial"/>
        </w:rPr>
        <w:t xml:space="preserve">he appeal </w:t>
      </w:r>
      <w:r>
        <w:rPr>
          <w:rFonts w:ascii="Book Antiqua" w:hAnsi="Book Antiqua" w:cs="Arial"/>
        </w:rPr>
        <w:t xml:space="preserve">is dismissed </w:t>
      </w:r>
      <w:r w:rsidR="00265B39">
        <w:rPr>
          <w:rFonts w:ascii="Book Antiqua" w:hAnsi="Book Antiqua" w:cs="Arial"/>
        </w:rPr>
        <w:t>and therefore there can be no fee award.</w:t>
      </w:r>
    </w:p>
    <w:p w:rsidR="00265B39" w:rsidRDefault="00265B39" w:rsidP="00265B39">
      <w:pPr>
        <w:jc w:val="both"/>
        <w:rPr>
          <w:rFonts w:ascii="Book Antiqua" w:hAnsi="Book Antiqua" w:cs="Arial"/>
        </w:rPr>
      </w:pPr>
    </w:p>
    <w:p w:rsidR="00265B39" w:rsidRDefault="00FA1712" w:rsidP="00265B39">
      <w:pPr>
        <w:jc w:val="both"/>
        <w:rPr>
          <w:rFonts w:ascii="Book Antiqua" w:hAnsi="Book Antiqua" w:cs="Arial"/>
        </w:rPr>
      </w:pPr>
      <w:r>
        <w:rPr>
          <w:noProof/>
        </w:rPr>
        <w:drawing>
          <wp:inline distT="0" distB="0" distL="0" distR="0">
            <wp:extent cx="2962275" cy="6191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619125"/>
                    </a:xfrm>
                    <a:prstGeom prst="rect">
                      <a:avLst/>
                    </a:prstGeom>
                    <a:noFill/>
                    <a:ln>
                      <a:noFill/>
                    </a:ln>
                  </pic:spPr>
                </pic:pic>
              </a:graphicData>
            </a:graphic>
          </wp:inline>
        </w:drawing>
      </w:r>
    </w:p>
    <w:p w:rsidR="00265B39" w:rsidRDefault="00265B39" w:rsidP="00265B39">
      <w:pPr>
        <w:jc w:val="both"/>
        <w:rPr>
          <w:rFonts w:ascii="Book Antiqua" w:hAnsi="Book Antiqua" w:cs="Arial"/>
        </w:rPr>
      </w:pPr>
    </w:p>
    <w:p w:rsidR="00265B39" w:rsidRPr="000704BB" w:rsidRDefault="00265B39"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t>Date</w:t>
      </w:r>
      <w:r w:rsidR="001E26D5">
        <w:rPr>
          <w:rFonts w:ascii="Book Antiqua" w:hAnsi="Book Antiqua" w:cs="Arial"/>
        </w:rPr>
        <w:t>: 3</w:t>
      </w:r>
      <w:r w:rsidR="001E26D5" w:rsidRPr="001E26D5">
        <w:rPr>
          <w:rFonts w:ascii="Book Antiqua" w:hAnsi="Book Antiqua" w:cs="Arial"/>
          <w:vertAlign w:val="superscript"/>
        </w:rPr>
        <w:t>rd</w:t>
      </w:r>
      <w:r w:rsidR="001E26D5">
        <w:rPr>
          <w:rFonts w:ascii="Book Antiqua" w:hAnsi="Book Antiqua" w:cs="Arial"/>
        </w:rPr>
        <w:t xml:space="preserve"> July 2018</w:t>
      </w:r>
    </w:p>
    <w:p w:rsidR="00265B39" w:rsidRPr="000704BB" w:rsidRDefault="00265B39" w:rsidP="00265B39">
      <w:pPr>
        <w:jc w:val="both"/>
        <w:rPr>
          <w:rFonts w:ascii="Book Antiqua" w:hAnsi="Book Antiqua" w:cs="Arial"/>
        </w:rPr>
      </w:pPr>
    </w:p>
    <w:p w:rsidR="00265B39" w:rsidRPr="003A194F" w:rsidRDefault="00265B39" w:rsidP="00265B39">
      <w:pPr>
        <w:jc w:val="both"/>
        <w:rPr>
          <w:rFonts w:ascii="Book Antiqua" w:hAnsi="Book Antiqua" w:cs="Arial"/>
          <w:color w:val="000000"/>
        </w:rPr>
      </w:pPr>
      <w:r>
        <w:rPr>
          <w:rFonts w:ascii="Book Antiqua" w:hAnsi="Book Antiqua" w:cs="Arial"/>
          <w:color w:val="000000"/>
        </w:rPr>
        <w:t>Upper Tribunal</w:t>
      </w:r>
      <w:r w:rsidRPr="000704BB">
        <w:rPr>
          <w:rFonts w:ascii="Book Antiqua" w:hAnsi="Book Antiqua" w:cs="Arial"/>
          <w:color w:val="000000"/>
        </w:rPr>
        <w:t xml:space="preserve"> Judge Allen</w:t>
      </w:r>
    </w:p>
    <w:p w:rsidR="00B95326" w:rsidRPr="000704BB" w:rsidRDefault="00B95326" w:rsidP="001E26D5">
      <w:pPr>
        <w:jc w:val="center"/>
        <w:rPr>
          <w:rFonts w:ascii="Book Antiqua" w:hAnsi="Book Antiqua" w:cs="Arial"/>
        </w:rPr>
      </w:pPr>
    </w:p>
    <w:sectPr w:rsidR="00B95326" w:rsidRPr="000704BB"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6B0A" w:rsidRDefault="00A06B0A">
      <w:r>
        <w:separator/>
      </w:r>
    </w:p>
  </w:endnote>
  <w:endnote w:type="continuationSeparator" w:id="0">
    <w:p w:rsidR="00A06B0A" w:rsidRDefault="00A06B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0704BB" w:rsidRDefault="00B83391" w:rsidP="00593795">
    <w:pPr>
      <w:pStyle w:val="Footer"/>
      <w:jc w:val="center"/>
      <w:rPr>
        <w:rFonts w:ascii="Book Antiqua" w:hAnsi="Book Antiqua" w:cs="Arial"/>
        <w:sz w:val="16"/>
        <w:szCs w:val="16"/>
      </w:rPr>
    </w:pPr>
    <w:r w:rsidRPr="000704BB">
      <w:rPr>
        <w:rStyle w:val="PageNumber"/>
        <w:rFonts w:ascii="Book Antiqua" w:hAnsi="Book Antiqua" w:cs="Arial"/>
        <w:sz w:val="16"/>
        <w:szCs w:val="16"/>
      </w:rPr>
      <w:fldChar w:fldCharType="begin"/>
    </w:r>
    <w:r w:rsidRPr="000704BB">
      <w:rPr>
        <w:rStyle w:val="PageNumber"/>
        <w:rFonts w:ascii="Book Antiqua" w:hAnsi="Book Antiqua" w:cs="Arial"/>
        <w:sz w:val="16"/>
        <w:szCs w:val="16"/>
      </w:rPr>
      <w:instrText xml:space="preserve"> PAGE </w:instrText>
    </w:r>
    <w:r w:rsidRPr="000704BB">
      <w:rPr>
        <w:rStyle w:val="PageNumber"/>
        <w:rFonts w:ascii="Book Antiqua" w:hAnsi="Book Antiqua" w:cs="Arial"/>
        <w:sz w:val="16"/>
        <w:szCs w:val="16"/>
      </w:rPr>
      <w:fldChar w:fldCharType="separate"/>
    </w:r>
    <w:r w:rsidR="00760E8F">
      <w:rPr>
        <w:rStyle w:val="PageNumber"/>
        <w:rFonts w:ascii="Book Antiqua" w:hAnsi="Book Antiqua" w:cs="Arial"/>
        <w:noProof/>
        <w:sz w:val="16"/>
        <w:szCs w:val="16"/>
      </w:rPr>
      <w:t>3</w:t>
    </w:r>
    <w:r w:rsidRPr="000704BB">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0704BB" w:rsidRDefault="00DE5E10" w:rsidP="00DE5E10">
    <w:pPr>
      <w:jc w:val="center"/>
      <w:rPr>
        <w:rFonts w:ascii="Book Antiqua" w:hAnsi="Book Antiqua" w:cs="Arial"/>
        <w:b/>
      </w:rPr>
    </w:pPr>
    <w:r w:rsidRPr="000704BB">
      <w:rPr>
        <w:rFonts w:ascii="Book Antiqua" w:hAnsi="Book Antiqua" w:cs="Arial"/>
        <w:b/>
        <w:spacing w:val="-6"/>
      </w:rPr>
      <w:t>©</w:t>
    </w:r>
    <w:r w:rsidR="00D0002B">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6B0A" w:rsidRDefault="00A06B0A">
      <w:r>
        <w:separator/>
      </w:r>
    </w:p>
  </w:footnote>
  <w:footnote w:type="continuationSeparator" w:id="0">
    <w:p w:rsidR="00A06B0A" w:rsidRDefault="00A06B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391" w:rsidRPr="005D1D4F" w:rsidRDefault="00B83391" w:rsidP="00593795">
    <w:pPr>
      <w:pStyle w:val="Header"/>
      <w:jc w:val="right"/>
      <w:rPr>
        <w:rFonts w:ascii="Book Antiqua" w:hAnsi="Book Antiqua" w:cs="Arial"/>
        <w:sz w:val="16"/>
        <w:szCs w:val="16"/>
      </w:rPr>
    </w:pPr>
    <w:r w:rsidRPr="000704BB">
      <w:rPr>
        <w:rFonts w:ascii="Book Antiqua" w:hAnsi="Book Antiqua" w:cs="Arial"/>
        <w:sz w:val="16"/>
        <w:szCs w:val="16"/>
      </w:rPr>
      <w:t>Appeal Number:</w:t>
    </w:r>
    <w:r w:rsidR="001B186A" w:rsidRPr="000704BB">
      <w:rPr>
        <w:rFonts w:ascii="Book Antiqua" w:hAnsi="Book Antiqua" w:cs="Arial"/>
        <w:sz w:val="16"/>
        <w:szCs w:val="16"/>
      </w:rPr>
      <w:t xml:space="preserve"> </w:t>
    </w:r>
    <w:r w:rsidR="005D1D4F" w:rsidRPr="005D1D4F">
      <w:rPr>
        <w:rFonts w:ascii="Book Antiqua" w:hAnsi="Book Antiqua" w:cs="Arial"/>
        <w:sz w:val="16"/>
        <w:szCs w:val="16"/>
      </w:rPr>
      <w:t>EA/09589/2016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704BB" w:rsidRPr="000704BB" w:rsidRDefault="000704BB">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927"/>
    <w:rsid w:val="00000621"/>
    <w:rsid w:val="000036C2"/>
    <w:rsid w:val="00033D3D"/>
    <w:rsid w:val="00046259"/>
    <w:rsid w:val="000553C8"/>
    <w:rsid w:val="00062F02"/>
    <w:rsid w:val="0006733D"/>
    <w:rsid w:val="000704BB"/>
    <w:rsid w:val="00071567"/>
    <w:rsid w:val="00071A7E"/>
    <w:rsid w:val="000746C0"/>
    <w:rsid w:val="00074D1D"/>
    <w:rsid w:val="00092580"/>
    <w:rsid w:val="00093D4D"/>
    <w:rsid w:val="000D5D94"/>
    <w:rsid w:val="000F1A0E"/>
    <w:rsid w:val="00113556"/>
    <w:rsid w:val="001165A7"/>
    <w:rsid w:val="00117E31"/>
    <w:rsid w:val="001361F9"/>
    <w:rsid w:val="00144C70"/>
    <w:rsid w:val="00150C5F"/>
    <w:rsid w:val="00167D3A"/>
    <w:rsid w:val="00190911"/>
    <w:rsid w:val="001A3082"/>
    <w:rsid w:val="001B186A"/>
    <w:rsid w:val="001B2F75"/>
    <w:rsid w:val="001C2D96"/>
    <w:rsid w:val="001C5B44"/>
    <w:rsid w:val="001E26D5"/>
    <w:rsid w:val="001E6D2E"/>
    <w:rsid w:val="001F2716"/>
    <w:rsid w:val="00207617"/>
    <w:rsid w:val="0021721E"/>
    <w:rsid w:val="0023134B"/>
    <w:rsid w:val="00265B39"/>
    <w:rsid w:val="00272FEE"/>
    <w:rsid w:val="00283659"/>
    <w:rsid w:val="0028553E"/>
    <w:rsid w:val="00296561"/>
    <w:rsid w:val="002B2A08"/>
    <w:rsid w:val="002C6BD4"/>
    <w:rsid w:val="002D68BF"/>
    <w:rsid w:val="002F6B98"/>
    <w:rsid w:val="00336CBF"/>
    <w:rsid w:val="00342168"/>
    <w:rsid w:val="00343FE3"/>
    <w:rsid w:val="003546C8"/>
    <w:rsid w:val="00355CF4"/>
    <w:rsid w:val="003A194F"/>
    <w:rsid w:val="003A7CF2"/>
    <w:rsid w:val="003C5CE5"/>
    <w:rsid w:val="003D670F"/>
    <w:rsid w:val="003E267B"/>
    <w:rsid w:val="003E530F"/>
    <w:rsid w:val="003E7CD1"/>
    <w:rsid w:val="00402B9E"/>
    <w:rsid w:val="00422AE3"/>
    <w:rsid w:val="004249CB"/>
    <w:rsid w:val="0044127D"/>
    <w:rsid w:val="004448DB"/>
    <w:rsid w:val="00446C9A"/>
    <w:rsid w:val="00452F2B"/>
    <w:rsid w:val="00477193"/>
    <w:rsid w:val="004808D3"/>
    <w:rsid w:val="004A1848"/>
    <w:rsid w:val="004A35CB"/>
    <w:rsid w:val="004A6F4A"/>
    <w:rsid w:val="004E0F3D"/>
    <w:rsid w:val="004E4717"/>
    <w:rsid w:val="00506FC5"/>
    <w:rsid w:val="00507FEC"/>
    <w:rsid w:val="00510F0E"/>
    <w:rsid w:val="00535861"/>
    <w:rsid w:val="005479E1"/>
    <w:rsid w:val="00553E0A"/>
    <w:rsid w:val="005570FD"/>
    <w:rsid w:val="005575EA"/>
    <w:rsid w:val="0057790C"/>
    <w:rsid w:val="00580FC5"/>
    <w:rsid w:val="00583A62"/>
    <w:rsid w:val="00593795"/>
    <w:rsid w:val="005A6D69"/>
    <w:rsid w:val="005A75FF"/>
    <w:rsid w:val="005C2522"/>
    <w:rsid w:val="005D10AB"/>
    <w:rsid w:val="005D1D4F"/>
    <w:rsid w:val="00601D8F"/>
    <w:rsid w:val="00624ECC"/>
    <w:rsid w:val="0062519A"/>
    <w:rsid w:val="00643BFC"/>
    <w:rsid w:val="00647A89"/>
    <w:rsid w:val="00653E97"/>
    <w:rsid w:val="006701F7"/>
    <w:rsid w:val="00677E26"/>
    <w:rsid w:val="0068471C"/>
    <w:rsid w:val="00684A74"/>
    <w:rsid w:val="00690B8A"/>
    <w:rsid w:val="006E433C"/>
    <w:rsid w:val="006F2CF1"/>
    <w:rsid w:val="007038ED"/>
    <w:rsid w:val="00703BC3"/>
    <w:rsid w:val="00704B61"/>
    <w:rsid w:val="0071355E"/>
    <w:rsid w:val="007552A9"/>
    <w:rsid w:val="00760E8F"/>
    <w:rsid w:val="00761858"/>
    <w:rsid w:val="00767D59"/>
    <w:rsid w:val="007723EF"/>
    <w:rsid w:val="00772559"/>
    <w:rsid w:val="00776E97"/>
    <w:rsid w:val="00780F86"/>
    <w:rsid w:val="0079030D"/>
    <w:rsid w:val="007912AD"/>
    <w:rsid w:val="00797649"/>
    <w:rsid w:val="007A09A6"/>
    <w:rsid w:val="007B0824"/>
    <w:rsid w:val="007B5D3C"/>
    <w:rsid w:val="007F2A46"/>
    <w:rsid w:val="00806249"/>
    <w:rsid w:val="00821B72"/>
    <w:rsid w:val="00823EF2"/>
    <w:rsid w:val="008303B8"/>
    <w:rsid w:val="00833DCE"/>
    <w:rsid w:val="00871D34"/>
    <w:rsid w:val="008A5D70"/>
    <w:rsid w:val="008B1ACE"/>
    <w:rsid w:val="008B270C"/>
    <w:rsid w:val="008B5078"/>
    <w:rsid w:val="008C3D3D"/>
    <w:rsid w:val="008D4131"/>
    <w:rsid w:val="008D55A4"/>
    <w:rsid w:val="008E7D0B"/>
    <w:rsid w:val="008F1932"/>
    <w:rsid w:val="00911411"/>
    <w:rsid w:val="00921062"/>
    <w:rsid w:val="009722BC"/>
    <w:rsid w:val="009727A3"/>
    <w:rsid w:val="00987774"/>
    <w:rsid w:val="00993927"/>
    <w:rsid w:val="009A11E8"/>
    <w:rsid w:val="009F5220"/>
    <w:rsid w:val="00A06B0A"/>
    <w:rsid w:val="00A15234"/>
    <w:rsid w:val="00A201AB"/>
    <w:rsid w:val="00A25BEB"/>
    <w:rsid w:val="00A31C8B"/>
    <w:rsid w:val="00A509FA"/>
    <w:rsid w:val="00A53D0B"/>
    <w:rsid w:val="00A60A11"/>
    <w:rsid w:val="00A71C11"/>
    <w:rsid w:val="00A845DC"/>
    <w:rsid w:val="00AD159E"/>
    <w:rsid w:val="00AD345F"/>
    <w:rsid w:val="00B01D17"/>
    <w:rsid w:val="00B1111A"/>
    <w:rsid w:val="00B26AA2"/>
    <w:rsid w:val="00B3524D"/>
    <w:rsid w:val="00B40F69"/>
    <w:rsid w:val="00B46616"/>
    <w:rsid w:val="00B7040A"/>
    <w:rsid w:val="00B75414"/>
    <w:rsid w:val="00B83391"/>
    <w:rsid w:val="00B95326"/>
    <w:rsid w:val="00BD4196"/>
    <w:rsid w:val="00BE36E1"/>
    <w:rsid w:val="00BF22CA"/>
    <w:rsid w:val="00BF23BB"/>
    <w:rsid w:val="00C209A7"/>
    <w:rsid w:val="00C26032"/>
    <w:rsid w:val="00C345E1"/>
    <w:rsid w:val="00C349A9"/>
    <w:rsid w:val="00C43BFD"/>
    <w:rsid w:val="00C77BDD"/>
    <w:rsid w:val="00C93A95"/>
    <w:rsid w:val="00CB6E35"/>
    <w:rsid w:val="00CE1A46"/>
    <w:rsid w:val="00D0002B"/>
    <w:rsid w:val="00D20757"/>
    <w:rsid w:val="00D22636"/>
    <w:rsid w:val="00D40FD9"/>
    <w:rsid w:val="00D41C8C"/>
    <w:rsid w:val="00D53769"/>
    <w:rsid w:val="00D633D6"/>
    <w:rsid w:val="00D85C13"/>
    <w:rsid w:val="00D90090"/>
    <w:rsid w:val="00D9111A"/>
    <w:rsid w:val="00D91BE3"/>
    <w:rsid w:val="00D94AFC"/>
    <w:rsid w:val="00DB70AE"/>
    <w:rsid w:val="00DD5071"/>
    <w:rsid w:val="00DD5C39"/>
    <w:rsid w:val="00DE5E10"/>
    <w:rsid w:val="00DE7DB7"/>
    <w:rsid w:val="00E00A0A"/>
    <w:rsid w:val="00E066DE"/>
    <w:rsid w:val="00E07F57"/>
    <w:rsid w:val="00E30683"/>
    <w:rsid w:val="00E453D8"/>
    <w:rsid w:val="00E458EF"/>
    <w:rsid w:val="00E50BCE"/>
    <w:rsid w:val="00E574BF"/>
    <w:rsid w:val="00E61292"/>
    <w:rsid w:val="00E65853"/>
    <w:rsid w:val="00E77C4D"/>
    <w:rsid w:val="00E81D01"/>
    <w:rsid w:val="00EA3675"/>
    <w:rsid w:val="00EE45D8"/>
    <w:rsid w:val="00F22A5B"/>
    <w:rsid w:val="00F22EDA"/>
    <w:rsid w:val="00F517D0"/>
    <w:rsid w:val="00F77F3F"/>
    <w:rsid w:val="00FA1712"/>
    <w:rsid w:val="00FC38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3B21933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3403</Characters>
  <Application>Microsoft Office Word</Application>
  <DocSecurity>0</DocSecurity>
  <Lines>28</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2018-07-19T14:51:00Z</dcterms:created>
  <dcterms:modified xsi:type="dcterms:W3CDTF">2018-07-19T14:51:00Z</dcterms:modified>
</cp:coreProperties>
</file>