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600DCB" w:rsidRDefault="00AA00B9" w:rsidP="0097789A">
      <w:pPr>
        <w:jc w:val="center"/>
        <w:rPr>
          <w:rFonts w:ascii="Book Antiqua" w:hAnsi="Book Antiqua" w:cs="Arial"/>
          <w:sz w:val="16"/>
          <w:szCs w:val="16"/>
        </w:rPr>
      </w:pPr>
      <w:r w:rsidRPr="00600DCB">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600DCB" w:rsidRDefault="00D94AFC">
      <w:pPr>
        <w:rPr>
          <w:rFonts w:ascii="Book Antiqua" w:hAnsi="Book Antiqua" w:cs="Arial"/>
          <w:sz w:val="16"/>
          <w:szCs w:val="16"/>
        </w:rPr>
      </w:pPr>
    </w:p>
    <w:p w:rsidR="00C321B5" w:rsidRPr="007D3AC2" w:rsidRDefault="001A1E2C" w:rsidP="00B626FA">
      <w:pPr>
        <w:tabs>
          <w:tab w:val="right" w:pos="9639"/>
        </w:tabs>
        <w:rPr>
          <w:rFonts w:ascii="Book Antiqua" w:hAnsi="Book Antiqua" w:cs="Arial"/>
          <w:b/>
        </w:rPr>
      </w:pPr>
      <w:r w:rsidRPr="007D3AC2">
        <w:rPr>
          <w:rFonts w:ascii="Book Antiqua" w:hAnsi="Book Antiqua" w:cs="Arial"/>
          <w:b/>
        </w:rPr>
        <w:t xml:space="preserve">Upper </w:t>
      </w:r>
      <w:r w:rsidR="00C321B5" w:rsidRPr="007D3AC2">
        <w:rPr>
          <w:rFonts w:ascii="Book Antiqua" w:hAnsi="Book Antiqua" w:cs="Arial"/>
          <w:b/>
        </w:rPr>
        <w:t xml:space="preserve">Tribunal </w:t>
      </w:r>
    </w:p>
    <w:p w:rsidR="007B0824" w:rsidRPr="007D3AC2" w:rsidRDefault="00C321B5" w:rsidP="00B626FA">
      <w:pPr>
        <w:tabs>
          <w:tab w:val="right" w:pos="9639"/>
        </w:tabs>
        <w:rPr>
          <w:rFonts w:ascii="Book Antiqua" w:hAnsi="Book Antiqua" w:cs="Arial"/>
          <w:caps/>
        </w:rPr>
      </w:pPr>
      <w:r w:rsidRPr="007D3AC2">
        <w:rPr>
          <w:rFonts w:ascii="Book Antiqua" w:hAnsi="Book Antiqua" w:cs="Arial"/>
          <w:b/>
        </w:rPr>
        <w:t>(Immigration and Asylum Chamber)</w:t>
      </w:r>
      <w:r w:rsidR="00B626FA" w:rsidRPr="007D3AC2">
        <w:rPr>
          <w:rFonts w:ascii="Book Antiqua" w:hAnsi="Book Antiqua" w:cs="Arial"/>
          <w:b/>
        </w:rPr>
        <w:tab/>
      </w:r>
      <w:r w:rsidR="00B3524D" w:rsidRPr="007D3AC2">
        <w:rPr>
          <w:rFonts w:ascii="Book Antiqua" w:hAnsi="Book Antiqua" w:cs="Arial"/>
        </w:rPr>
        <w:t>Appeal Number</w:t>
      </w:r>
      <w:r w:rsidR="00D53769" w:rsidRPr="007D3AC2">
        <w:rPr>
          <w:rFonts w:ascii="Book Antiqua" w:hAnsi="Book Antiqua" w:cs="Arial"/>
        </w:rPr>
        <w:t>:</w:t>
      </w:r>
      <w:r w:rsidR="00B3524D" w:rsidRPr="007D3AC2">
        <w:rPr>
          <w:rFonts w:ascii="Book Antiqua" w:hAnsi="Book Antiqua" w:cs="Arial"/>
        </w:rPr>
        <w:t xml:space="preserve"> </w:t>
      </w:r>
      <w:bookmarkStart w:id="0" w:name="_GoBack"/>
      <w:r w:rsidR="007155AF">
        <w:rPr>
          <w:rFonts w:ascii="Book Antiqua" w:hAnsi="Book Antiqua" w:cs="Arial"/>
          <w:caps/>
        </w:rPr>
        <w:t>EA/09619/2017</w:t>
      </w:r>
      <w:r w:rsidR="00CE67F3" w:rsidRPr="007D3AC2">
        <w:rPr>
          <w:rFonts w:ascii="Book Antiqua" w:hAnsi="Book Antiqua" w:cs="Arial"/>
          <w:caps/>
        </w:rPr>
        <w:t xml:space="preserve"> </w:t>
      </w:r>
      <w:bookmarkEnd w:id="0"/>
    </w:p>
    <w:p w:rsidR="00C345E1" w:rsidRPr="007D3AC2" w:rsidRDefault="00C345E1" w:rsidP="00C345E1">
      <w:pPr>
        <w:jc w:val="center"/>
        <w:rPr>
          <w:rFonts w:ascii="Book Antiqua" w:hAnsi="Book Antiqua" w:cs="Arial"/>
        </w:rPr>
      </w:pPr>
    </w:p>
    <w:p w:rsidR="00C345E1" w:rsidRPr="007D3AC2" w:rsidRDefault="00C345E1" w:rsidP="00C345E1">
      <w:pPr>
        <w:jc w:val="center"/>
        <w:rPr>
          <w:rFonts w:ascii="Book Antiqua" w:hAnsi="Book Antiqua" w:cs="Arial"/>
        </w:rPr>
      </w:pPr>
    </w:p>
    <w:p w:rsidR="00C345E1" w:rsidRPr="007D3AC2" w:rsidRDefault="00C345E1" w:rsidP="00C345E1">
      <w:pPr>
        <w:jc w:val="center"/>
        <w:rPr>
          <w:rFonts w:ascii="Book Antiqua" w:hAnsi="Book Antiqua" w:cs="Arial"/>
          <w:b/>
          <w:u w:val="single"/>
        </w:rPr>
      </w:pPr>
      <w:r w:rsidRPr="007D3AC2">
        <w:rPr>
          <w:rFonts w:ascii="Book Antiqua" w:hAnsi="Book Antiqua" w:cs="Arial"/>
          <w:b/>
          <w:u w:val="single"/>
        </w:rPr>
        <w:t>THE IMMIGRATION ACTS</w:t>
      </w:r>
    </w:p>
    <w:p w:rsidR="00C345E1" w:rsidRPr="007D3AC2" w:rsidRDefault="00C345E1" w:rsidP="00C345E1">
      <w:pPr>
        <w:jc w:val="center"/>
        <w:rPr>
          <w:rFonts w:ascii="Book Antiqua" w:hAnsi="Book Antiqua" w:cs="Arial"/>
          <w:b/>
          <w:u w:val="single"/>
        </w:rPr>
      </w:pPr>
    </w:p>
    <w:p w:rsidR="00C345E1" w:rsidRPr="007D3AC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111FBD" w:rsidTr="00111FBD">
        <w:tc>
          <w:tcPr>
            <w:tcW w:w="6048" w:type="dxa"/>
            <w:shd w:val="clear" w:color="auto" w:fill="auto"/>
          </w:tcPr>
          <w:p w:rsidR="00D22636" w:rsidRPr="00111FBD" w:rsidRDefault="00D22636" w:rsidP="00111FBD">
            <w:pPr>
              <w:jc w:val="both"/>
              <w:rPr>
                <w:rFonts w:ascii="Book Antiqua" w:hAnsi="Book Antiqua" w:cs="Arial"/>
                <w:b/>
              </w:rPr>
            </w:pPr>
            <w:r w:rsidRPr="00111FBD">
              <w:rPr>
                <w:rFonts w:ascii="Book Antiqua" w:hAnsi="Book Antiqua" w:cs="Arial"/>
                <w:b/>
              </w:rPr>
              <w:t xml:space="preserve">Heard at </w:t>
            </w:r>
            <w:r w:rsidR="007155AF">
              <w:rPr>
                <w:rFonts w:ascii="Book Antiqua" w:hAnsi="Book Antiqua" w:cs="Arial"/>
                <w:b/>
              </w:rPr>
              <w:t>Liverpool</w:t>
            </w:r>
          </w:p>
        </w:tc>
        <w:tc>
          <w:tcPr>
            <w:tcW w:w="3960" w:type="dxa"/>
            <w:shd w:val="clear" w:color="auto" w:fill="auto"/>
          </w:tcPr>
          <w:p w:rsidR="00D22636" w:rsidRPr="00111FBD" w:rsidRDefault="00E03927" w:rsidP="00111FBD">
            <w:pPr>
              <w:jc w:val="both"/>
              <w:rPr>
                <w:rFonts w:ascii="Book Antiqua" w:hAnsi="Book Antiqua" w:cs="Arial"/>
                <w:b/>
              </w:rPr>
            </w:pPr>
            <w:r w:rsidRPr="00111FBD">
              <w:rPr>
                <w:rFonts w:ascii="Book Antiqua" w:hAnsi="Book Antiqua" w:cs="Arial"/>
                <w:b/>
              </w:rPr>
              <w:t>Decision &amp; Reasons</w:t>
            </w:r>
            <w:r w:rsidR="00283659" w:rsidRPr="00111FBD">
              <w:rPr>
                <w:rFonts w:ascii="Book Antiqua" w:hAnsi="Book Antiqua" w:cs="Arial"/>
                <w:b/>
              </w:rPr>
              <w:t xml:space="preserve"> Promulgated</w:t>
            </w:r>
          </w:p>
        </w:tc>
      </w:tr>
      <w:tr w:rsidR="00D22636" w:rsidRPr="00111FBD" w:rsidTr="00111FBD">
        <w:tc>
          <w:tcPr>
            <w:tcW w:w="6048" w:type="dxa"/>
            <w:shd w:val="clear" w:color="auto" w:fill="auto"/>
          </w:tcPr>
          <w:p w:rsidR="00D22636" w:rsidRPr="00111FBD" w:rsidRDefault="00D22636" w:rsidP="00111FBD">
            <w:pPr>
              <w:jc w:val="both"/>
              <w:rPr>
                <w:rFonts w:ascii="Book Antiqua" w:hAnsi="Book Antiqua" w:cs="Arial"/>
                <w:b/>
              </w:rPr>
            </w:pPr>
            <w:r w:rsidRPr="00111FBD">
              <w:rPr>
                <w:rFonts w:ascii="Book Antiqua" w:hAnsi="Book Antiqua" w:cs="Arial"/>
                <w:b/>
              </w:rPr>
              <w:t xml:space="preserve">On </w:t>
            </w:r>
            <w:r w:rsidR="00B45CCC">
              <w:rPr>
                <w:rFonts w:ascii="Book Antiqua" w:hAnsi="Book Antiqua" w:cs="Arial"/>
                <w:b/>
              </w:rPr>
              <w:t>2</w:t>
            </w:r>
            <w:r w:rsidR="007155AF">
              <w:rPr>
                <w:rFonts w:ascii="Book Antiqua" w:hAnsi="Book Antiqua" w:cs="Arial"/>
                <w:b/>
              </w:rPr>
              <w:t>3 July 2018</w:t>
            </w:r>
          </w:p>
        </w:tc>
        <w:tc>
          <w:tcPr>
            <w:tcW w:w="3960" w:type="dxa"/>
            <w:shd w:val="clear" w:color="auto" w:fill="auto"/>
          </w:tcPr>
          <w:p w:rsidR="00D22636" w:rsidRPr="00111FBD" w:rsidRDefault="00AA00B9" w:rsidP="00111FBD">
            <w:pPr>
              <w:jc w:val="both"/>
              <w:rPr>
                <w:rFonts w:ascii="Book Antiqua" w:hAnsi="Book Antiqua" w:cs="Arial"/>
                <w:b/>
              </w:rPr>
            </w:pPr>
            <w:r>
              <w:rPr>
                <w:rFonts w:ascii="Book Antiqua" w:hAnsi="Book Antiqua" w:cs="Arial"/>
                <w:b/>
              </w:rPr>
              <w:t>On 2 August 2018</w:t>
            </w:r>
          </w:p>
        </w:tc>
      </w:tr>
      <w:tr w:rsidR="00D22636" w:rsidRPr="00111FBD" w:rsidTr="00111FBD">
        <w:tc>
          <w:tcPr>
            <w:tcW w:w="6048" w:type="dxa"/>
            <w:shd w:val="clear" w:color="auto" w:fill="auto"/>
          </w:tcPr>
          <w:p w:rsidR="00D22636" w:rsidRPr="00111FBD" w:rsidRDefault="00D22636" w:rsidP="00111FBD">
            <w:pPr>
              <w:jc w:val="both"/>
              <w:rPr>
                <w:rFonts w:ascii="Book Antiqua" w:hAnsi="Book Antiqua" w:cs="Arial"/>
                <w:b/>
              </w:rPr>
            </w:pPr>
          </w:p>
        </w:tc>
        <w:tc>
          <w:tcPr>
            <w:tcW w:w="3960" w:type="dxa"/>
            <w:shd w:val="clear" w:color="auto" w:fill="auto"/>
          </w:tcPr>
          <w:p w:rsidR="00D22636" w:rsidRPr="00111FBD" w:rsidRDefault="00D22636" w:rsidP="00111FBD">
            <w:pPr>
              <w:jc w:val="both"/>
              <w:rPr>
                <w:rFonts w:ascii="Book Antiqua" w:hAnsi="Book Antiqua" w:cs="Arial"/>
                <w:b/>
              </w:rPr>
            </w:pPr>
          </w:p>
        </w:tc>
      </w:tr>
    </w:tbl>
    <w:p w:rsidR="00A15234" w:rsidRPr="007D3AC2" w:rsidRDefault="00A15234" w:rsidP="00A15234">
      <w:pPr>
        <w:jc w:val="center"/>
        <w:rPr>
          <w:rFonts w:ascii="Book Antiqua" w:hAnsi="Book Antiqua" w:cs="Arial"/>
        </w:rPr>
      </w:pPr>
    </w:p>
    <w:p w:rsidR="00A15234" w:rsidRPr="007D3AC2" w:rsidRDefault="00207617" w:rsidP="00A15234">
      <w:pPr>
        <w:jc w:val="center"/>
        <w:rPr>
          <w:rFonts w:ascii="Book Antiqua" w:hAnsi="Book Antiqua" w:cs="Arial"/>
          <w:b/>
        </w:rPr>
      </w:pPr>
      <w:r w:rsidRPr="007D3AC2">
        <w:rPr>
          <w:rFonts w:ascii="Book Antiqua" w:hAnsi="Book Antiqua" w:cs="Arial"/>
          <w:b/>
        </w:rPr>
        <w:t>Befo</w:t>
      </w:r>
      <w:r w:rsidR="00A15234" w:rsidRPr="007D3AC2">
        <w:rPr>
          <w:rFonts w:ascii="Book Antiqua" w:hAnsi="Book Antiqua" w:cs="Arial"/>
          <w:b/>
        </w:rPr>
        <w:t>re</w:t>
      </w:r>
    </w:p>
    <w:p w:rsidR="00A15234" w:rsidRPr="007D3AC2" w:rsidRDefault="00A15234" w:rsidP="00A15234">
      <w:pPr>
        <w:jc w:val="center"/>
        <w:rPr>
          <w:rFonts w:ascii="Book Antiqua" w:hAnsi="Book Antiqua" w:cs="Arial"/>
          <w:b/>
        </w:rPr>
      </w:pPr>
    </w:p>
    <w:p w:rsidR="001A1E2C" w:rsidRPr="007D3AC2" w:rsidRDefault="008A7CAE" w:rsidP="00A15234">
      <w:pPr>
        <w:jc w:val="center"/>
        <w:rPr>
          <w:rFonts w:ascii="Book Antiqua" w:hAnsi="Book Antiqua" w:cs="Arial"/>
          <w:b/>
        </w:rPr>
      </w:pPr>
      <w:smartTag w:uri="urn:schemas-microsoft-com:office:smarttags" w:element="PersonName">
        <w:r w:rsidRPr="007D3AC2">
          <w:rPr>
            <w:rFonts w:ascii="Book Antiqua" w:hAnsi="Book Antiqua" w:cs="Arial"/>
            <w:b/>
          </w:rPr>
          <w:t>DEPUTY UPPER TRIBUNAL</w:t>
        </w:r>
        <w:r w:rsidR="00B16F58" w:rsidRPr="007D3AC2">
          <w:rPr>
            <w:rFonts w:ascii="Book Antiqua" w:hAnsi="Book Antiqua" w:cs="Arial"/>
            <w:b/>
          </w:rPr>
          <w:t xml:space="preserve"> JUDGE </w:t>
        </w:r>
        <w:smartTag w:uri="urn:schemas:contacts" w:element="Sn">
          <w:r w:rsidR="00D30B7C" w:rsidRPr="007D3AC2">
            <w:rPr>
              <w:rFonts w:ascii="Book Antiqua" w:hAnsi="Book Antiqua" w:cs="Arial"/>
              <w:b/>
            </w:rPr>
            <w:t>MONSON</w:t>
          </w:r>
        </w:smartTag>
      </w:smartTag>
      <w:r w:rsidR="004505F7" w:rsidRPr="007D3AC2">
        <w:rPr>
          <w:rFonts w:ascii="Book Antiqua" w:hAnsi="Book Antiqua" w:cs="Arial"/>
          <w:b/>
        </w:rPr>
        <w:t xml:space="preserve">   </w:t>
      </w:r>
    </w:p>
    <w:p w:rsidR="00B16F58" w:rsidRDefault="00B16F58" w:rsidP="00A15234">
      <w:pPr>
        <w:jc w:val="center"/>
        <w:rPr>
          <w:rFonts w:ascii="Book Antiqua" w:hAnsi="Book Antiqua" w:cs="Arial"/>
          <w:b/>
        </w:rPr>
      </w:pPr>
    </w:p>
    <w:p w:rsidR="00600DCB" w:rsidRPr="007D3AC2" w:rsidRDefault="00600DCB" w:rsidP="00A15234">
      <w:pPr>
        <w:jc w:val="center"/>
        <w:rPr>
          <w:rFonts w:ascii="Book Antiqua" w:hAnsi="Book Antiqua" w:cs="Arial"/>
          <w:b/>
        </w:rPr>
      </w:pPr>
    </w:p>
    <w:p w:rsidR="00A845DC" w:rsidRPr="007D3AC2" w:rsidRDefault="00A845DC" w:rsidP="00A15234">
      <w:pPr>
        <w:jc w:val="center"/>
        <w:rPr>
          <w:rFonts w:ascii="Book Antiqua" w:hAnsi="Book Antiqua" w:cs="Arial"/>
          <w:b/>
        </w:rPr>
      </w:pPr>
      <w:r w:rsidRPr="007D3AC2">
        <w:rPr>
          <w:rFonts w:ascii="Book Antiqua" w:hAnsi="Book Antiqua" w:cs="Arial"/>
          <w:b/>
        </w:rPr>
        <w:t>Between</w:t>
      </w:r>
    </w:p>
    <w:p w:rsidR="00A845DC" w:rsidRPr="007D3AC2" w:rsidRDefault="00A845DC" w:rsidP="00A15234">
      <w:pPr>
        <w:jc w:val="center"/>
        <w:rPr>
          <w:rFonts w:ascii="Book Antiqua" w:hAnsi="Book Antiqua" w:cs="Arial"/>
          <w:b/>
        </w:rPr>
      </w:pPr>
    </w:p>
    <w:p w:rsidR="003D5CA0" w:rsidRPr="007D3AC2" w:rsidRDefault="007155AF" w:rsidP="003D5CA0">
      <w:pPr>
        <w:jc w:val="center"/>
        <w:rPr>
          <w:rFonts w:ascii="Book Antiqua" w:hAnsi="Book Antiqua" w:cs="Arial"/>
          <w:b/>
          <w:caps/>
        </w:rPr>
      </w:pPr>
      <w:r>
        <w:rPr>
          <w:rFonts w:ascii="Book Antiqua" w:hAnsi="Book Antiqua" w:cs="Arial"/>
          <w:b/>
          <w:caps/>
        </w:rPr>
        <w:t>olukolade ajayi</w:t>
      </w:r>
      <w:r w:rsidR="002D3E27" w:rsidRPr="007D3AC2">
        <w:rPr>
          <w:rFonts w:ascii="Book Antiqua" w:hAnsi="Book Antiqua" w:cs="Arial"/>
          <w:b/>
          <w:caps/>
        </w:rPr>
        <w:t xml:space="preserve"> </w:t>
      </w:r>
    </w:p>
    <w:p w:rsidR="00E03927" w:rsidRPr="00600DCB" w:rsidRDefault="00E03927" w:rsidP="00E03927">
      <w:pPr>
        <w:jc w:val="center"/>
        <w:rPr>
          <w:rFonts w:ascii="Book Antiqua" w:hAnsi="Book Antiqua" w:cs="Arial"/>
          <w:b/>
          <w:caps/>
          <w:sz w:val="22"/>
        </w:rPr>
      </w:pPr>
      <w:r w:rsidRPr="00600DCB">
        <w:rPr>
          <w:rFonts w:ascii="Book Antiqua" w:hAnsi="Book Antiqua" w:cs="Arial"/>
          <w:b/>
          <w:caps/>
          <w:sz w:val="22"/>
        </w:rPr>
        <w:t xml:space="preserve">(ANONYMITY DIRECTION </w:t>
      </w:r>
      <w:bookmarkStart w:id="1" w:name="Text21"/>
      <w:r w:rsidRPr="00600DCB">
        <w:rPr>
          <w:rFonts w:ascii="Book Antiqua" w:hAnsi="Book Antiqua" w:cs="Arial"/>
          <w:b/>
          <w:caps/>
          <w:noProof/>
          <w:sz w:val="22"/>
        </w:rPr>
        <w:t>NOT MADE</w:t>
      </w:r>
      <w:bookmarkEnd w:id="1"/>
      <w:r w:rsidRPr="00600DCB">
        <w:rPr>
          <w:rFonts w:ascii="Book Antiqua" w:hAnsi="Book Antiqua" w:cs="Arial"/>
          <w:b/>
          <w:caps/>
          <w:sz w:val="22"/>
        </w:rPr>
        <w:t>)</w:t>
      </w:r>
      <w:r w:rsidR="00E22B85" w:rsidRPr="00600DCB">
        <w:rPr>
          <w:rFonts w:ascii="Book Antiqua" w:hAnsi="Book Antiqua" w:cs="Arial"/>
          <w:b/>
          <w:caps/>
          <w:sz w:val="22"/>
        </w:rPr>
        <w:t xml:space="preserve">  </w:t>
      </w:r>
    </w:p>
    <w:p w:rsidR="00704B61" w:rsidRPr="007D3AC2" w:rsidRDefault="00704B61" w:rsidP="00704B61">
      <w:pPr>
        <w:jc w:val="right"/>
        <w:rPr>
          <w:rFonts w:ascii="Book Antiqua" w:hAnsi="Book Antiqua" w:cs="Arial"/>
          <w:u w:val="single"/>
        </w:rPr>
      </w:pPr>
      <w:r w:rsidRPr="007D3AC2">
        <w:rPr>
          <w:rFonts w:ascii="Book Antiqua" w:hAnsi="Book Antiqua" w:cs="Arial"/>
          <w:u w:val="single"/>
        </w:rPr>
        <w:t>Appellant</w:t>
      </w:r>
    </w:p>
    <w:p w:rsidR="00704B61" w:rsidRPr="007D3AC2" w:rsidRDefault="00DD5071" w:rsidP="00704B61">
      <w:pPr>
        <w:jc w:val="center"/>
        <w:rPr>
          <w:rFonts w:ascii="Book Antiqua" w:hAnsi="Book Antiqua" w:cs="Arial"/>
          <w:b/>
        </w:rPr>
      </w:pPr>
      <w:r w:rsidRPr="007D3AC2">
        <w:rPr>
          <w:rFonts w:ascii="Book Antiqua" w:hAnsi="Book Antiqua" w:cs="Arial"/>
          <w:b/>
        </w:rPr>
        <w:t>and</w:t>
      </w:r>
    </w:p>
    <w:p w:rsidR="00DD5071" w:rsidRPr="007D3AC2" w:rsidRDefault="00DD5071" w:rsidP="00704B61">
      <w:pPr>
        <w:jc w:val="center"/>
        <w:rPr>
          <w:rFonts w:ascii="Book Antiqua" w:hAnsi="Book Antiqua" w:cs="Arial"/>
          <w:b/>
        </w:rPr>
      </w:pPr>
    </w:p>
    <w:p w:rsidR="00DD5071" w:rsidRPr="007D3AC2" w:rsidRDefault="00DD5071" w:rsidP="00E34610">
      <w:pPr>
        <w:jc w:val="center"/>
        <w:rPr>
          <w:rFonts w:ascii="Book Antiqua" w:hAnsi="Book Antiqua" w:cs="Arial"/>
          <w:b/>
          <w:caps/>
        </w:rPr>
      </w:pPr>
      <w:bookmarkStart w:id="2" w:name="Text7"/>
      <w:r w:rsidRPr="007D3AC2">
        <w:rPr>
          <w:rFonts w:ascii="Book Antiqua" w:hAnsi="Book Antiqua" w:cs="Arial"/>
          <w:b/>
          <w:caps/>
          <w:noProof/>
        </w:rPr>
        <w:t>THE SECRETARY OF STATE FOR THE HOME DEPARTMENT</w:t>
      </w:r>
      <w:bookmarkEnd w:id="2"/>
      <w:r w:rsidR="00E22B85" w:rsidRPr="007D3AC2">
        <w:rPr>
          <w:rFonts w:ascii="Book Antiqua" w:hAnsi="Book Antiqua" w:cs="Arial"/>
          <w:b/>
          <w:caps/>
          <w:noProof/>
        </w:rPr>
        <w:t xml:space="preserve">  </w:t>
      </w:r>
    </w:p>
    <w:p w:rsidR="00DD5071" w:rsidRPr="007D3AC2" w:rsidRDefault="00DD5071" w:rsidP="00DD5071">
      <w:pPr>
        <w:jc w:val="right"/>
        <w:rPr>
          <w:rFonts w:ascii="Book Antiqua" w:hAnsi="Book Antiqua" w:cs="Arial"/>
          <w:u w:val="single"/>
        </w:rPr>
      </w:pPr>
      <w:r w:rsidRPr="007D3AC2">
        <w:rPr>
          <w:rFonts w:ascii="Book Antiqua" w:hAnsi="Book Antiqua" w:cs="Arial"/>
          <w:u w:val="single"/>
        </w:rPr>
        <w:t>Respondent</w:t>
      </w:r>
    </w:p>
    <w:p w:rsidR="00DD5071" w:rsidRPr="007D3AC2" w:rsidRDefault="00DD5071" w:rsidP="00DD5071">
      <w:pPr>
        <w:rPr>
          <w:rFonts w:ascii="Book Antiqua" w:hAnsi="Book Antiqua" w:cs="Arial"/>
          <w:u w:val="single"/>
        </w:rPr>
      </w:pPr>
    </w:p>
    <w:p w:rsidR="00DD5071" w:rsidRPr="007D3AC2" w:rsidRDefault="009F0BFB" w:rsidP="00DD5071">
      <w:pPr>
        <w:rPr>
          <w:rFonts w:ascii="Book Antiqua" w:hAnsi="Book Antiqua" w:cs="Arial"/>
          <w:u w:val="single"/>
        </w:rPr>
      </w:pPr>
      <w:r w:rsidRPr="007D3AC2">
        <w:rPr>
          <w:rFonts w:ascii="Book Antiqua" w:hAnsi="Book Antiqua" w:cs="Arial"/>
          <w:u w:val="single"/>
        </w:rPr>
        <w:t xml:space="preserve"> </w:t>
      </w:r>
    </w:p>
    <w:p w:rsidR="00DD5071" w:rsidRPr="007D3AC2" w:rsidRDefault="00DE7DB7" w:rsidP="00DD5071">
      <w:pPr>
        <w:rPr>
          <w:rFonts w:ascii="Book Antiqua" w:hAnsi="Book Antiqua" w:cs="Arial"/>
        </w:rPr>
      </w:pPr>
      <w:r w:rsidRPr="007D3AC2">
        <w:rPr>
          <w:rFonts w:ascii="Book Antiqua" w:hAnsi="Book Antiqua" w:cs="Arial"/>
          <w:b/>
          <w:u w:val="single"/>
        </w:rPr>
        <w:t>Representation</w:t>
      </w:r>
      <w:r w:rsidRPr="007D3AC2">
        <w:rPr>
          <w:rFonts w:ascii="Book Antiqua" w:hAnsi="Book Antiqua" w:cs="Arial"/>
          <w:b/>
        </w:rPr>
        <w:t>:</w:t>
      </w:r>
    </w:p>
    <w:p w:rsidR="00DE7DB7" w:rsidRPr="007D3AC2" w:rsidRDefault="00DE7DB7" w:rsidP="00600DCB">
      <w:pPr>
        <w:tabs>
          <w:tab w:val="left" w:pos="2552"/>
        </w:tabs>
        <w:rPr>
          <w:rFonts w:ascii="Book Antiqua" w:hAnsi="Book Antiqua" w:cs="Arial"/>
        </w:rPr>
      </w:pPr>
      <w:r w:rsidRPr="007D3AC2">
        <w:rPr>
          <w:rFonts w:ascii="Book Antiqua" w:hAnsi="Book Antiqua" w:cs="Arial"/>
        </w:rPr>
        <w:t>For the Appellant:</w:t>
      </w:r>
      <w:r w:rsidRPr="007D3AC2">
        <w:rPr>
          <w:rFonts w:ascii="Book Antiqua" w:hAnsi="Book Antiqua" w:cs="Arial"/>
        </w:rPr>
        <w:tab/>
      </w:r>
      <w:r w:rsidR="007155AF">
        <w:rPr>
          <w:rFonts w:ascii="Book Antiqua" w:hAnsi="Book Antiqua" w:cs="Arial"/>
        </w:rPr>
        <w:t>In person</w:t>
      </w:r>
      <w:r w:rsidR="00E22B85" w:rsidRPr="007D3AC2">
        <w:rPr>
          <w:rFonts w:ascii="Book Antiqua" w:hAnsi="Book Antiqua" w:cs="Arial"/>
        </w:rPr>
        <w:t xml:space="preserve">  </w:t>
      </w:r>
    </w:p>
    <w:p w:rsidR="00DE7DB7" w:rsidRPr="007D3AC2" w:rsidRDefault="00DE7DB7" w:rsidP="00600DCB">
      <w:pPr>
        <w:tabs>
          <w:tab w:val="left" w:pos="2552"/>
        </w:tabs>
        <w:rPr>
          <w:rFonts w:ascii="Book Antiqua" w:hAnsi="Book Antiqua" w:cs="Arial"/>
        </w:rPr>
      </w:pPr>
      <w:r w:rsidRPr="007D3AC2">
        <w:rPr>
          <w:rFonts w:ascii="Book Antiqua" w:hAnsi="Book Antiqua" w:cs="Arial"/>
        </w:rPr>
        <w:t>For the Respondent:</w:t>
      </w:r>
      <w:r w:rsidRPr="007D3AC2">
        <w:rPr>
          <w:rFonts w:ascii="Book Antiqua" w:hAnsi="Book Antiqua" w:cs="Arial"/>
        </w:rPr>
        <w:tab/>
      </w:r>
      <w:r w:rsidR="007155AF">
        <w:rPr>
          <w:rFonts w:ascii="Book Antiqua" w:hAnsi="Book Antiqua" w:cs="Arial"/>
        </w:rPr>
        <w:t>Mr Bates, Senior Home Office Presenting Officer</w:t>
      </w:r>
      <w:r w:rsidR="00E22B85" w:rsidRPr="007D3AC2">
        <w:rPr>
          <w:rFonts w:ascii="Book Antiqua" w:hAnsi="Book Antiqua" w:cs="Arial"/>
        </w:rPr>
        <w:t xml:space="preserve">  </w:t>
      </w:r>
    </w:p>
    <w:p w:rsidR="00DE7DB7" w:rsidRPr="007D3AC2" w:rsidRDefault="00DE7DB7" w:rsidP="00402B9E">
      <w:pPr>
        <w:tabs>
          <w:tab w:val="left" w:pos="2520"/>
        </w:tabs>
        <w:jc w:val="center"/>
        <w:rPr>
          <w:rFonts w:ascii="Book Antiqua" w:hAnsi="Book Antiqua" w:cs="Arial"/>
        </w:rPr>
      </w:pPr>
    </w:p>
    <w:p w:rsidR="00DE7DB7" w:rsidRPr="007D3AC2" w:rsidRDefault="00DE7DB7" w:rsidP="00402B9E">
      <w:pPr>
        <w:tabs>
          <w:tab w:val="left" w:pos="2520"/>
        </w:tabs>
        <w:jc w:val="center"/>
        <w:rPr>
          <w:rFonts w:ascii="Book Antiqua" w:hAnsi="Book Antiqua" w:cs="Arial"/>
        </w:rPr>
      </w:pPr>
    </w:p>
    <w:p w:rsidR="00DE7DB7" w:rsidRPr="007D3AC2" w:rsidRDefault="00E03927" w:rsidP="00402B9E">
      <w:pPr>
        <w:tabs>
          <w:tab w:val="left" w:pos="2520"/>
        </w:tabs>
        <w:jc w:val="center"/>
        <w:rPr>
          <w:rFonts w:ascii="Book Antiqua" w:hAnsi="Book Antiqua" w:cs="Arial"/>
        </w:rPr>
      </w:pPr>
      <w:r w:rsidRPr="007D3AC2">
        <w:rPr>
          <w:rFonts w:ascii="Book Antiqua" w:hAnsi="Book Antiqua" w:cs="Arial"/>
          <w:b/>
          <w:u w:val="single"/>
        </w:rPr>
        <w:t xml:space="preserve">DECISION </w:t>
      </w:r>
      <w:r w:rsidR="00402B9E" w:rsidRPr="007D3AC2">
        <w:rPr>
          <w:rFonts w:ascii="Book Antiqua" w:hAnsi="Book Antiqua" w:cs="Arial"/>
          <w:b/>
          <w:u w:val="single"/>
        </w:rPr>
        <w:t>AND REASONS</w:t>
      </w:r>
    </w:p>
    <w:p w:rsidR="00E22B85" w:rsidRPr="007D3AC2" w:rsidRDefault="00E22B85" w:rsidP="00F10429">
      <w:pPr>
        <w:numPr>
          <w:ilvl w:val="0"/>
          <w:numId w:val="3"/>
        </w:numPr>
        <w:spacing w:before="240"/>
        <w:jc w:val="both"/>
        <w:rPr>
          <w:rFonts w:ascii="Book Antiqua" w:hAnsi="Book Antiqua" w:cs="Arial"/>
        </w:rPr>
      </w:pPr>
      <w:r w:rsidRPr="007D3AC2">
        <w:rPr>
          <w:rFonts w:ascii="Book Antiqua" w:hAnsi="Book Antiqua" w:cs="Arial"/>
        </w:rPr>
        <w:t xml:space="preserve">The appellant appeals to the Upper Tribunal </w:t>
      </w:r>
      <w:r w:rsidR="00B44776">
        <w:rPr>
          <w:rFonts w:ascii="Book Antiqua" w:hAnsi="Book Antiqua" w:cs="Arial"/>
        </w:rPr>
        <w:t xml:space="preserve">from </w:t>
      </w:r>
      <w:r w:rsidRPr="007D3AC2">
        <w:rPr>
          <w:rFonts w:ascii="Book Antiqua" w:hAnsi="Book Antiqua" w:cs="Arial"/>
        </w:rPr>
        <w:t>the decision of the First-tier Tr</w:t>
      </w:r>
      <w:r w:rsidR="00B45CCC">
        <w:rPr>
          <w:rFonts w:ascii="Book Antiqua" w:hAnsi="Book Antiqua" w:cs="Arial"/>
        </w:rPr>
        <w:t xml:space="preserve">ibunal </w:t>
      </w:r>
      <w:r w:rsidR="007155AF">
        <w:rPr>
          <w:rFonts w:ascii="Book Antiqua" w:hAnsi="Book Antiqua" w:cs="Arial"/>
        </w:rPr>
        <w:t xml:space="preserve">(Judge Graves) </w:t>
      </w:r>
      <w:r w:rsidR="00B45CCC">
        <w:rPr>
          <w:rFonts w:ascii="Book Antiqua" w:hAnsi="Book Antiqua" w:cs="Arial"/>
        </w:rPr>
        <w:t xml:space="preserve">dismissing </w:t>
      </w:r>
      <w:r w:rsidR="007155AF">
        <w:rPr>
          <w:rFonts w:ascii="Book Antiqua" w:hAnsi="Book Antiqua" w:cs="Arial"/>
        </w:rPr>
        <w:t xml:space="preserve">on the papers </w:t>
      </w:r>
      <w:r w:rsidR="00B45CCC">
        <w:rPr>
          <w:rFonts w:ascii="Book Antiqua" w:hAnsi="Book Antiqua" w:cs="Arial"/>
        </w:rPr>
        <w:t xml:space="preserve">his appeal against </w:t>
      </w:r>
      <w:r w:rsidRPr="007D3AC2">
        <w:rPr>
          <w:rFonts w:ascii="Book Antiqua" w:hAnsi="Book Antiqua" w:cs="Arial"/>
        </w:rPr>
        <w:t xml:space="preserve">the decision of the Secretary of </w:t>
      </w:r>
      <w:r w:rsidR="00A42619" w:rsidRPr="007D3AC2">
        <w:rPr>
          <w:rFonts w:ascii="Book Antiqua" w:hAnsi="Book Antiqua" w:cs="Arial"/>
        </w:rPr>
        <w:t xml:space="preserve">State </w:t>
      </w:r>
      <w:r w:rsidR="00B45CCC">
        <w:rPr>
          <w:rFonts w:ascii="Book Antiqua" w:hAnsi="Book Antiqua" w:cs="Arial"/>
        </w:rPr>
        <w:t xml:space="preserve">to refuse to issue him </w:t>
      </w:r>
      <w:r w:rsidR="00A42619" w:rsidRPr="007D3AC2">
        <w:rPr>
          <w:rFonts w:ascii="Book Antiqua" w:hAnsi="Book Antiqua" w:cs="Arial"/>
        </w:rPr>
        <w:t>with a residence card under the Immigration (Europea</w:t>
      </w:r>
      <w:r w:rsidR="00F07F81">
        <w:rPr>
          <w:rFonts w:ascii="Book Antiqua" w:hAnsi="Book Antiqua" w:cs="Arial"/>
        </w:rPr>
        <w:t>n Economic Area) Regulations 201</w:t>
      </w:r>
      <w:r w:rsidR="00A42619" w:rsidRPr="007D3AC2">
        <w:rPr>
          <w:rFonts w:ascii="Book Antiqua" w:hAnsi="Book Antiqua" w:cs="Arial"/>
        </w:rPr>
        <w:t>6</w:t>
      </w:r>
      <w:r w:rsidR="00EC3868" w:rsidRPr="007D3AC2">
        <w:rPr>
          <w:rFonts w:ascii="Book Antiqua" w:hAnsi="Book Antiqua" w:cs="Arial"/>
        </w:rPr>
        <w:t xml:space="preserve"> as </w:t>
      </w:r>
      <w:r w:rsidR="007155AF">
        <w:rPr>
          <w:rFonts w:ascii="Book Antiqua" w:hAnsi="Book Antiqua" w:cs="Arial"/>
        </w:rPr>
        <w:t xml:space="preserve">confirmation that he had a retained right of residence under Regulation 10 following his divorce from his EEA national spouse. </w:t>
      </w:r>
      <w:r w:rsidR="00186F91">
        <w:rPr>
          <w:rFonts w:ascii="Book Antiqua" w:hAnsi="Book Antiqua" w:cs="Arial"/>
        </w:rPr>
        <w:t>The First-tier Tribunal did not make an anonymity direction, and I do not consider the appellant requires anonymity for these proceedings in the Upper Tribunal.</w:t>
      </w:r>
    </w:p>
    <w:p w:rsidR="00EC3868" w:rsidRPr="007D3AC2" w:rsidRDefault="00EC3868" w:rsidP="00EC3868">
      <w:pPr>
        <w:spacing w:before="240"/>
        <w:jc w:val="both"/>
        <w:rPr>
          <w:rFonts w:ascii="Book Antiqua" w:hAnsi="Book Antiqua" w:cs="Arial"/>
          <w:b/>
          <w:u w:val="single"/>
        </w:rPr>
      </w:pPr>
      <w:r w:rsidRPr="007D3AC2">
        <w:rPr>
          <w:rFonts w:ascii="Book Antiqua" w:hAnsi="Book Antiqua" w:cs="Arial"/>
          <w:b/>
          <w:u w:val="single"/>
        </w:rPr>
        <w:lastRenderedPageBreak/>
        <w:t xml:space="preserve">The Reasons for Granting Permission to Appeal  </w:t>
      </w:r>
    </w:p>
    <w:p w:rsidR="004346DC" w:rsidRDefault="007155AF" w:rsidP="00F10429">
      <w:pPr>
        <w:numPr>
          <w:ilvl w:val="0"/>
          <w:numId w:val="3"/>
        </w:numPr>
        <w:spacing w:before="240"/>
        <w:jc w:val="both"/>
        <w:rPr>
          <w:rFonts w:ascii="Book Antiqua" w:hAnsi="Book Antiqua" w:cs="Arial"/>
        </w:rPr>
      </w:pPr>
      <w:r>
        <w:rPr>
          <w:rFonts w:ascii="Book Antiqua" w:hAnsi="Book Antiqua" w:cs="Arial"/>
        </w:rPr>
        <w:t xml:space="preserve">Permission to appeal against the decision promulgated on 7 February 2018 was granted on 6 March 2018 by First-tier Judge Murray as it was arguable that the Judge’s approach to the issue of documentation was in conflict with the guidance given in </w:t>
      </w:r>
      <w:r w:rsidRPr="004346DC">
        <w:rPr>
          <w:rFonts w:ascii="Book Antiqua" w:hAnsi="Book Antiqua" w:cs="Arial"/>
          <w:b/>
        </w:rPr>
        <w:t>Barnett and others</w:t>
      </w:r>
      <w:r w:rsidR="004346DC">
        <w:rPr>
          <w:rFonts w:ascii="Book Antiqua" w:hAnsi="Book Antiqua" w:cs="Arial"/>
          <w:b/>
        </w:rPr>
        <w:t xml:space="preserve"> (EEA Regulations: rights and documentation) [2012] UKUT </w:t>
      </w:r>
      <w:r w:rsidR="004346DC" w:rsidRPr="004346DC">
        <w:rPr>
          <w:rFonts w:ascii="Book Antiqua" w:hAnsi="Book Antiqua" w:cs="Arial"/>
          <w:b/>
        </w:rPr>
        <w:t>142</w:t>
      </w:r>
      <w:r w:rsidR="004346DC">
        <w:rPr>
          <w:rFonts w:ascii="Book Antiqua" w:hAnsi="Book Antiqua" w:cs="Arial"/>
        </w:rPr>
        <w:t>. However, while granting permission, Judge Murray also observed as follows:</w:t>
      </w:r>
    </w:p>
    <w:p w:rsidR="004346DC" w:rsidRPr="00600DCB" w:rsidRDefault="00600DCB" w:rsidP="00600DCB">
      <w:pPr>
        <w:spacing w:before="120"/>
        <w:ind w:left="1134" w:right="567"/>
        <w:jc w:val="both"/>
        <w:rPr>
          <w:rFonts w:ascii="Book Antiqua" w:hAnsi="Book Antiqua" w:cs="Arial"/>
          <w:sz w:val="22"/>
          <w:szCs w:val="20"/>
        </w:rPr>
      </w:pPr>
      <w:r>
        <w:rPr>
          <w:rFonts w:ascii="Book Antiqua" w:hAnsi="Book Antiqua" w:cs="Arial"/>
          <w:sz w:val="22"/>
          <w:szCs w:val="20"/>
        </w:rPr>
        <w:t>“</w:t>
      </w:r>
      <w:r w:rsidR="004346DC" w:rsidRPr="00600DCB">
        <w:rPr>
          <w:rFonts w:ascii="Book Antiqua" w:hAnsi="Book Antiqua" w:cs="Arial"/>
          <w:sz w:val="22"/>
          <w:szCs w:val="20"/>
        </w:rPr>
        <w:t>The materiality of this [error] may, however, be effected by the unchallenged finding that the Appellant had not retained a right of residence.</w:t>
      </w:r>
      <w:r>
        <w:rPr>
          <w:rFonts w:ascii="Book Antiqua" w:hAnsi="Book Antiqua" w:cs="Arial"/>
          <w:sz w:val="22"/>
          <w:szCs w:val="20"/>
        </w:rPr>
        <w:t>”</w:t>
      </w:r>
    </w:p>
    <w:p w:rsidR="004346DC" w:rsidRPr="004346DC" w:rsidRDefault="004346DC" w:rsidP="004346DC">
      <w:pPr>
        <w:spacing w:before="240"/>
        <w:jc w:val="both"/>
        <w:rPr>
          <w:rFonts w:ascii="Book Antiqua" w:hAnsi="Book Antiqua" w:cs="Arial"/>
          <w:b/>
          <w:u w:val="single"/>
        </w:rPr>
      </w:pPr>
      <w:r>
        <w:rPr>
          <w:rFonts w:ascii="Book Antiqua" w:hAnsi="Book Antiqua" w:cs="Arial"/>
          <w:b/>
          <w:u w:val="single"/>
        </w:rPr>
        <w:t>The Hearing in the Upper Tribunal</w:t>
      </w:r>
    </w:p>
    <w:p w:rsidR="004346DC" w:rsidRDefault="004346DC" w:rsidP="00F10429">
      <w:pPr>
        <w:numPr>
          <w:ilvl w:val="0"/>
          <w:numId w:val="3"/>
        </w:numPr>
        <w:spacing w:before="240"/>
        <w:jc w:val="both"/>
        <w:rPr>
          <w:rFonts w:ascii="Book Antiqua" w:hAnsi="Book Antiqua" w:cs="Arial"/>
        </w:rPr>
      </w:pPr>
      <w:r>
        <w:rPr>
          <w:rFonts w:ascii="Book Antiqua" w:hAnsi="Book Antiqua" w:cs="Arial"/>
        </w:rPr>
        <w:t>At the hearing before me to determine whether an error of law was made out such that the decision should be set aside, Mr Bates conceded that an error of law was made out as pleaded by the appellant in his grounds of appeal to the UT, but he submitted that the error was not material for the reason given by Judge Murray.</w:t>
      </w:r>
    </w:p>
    <w:p w:rsidR="00EB1412" w:rsidRDefault="00EB1412" w:rsidP="00F10429">
      <w:pPr>
        <w:numPr>
          <w:ilvl w:val="0"/>
          <w:numId w:val="3"/>
        </w:numPr>
        <w:spacing w:before="240"/>
        <w:jc w:val="both"/>
        <w:rPr>
          <w:rFonts w:ascii="Book Antiqua" w:hAnsi="Book Antiqua" w:cs="Arial"/>
        </w:rPr>
      </w:pPr>
      <w:r>
        <w:rPr>
          <w:rFonts w:ascii="Book Antiqua" w:hAnsi="Book Antiqua" w:cs="Arial"/>
        </w:rPr>
        <w:t xml:space="preserve">Although he had not challenged the </w:t>
      </w:r>
      <w:r w:rsidR="00B356D4">
        <w:rPr>
          <w:rFonts w:ascii="Book Antiqua" w:hAnsi="Book Antiqua" w:cs="Arial"/>
        </w:rPr>
        <w:t xml:space="preserve">adverse </w:t>
      </w:r>
      <w:r>
        <w:rPr>
          <w:rFonts w:ascii="Book Antiqua" w:hAnsi="Book Antiqua" w:cs="Arial"/>
        </w:rPr>
        <w:t>find</w:t>
      </w:r>
      <w:r w:rsidR="00B356D4">
        <w:rPr>
          <w:rFonts w:ascii="Book Antiqua" w:hAnsi="Book Antiqua" w:cs="Arial"/>
        </w:rPr>
        <w:t>ing of Judge Graves on the underlying merits of his appeal</w:t>
      </w:r>
      <w:r>
        <w:rPr>
          <w:rFonts w:ascii="Book Antiqua" w:hAnsi="Book Antiqua" w:cs="Arial"/>
        </w:rPr>
        <w:t>, in answer to questions from me t</w:t>
      </w:r>
      <w:r w:rsidR="004346DC">
        <w:rPr>
          <w:rFonts w:ascii="Book Antiqua" w:hAnsi="Book Antiqua" w:cs="Arial"/>
        </w:rPr>
        <w:t xml:space="preserve">he appellant </w:t>
      </w:r>
      <w:r>
        <w:rPr>
          <w:rFonts w:ascii="Book Antiqua" w:hAnsi="Book Antiqua" w:cs="Arial"/>
        </w:rPr>
        <w:t>indicated that he did not accept that he had not provided sufficient evidence to show that his former spouse was exercising treaty rights at the time of divorce</w:t>
      </w:r>
      <w:r w:rsidR="00F07F81">
        <w:rPr>
          <w:rFonts w:ascii="Book Antiqua" w:hAnsi="Book Antiqua" w:cs="Arial"/>
        </w:rPr>
        <w:t>;</w:t>
      </w:r>
      <w:r>
        <w:rPr>
          <w:rFonts w:ascii="Book Antiqua" w:hAnsi="Book Antiqua" w:cs="Arial"/>
        </w:rPr>
        <w:t xml:space="preserve"> or, alternatively, that she had not already acquired a permanent right of residence before the divorce through the continuous exercise of Treaty rights for a period of five years.</w:t>
      </w:r>
    </w:p>
    <w:p w:rsidR="00EB1412" w:rsidRDefault="00EB1412" w:rsidP="00F10429">
      <w:pPr>
        <w:numPr>
          <w:ilvl w:val="0"/>
          <w:numId w:val="3"/>
        </w:numPr>
        <w:spacing w:before="240"/>
        <w:jc w:val="both"/>
        <w:rPr>
          <w:rFonts w:ascii="Book Antiqua" w:hAnsi="Book Antiqua" w:cs="Arial"/>
        </w:rPr>
      </w:pPr>
      <w:r>
        <w:rPr>
          <w:rFonts w:ascii="Book Antiqua" w:hAnsi="Book Antiqua" w:cs="Arial"/>
        </w:rPr>
        <w:t xml:space="preserve">He said they had got married in September 2009, and he had been issued with a </w:t>
      </w:r>
      <w:proofErr w:type="gramStart"/>
      <w:r>
        <w:rPr>
          <w:rFonts w:ascii="Book Antiqua" w:hAnsi="Book Antiqua" w:cs="Arial"/>
        </w:rPr>
        <w:t>five year</w:t>
      </w:r>
      <w:proofErr w:type="gramEnd"/>
      <w:r>
        <w:rPr>
          <w:rFonts w:ascii="Book Antiqua" w:hAnsi="Book Antiqua" w:cs="Arial"/>
        </w:rPr>
        <w:t xml:space="preserve"> residence card in April 2010. They had stopped living together in October 2013, and the decree absolute had been issued on 30 December 2013. His last contact with her had been in 2014. The documents which he had provided to show that she had been working in the UK were those which she had left behind. He did not know her current whereabouts. She might be in Portugal, which was her country of origin.</w:t>
      </w:r>
    </w:p>
    <w:p w:rsidR="00EB1412" w:rsidRPr="00EB1412" w:rsidRDefault="00EB1412" w:rsidP="00EB1412">
      <w:pPr>
        <w:spacing w:before="240"/>
        <w:jc w:val="both"/>
        <w:rPr>
          <w:rFonts w:ascii="Book Antiqua" w:hAnsi="Book Antiqua" w:cs="Arial"/>
          <w:b/>
          <w:u w:val="single"/>
        </w:rPr>
      </w:pPr>
      <w:r>
        <w:rPr>
          <w:rFonts w:ascii="Book Antiqua" w:hAnsi="Book Antiqua" w:cs="Arial"/>
          <w:b/>
          <w:u w:val="single"/>
        </w:rPr>
        <w:t>Discussion</w:t>
      </w:r>
    </w:p>
    <w:p w:rsidR="001B6AFA" w:rsidRDefault="00F07F81" w:rsidP="00F10429">
      <w:pPr>
        <w:numPr>
          <w:ilvl w:val="0"/>
          <w:numId w:val="3"/>
        </w:numPr>
        <w:spacing w:before="240"/>
        <w:jc w:val="both"/>
        <w:rPr>
          <w:rFonts w:ascii="Book Antiqua" w:hAnsi="Book Antiqua" w:cs="Arial"/>
        </w:rPr>
      </w:pPr>
      <w:r>
        <w:rPr>
          <w:rFonts w:ascii="Book Antiqua" w:hAnsi="Book Antiqua" w:cs="Arial"/>
        </w:rPr>
        <w:t xml:space="preserve">The respondent refused the application made on 4 September 2017 on the preliminary ground that the appellant had not satisfactorily demonstrated the nationality of his former spouse.  </w:t>
      </w:r>
      <w:r w:rsidR="00B356D4">
        <w:rPr>
          <w:rFonts w:ascii="Book Antiqua" w:hAnsi="Book Antiqua" w:cs="Arial"/>
        </w:rPr>
        <w:t>As the application was refused on this preliminary ground, the respondent did not consider the documents relied on as showing the exercise of Treaty rights, and the appellant was invited to make a fresh application for substantive consideration, if and when the preliminary issue was satisfactorily addressed.</w:t>
      </w:r>
    </w:p>
    <w:p w:rsidR="00F07F81" w:rsidRDefault="00F07F81" w:rsidP="00F10429">
      <w:pPr>
        <w:numPr>
          <w:ilvl w:val="0"/>
          <w:numId w:val="3"/>
        </w:numPr>
        <w:spacing w:before="240"/>
        <w:jc w:val="both"/>
        <w:rPr>
          <w:rFonts w:ascii="Book Antiqua" w:hAnsi="Book Antiqua" w:cs="Arial"/>
        </w:rPr>
      </w:pPr>
      <w:r>
        <w:rPr>
          <w:rFonts w:ascii="Book Antiqua" w:hAnsi="Book Antiqua" w:cs="Arial"/>
        </w:rPr>
        <w:t>For the purposes of his appeal to the First-tier Tribunal, which he asked to be determined on the papers, the appellant produced his former spouse’</w:t>
      </w:r>
      <w:r w:rsidR="00F63AF7">
        <w:rPr>
          <w:rFonts w:ascii="Book Antiqua" w:hAnsi="Book Antiqua" w:cs="Arial"/>
        </w:rPr>
        <w:t xml:space="preserve">s original EEA registration certificate issued to her by the Home Office. </w:t>
      </w:r>
    </w:p>
    <w:p w:rsidR="00F07F81" w:rsidRDefault="00F07F81" w:rsidP="00F10429">
      <w:pPr>
        <w:numPr>
          <w:ilvl w:val="0"/>
          <w:numId w:val="3"/>
        </w:numPr>
        <w:spacing w:before="240"/>
        <w:jc w:val="both"/>
        <w:rPr>
          <w:rFonts w:ascii="Book Antiqua" w:hAnsi="Book Antiqua" w:cs="Arial"/>
        </w:rPr>
      </w:pPr>
      <w:r>
        <w:rPr>
          <w:rFonts w:ascii="Book Antiqua" w:hAnsi="Book Antiqua" w:cs="Arial"/>
        </w:rPr>
        <w:t xml:space="preserve">As conceded by Mr Bates, Judge Graves erred in law in holding that the appellant had not thereby adequately addressed the </w:t>
      </w:r>
      <w:r w:rsidR="00F63AF7">
        <w:rPr>
          <w:rFonts w:ascii="Book Antiqua" w:hAnsi="Book Antiqua" w:cs="Arial"/>
        </w:rPr>
        <w:t>issue of the former spouse’s nationality and identity. The Judge further erred in law in holding that the appellant ought to have provided their marriage certificate to show that he had been married to an EEA citizen.</w:t>
      </w:r>
    </w:p>
    <w:p w:rsidR="00F63AF7" w:rsidRDefault="00F63AF7" w:rsidP="00F10429">
      <w:pPr>
        <w:numPr>
          <w:ilvl w:val="0"/>
          <w:numId w:val="3"/>
        </w:numPr>
        <w:spacing w:before="240"/>
        <w:jc w:val="both"/>
        <w:rPr>
          <w:rFonts w:ascii="Book Antiqua" w:hAnsi="Book Antiqua" w:cs="Arial"/>
        </w:rPr>
      </w:pPr>
      <w:r>
        <w:rPr>
          <w:rFonts w:ascii="Book Antiqua" w:hAnsi="Book Antiqua" w:cs="Arial"/>
        </w:rPr>
        <w:lastRenderedPageBreak/>
        <w:t xml:space="preserve">However, the Judge correctly directed himself that the burden was on the appellant to show that he had a retained right of residence, and in paragraph [11] of his decision he gave adequate and sustainable reasons as to why </w:t>
      </w:r>
      <w:r w:rsidR="00732067">
        <w:rPr>
          <w:rFonts w:ascii="Book Antiqua" w:hAnsi="Book Antiqua" w:cs="Arial"/>
        </w:rPr>
        <w:t xml:space="preserve">he considered the documentary evidence of the sponsor’s activities as a self-employed person from 2009 to the point of divorce to be </w:t>
      </w:r>
      <w:r w:rsidR="00732067" w:rsidRPr="00732067">
        <w:rPr>
          <w:rFonts w:ascii="Book Antiqua" w:hAnsi="Book Antiqua" w:cs="Arial"/>
          <w:i/>
        </w:rPr>
        <w:t>“scant”</w:t>
      </w:r>
      <w:r w:rsidR="00732067">
        <w:rPr>
          <w:rFonts w:ascii="Book Antiqua" w:hAnsi="Book Antiqua" w:cs="Arial"/>
          <w:i/>
        </w:rPr>
        <w:t xml:space="preserve"> </w:t>
      </w:r>
      <w:r w:rsidR="00732067">
        <w:rPr>
          <w:rFonts w:ascii="Book Antiqua" w:hAnsi="Book Antiqua" w:cs="Arial"/>
        </w:rPr>
        <w:t xml:space="preserve">and not sufficient to show on the balance of probabilities that, </w:t>
      </w:r>
      <w:r w:rsidR="00732067" w:rsidRPr="00732067">
        <w:rPr>
          <w:rFonts w:ascii="Book Antiqua" w:hAnsi="Book Antiqua" w:cs="Arial"/>
          <w:i/>
        </w:rPr>
        <w:t>“the sponsor was in the United Kingdom exercising Treaty rights at the point of divorce”</w:t>
      </w:r>
      <w:r w:rsidR="00732067">
        <w:rPr>
          <w:rFonts w:ascii="Book Antiqua" w:hAnsi="Book Antiqua" w:cs="Arial"/>
        </w:rPr>
        <w:t xml:space="preserve">.  </w:t>
      </w:r>
    </w:p>
    <w:p w:rsidR="00732067" w:rsidRDefault="00FB3DE4" w:rsidP="00F10429">
      <w:pPr>
        <w:numPr>
          <w:ilvl w:val="0"/>
          <w:numId w:val="3"/>
        </w:numPr>
        <w:spacing w:before="240"/>
        <w:jc w:val="both"/>
        <w:rPr>
          <w:rFonts w:ascii="Book Antiqua" w:hAnsi="Book Antiqua" w:cs="Arial"/>
        </w:rPr>
      </w:pPr>
      <w:r>
        <w:rPr>
          <w:rFonts w:ascii="Book Antiqua" w:hAnsi="Book Antiqua" w:cs="Arial"/>
        </w:rPr>
        <w:t xml:space="preserve">Accordingly, the errors made by the Judge were not material to the outcome. The Judge did not err in finding that the appellant had not discharged the burden of proving that he had a retained right of residence.  </w:t>
      </w:r>
    </w:p>
    <w:p w:rsidR="00851CFE" w:rsidRPr="007D3AC2" w:rsidRDefault="00851CFE" w:rsidP="00851CFE">
      <w:pPr>
        <w:spacing w:before="240"/>
        <w:jc w:val="both"/>
        <w:rPr>
          <w:rFonts w:ascii="Book Antiqua" w:hAnsi="Book Antiqua" w:cs="Arial"/>
        </w:rPr>
      </w:pPr>
      <w:r w:rsidRPr="007D3AC2">
        <w:rPr>
          <w:rFonts w:ascii="Book Antiqua" w:hAnsi="Book Antiqua" w:cs="Arial"/>
          <w:b/>
          <w:u w:val="single"/>
        </w:rPr>
        <w:t xml:space="preserve">Notice of Decision  </w:t>
      </w:r>
    </w:p>
    <w:p w:rsidR="00CD3672" w:rsidRPr="007D3AC2" w:rsidRDefault="00851CFE" w:rsidP="00CD3672">
      <w:pPr>
        <w:spacing w:before="240"/>
        <w:jc w:val="both"/>
        <w:rPr>
          <w:rFonts w:ascii="Book Antiqua" w:hAnsi="Book Antiqua" w:cs="Arial"/>
        </w:rPr>
      </w:pPr>
      <w:r w:rsidRPr="007D3AC2">
        <w:rPr>
          <w:rFonts w:ascii="Book Antiqua" w:hAnsi="Book Antiqua" w:cs="Arial"/>
        </w:rPr>
        <w:t xml:space="preserve">The decision of the First-tier Tribunal </w:t>
      </w:r>
      <w:r w:rsidR="00CD134D">
        <w:rPr>
          <w:rFonts w:ascii="Book Antiqua" w:hAnsi="Book Antiqua" w:cs="Arial"/>
        </w:rPr>
        <w:t>did</w:t>
      </w:r>
      <w:r w:rsidR="00FB3DE4">
        <w:rPr>
          <w:rFonts w:ascii="Book Antiqua" w:hAnsi="Book Antiqua" w:cs="Arial"/>
        </w:rPr>
        <w:t xml:space="preserve"> not contain a material</w:t>
      </w:r>
      <w:r w:rsidR="00CD134D">
        <w:rPr>
          <w:rFonts w:ascii="Book Antiqua" w:hAnsi="Book Antiqua" w:cs="Arial"/>
        </w:rPr>
        <w:t xml:space="preserve"> error of law, and so the decision stands. </w:t>
      </w:r>
      <w:r w:rsidR="00CD3672" w:rsidRPr="007D3AC2">
        <w:rPr>
          <w:rFonts w:ascii="Book Antiqua" w:hAnsi="Book Antiqua" w:cs="Arial"/>
        </w:rPr>
        <w:t xml:space="preserve">  </w:t>
      </w:r>
    </w:p>
    <w:p w:rsidR="00E03927" w:rsidRPr="007D3AC2" w:rsidRDefault="00CD3672" w:rsidP="00CD3672">
      <w:pPr>
        <w:spacing w:before="240"/>
        <w:jc w:val="both"/>
        <w:rPr>
          <w:rFonts w:ascii="Book Antiqua" w:hAnsi="Book Antiqua" w:cs="Arial"/>
        </w:rPr>
      </w:pPr>
      <w:r w:rsidRPr="007D3AC2">
        <w:rPr>
          <w:rFonts w:ascii="Book Antiqua" w:hAnsi="Book Antiqua" w:cs="Arial"/>
        </w:rPr>
        <w:t xml:space="preserve">I make no </w:t>
      </w:r>
      <w:r w:rsidR="00E03927" w:rsidRPr="007D3AC2">
        <w:rPr>
          <w:rFonts w:ascii="Book Antiqua" w:hAnsi="Book Antiqua" w:cs="Arial"/>
        </w:rPr>
        <w:t>anonymity direction.</w:t>
      </w:r>
    </w:p>
    <w:p w:rsidR="000369F5" w:rsidRDefault="000369F5" w:rsidP="000369F5">
      <w:pPr>
        <w:tabs>
          <w:tab w:val="left" w:pos="2520"/>
        </w:tabs>
        <w:jc w:val="both"/>
        <w:rPr>
          <w:rFonts w:ascii="Book Antiqua" w:hAnsi="Book Antiqua" w:cs="Arial"/>
        </w:rPr>
      </w:pPr>
    </w:p>
    <w:p w:rsidR="00600DCB" w:rsidRPr="007D3AC2" w:rsidRDefault="00600DCB" w:rsidP="000369F5">
      <w:pPr>
        <w:tabs>
          <w:tab w:val="left" w:pos="2520"/>
        </w:tabs>
        <w:jc w:val="both"/>
        <w:rPr>
          <w:rFonts w:ascii="Book Antiqua" w:hAnsi="Book Antiqua" w:cs="Arial"/>
        </w:rPr>
      </w:pPr>
    </w:p>
    <w:p w:rsidR="001F2716" w:rsidRPr="007D3AC2" w:rsidRDefault="006E3C90" w:rsidP="000369F5">
      <w:pPr>
        <w:tabs>
          <w:tab w:val="left" w:pos="2520"/>
        </w:tabs>
        <w:jc w:val="both"/>
        <w:rPr>
          <w:rFonts w:ascii="Book Antiqua" w:hAnsi="Book Antiqua" w:cs="Arial"/>
        </w:rPr>
      </w:pPr>
      <w:r w:rsidRPr="007D3AC2">
        <w:rPr>
          <w:rFonts w:ascii="Book Antiqua" w:hAnsi="Book Antiqua" w:cs="Arial"/>
        </w:rPr>
        <w:t>Signed</w:t>
      </w:r>
      <w:r w:rsidRPr="007D3AC2">
        <w:rPr>
          <w:rFonts w:ascii="Book Antiqua" w:hAnsi="Book Antiqua" w:cs="Arial"/>
        </w:rPr>
        <w:tab/>
      </w:r>
      <w:r w:rsidRPr="007D3AC2">
        <w:rPr>
          <w:rFonts w:ascii="Book Antiqua" w:hAnsi="Book Antiqua" w:cs="Arial"/>
        </w:rPr>
        <w:tab/>
      </w:r>
      <w:r w:rsidRPr="007D3AC2">
        <w:rPr>
          <w:rFonts w:ascii="Book Antiqua" w:hAnsi="Book Antiqua" w:cs="Arial"/>
        </w:rPr>
        <w:tab/>
      </w:r>
      <w:r w:rsidRPr="007D3AC2">
        <w:rPr>
          <w:rFonts w:ascii="Book Antiqua" w:hAnsi="Book Antiqua" w:cs="Arial"/>
        </w:rPr>
        <w:tab/>
      </w:r>
      <w:r w:rsidRPr="007D3AC2">
        <w:rPr>
          <w:rFonts w:ascii="Book Antiqua" w:hAnsi="Book Antiqua" w:cs="Arial"/>
        </w:rPr>
        <w:tab/>
      </w:r>
      <w:r w:rsidRPr="007D3AC2">
        <w:rPr>
          <w:rFonts w:ascii="Book Antiqua" w:hAnsi="Book Antiqua" w:cs="Arial"/>
        </w:rPr>
        <w:tab/>
      </w:r>
      <w:r w:rsidRPr="007D3AC2">
        <w:rPr>
          <w:rFonts w:ascii="Book Antiqua" w:hAnsi="Book Antiqua" w:cs="Arial"/>
        </w:rPr>
        <w:tab/>
      </w:r>
      <w:r w:rsidR="001F2716" w:rsidRPr="007D3AC2">
        <w:rPr>
          <w:rFonts w:ascii="Book Antiqua" w:hAnsi="Book Antiqua" w:cs="Arial"/>
        </w:rPr>
        <w:t>Date</w:t>
      </w:r>
    </w:p>
    <w:p w:rsidR="001F2716" w:rsidRPr="007D3AC2" w:rsidRDefault="001F2716" w:rsidP="000369F5">
      <w:pPr>
        <w:tabs>
          <w:tab w:val="left" w:pos="2520"/>
        </w:tabs>
        <w:jc w:val="both"/>
        <w:rPr>
          <w:rFonts w:ascii="Book Antiqua" w:hAnsi="Book Antiqua" w:cs="Arial"/>
        </w:rPr>
      </w:pPr>
    </w:p>
    <w:p w:rsidR="00C321B5" w:rsidRPr="007D3AC2" w:rsidRDefault="00FD0012" w:rsidP="000369F5">
      <w:pPr>
        <w:tabs>
          <w:tab w:val="left" w:pos="2520"/>
        </w:tabs>
        <w:jc w:val="both"/>
        <w:rPr>
          <w:rFonts w:ascii="Book Antiqua" w:hAnsi="Book Antiqua" w:cs="Arial"/>
        </w:rPr>
      </w:pPr>
      <w:smartTag w:uri="urn:schemas-microsoft-com:office:smarttags" w:element="PersonName">
        <w:r w:rsidRPr="007D3AC2">
          <w:rPr>
            <w:rFonts w:ascii="Book Antiqua" w:hAnsi="Book Antiqua" w:cs="Arial"/>
          </w:rPr>
          <w:t>Deputy Upper Tribunal</w:t>
        </w:r>
        <w:r w:rsidR="00AC5CF6" w:rsidRPr="007D3AC2">
          <w:rPr>
            <w:rFonts w:ascii="Book Antiqua" w:hAnsi="Book Antiqua" w:cs="Arial"/>
          </w:rPr>
          <w:t xml:space="preserve"> Judge</w:t>
        </w:r>
        <w:r w:rsidR="00B16F58" w:rsidRPr="007D3AC2">
          <w:rPr>
            <w:rFonts w:ascii="Book Antiqua" w:hAnsi="Book Antiqua" w:cs="Arial"/>
          </w:rPr>
          <w:t xml:space="preserve"> </w:t>
        </w:r>
        <w:smartTag w:uri="urn:schemas:contacts" w:element="Sn">
          <w:r w:rsidR="00D30B7C" w:rsidRPr="007D3AC2">
            <w:rPr>
              <w:rFonts w:ascii="Book Antiqua" w:hAnsi="Book Antiqua" w:cs="Arial"/>
            </w:rPr>
            <w:t>Monson</w:t>
          </w:r>
        </w:smartTag>
      </w:smartTag>
      <w:r w:rsidR="00C321B5" w:rsidRPr="007D3AC2">
        <w:rPr>
          <w:rFonts w:ascii="Book Antiqua" w:hAnsi="Book Antiqua" w:cs="Arial"/>
        </w:rPr>
        <w:t xml:space="preserve"> </w:t>
      </w:r>
    </w:p>
    <w:p w:rsidR="005B7789" w:rsidRPr="007D3AC2" w:rsidRDefault="005B7789" w:rsidP="000369F5">
      <w:pPr>
        <w:tabs>
          <w:tab w:val="left" w:pos="2520"/>
        </w:tabs>
        <w:jc w:val="both"/>
        <w:rPr>
          <w:rFonts w:ascii="Book Antiqua" w:hAnsi="Book Antiqua" w:cs="Arial"/>
        </w:rPr>
      </w:pPr>
    </w:p>
    <w:sectPr w:rsidR="005B7789" w:rsidRPr="007D3AC2"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DAA" w:rsidRDefault="00E80DAA">
      <w:r>
        <w:separator/>
      </w:r>
    </w:p>
  </w:endnote>
  <w:endnote w:type="continuationSeparator" w:id="0">
    <w:p w:rsidR="00E80DAA" w:rsidRDefault="00E8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6CF" w:rsidRPr="00600DCB" w:rsidRDefault="004E76CF">
    <w:pPr>
      <w:pStyle w:val="Footer"/>
      <w:jc w:val="center"/>
      <w:rPr>
        <w:sz w:val="20"/>
        <w:szCs w:val="20"/>
      </w:rPr>
    </w:pPr>
    <w:r w:rsidRPr="00600DCB">
      <w:rPr>
        <w:sz w:val="20"/>
        <w:szCs w:val="20"/>
      </w:rPr>
      <w:fldChar w:fldCharType="begin"/>
    </w:r>
    <w:r w:rsidRPr="00600DCB">
      <w:rPr>
        <w:sz w:val="20"/>
        <w:szCs w:val="20"/>
      </w:rPr>
      <w:instrText xml:space="preserve"> PAGE   \* MERGEFORMAT </w:instrText>
    </w:r>
    <w:r w:rsidRPr="00600DCB">
      <w:rPr>
        <w:sz w:val="20"/>
        <w:szCs w:val="20"/>
      </w:rPr>
      <w:fldChar w:fldCharType="separate"/>
    </w:r>
    <w:r w:rsidR="00CD751F">
      <w:rPr>
        <w:noProof/>
        <w:sz w:val="20"/>
        <w:szCs w:val="20"/>
      </w:rPr>
      <w:t>2</w:t>
    </w:r>
    <w:r w:rsidRPr="00600DCB">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6CF" w:rsidRPr="00600DCB" w:rsidRDefault="00EC0D91" w:rsidP="00EC0D91">
    <w:pPr>
      <w:pStyle w:val="Footer"/>
      <w:jc w:val="center"/>
      <w:rPr>
        <w:b/>
      </w:rPr>
    </w:pPr>
    <w:r w:rsidRPr="00600DCB">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DAA" w:rsidRDefault="00E80DAA">
      <w:r>
        <w:separator/>
      </w:r>
    </w:p>
  </w:footnote>
  <w:footnote w:type="continuationSeparator" w:id="0">
    <w:p w:rsidR="00E80DAA" w:rsidRDefault="00E80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DF0" w:rsidRPr="00600DCB" w:rsidRDefault="004E76CF" w:rsidP="004E76CF">
    <w:pPr>
      <w:pStyle w:val="Header"/>
      <w:jc w:val="right"/>
      <w:rPr>
        <w:sz w:val="20"/>
        <w:szCs w:val="20"/>
      </w:rPr>
    </w:pPr>
    <w:r w:rsidRPr="00600DCB">
      <w:rPr>
        <w:sz w:val="20"/>
        <w:szCs w:val="20"/>
      </w:rPr>
      <w:t>EA/09619/2017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621CF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B400F93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CB52C1F"/>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B9F3634"/>
    <w:multiLevelType w:val="multilevel"/>
    <w:tmpl w:val="F7F29C3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1"/>
  </w:num>
  <w:num w:numId="5">
    <w:abstractNumId w:val="20"/>
  </w:num>
  <w:num w:numId="6">
    <w:abstractNumId w:val="12"/>
  </w:num>
  <w:num w:numId="7">
    <w:abstractNumId w:val="19"/>
  </w:num>
  <w:num w:numId="8">
    <w:abstractNumId w:val="9"/>
  </w:num>
  <w:num w:numId="9">
    <w:abstractNumId w:val="7"/>
  </w:num>
  <w:num w:numId="10">
    <w:abstractNumId w:val="18"/>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0"/>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F3"/>
    <w:rsid w:val="00000621"/>
    <w:rsid w:val="000036C2"/>
    <w:rsid w:val="0000548E"/>
    <w:rsid w:val="00021BDF"/>
    <w:rsid w:val="00033D3D"/>
    <w:rsid w:val="000369F5"/>
    <w:rsid w:val="00071A7E"/>
    <w:rsid w:val="000746C0"/>
    <w:rsid w:val="00074D1D"/>
    <w:rsid w:val="00086FA0"/>
    <w:rsid w:val="00092580"/>
    <w:rsid w:val="000960A5"/>
    <w:rsid w:val="000A2EBA"/>
    <w:rsid w:val="000C2124"/>
    <w:rsid w:val="000C33D1"/>
    <w:rsid w:val="000C7483"/>
    <w:rsid w:val="000D4A2C"/>
    <w:rsid w:val="000D5D94"/>
    <w:rsid w:val="000F2A5E"/>
    <w:rsid w:val="00111FBD"/>
    <w:rsid w:val="00113A39"/>
    <w:rsid w:val="001165A7"/>
    <w:rsid w:val="001200B6"/>
    <w:rsid w:val="00136941"/>
    <w:rsid w:val="00151BB7"/>
    <w:rsid w:val="00155720"/>
    <w:rsid w:val="00167D3A"/>
    <w:rsid w:val="00183ABC"/>
    <w:rsid w:val="00186F91"/>
    <w:rsid w:val="001910AA"/>
    <w:rsid w:val="001A1E2C"/>
    <w:rsid w:val="001B11B5"/>
    <w:rsid w:val="001B3A51"/>
    <w:rsid w:val="001B6AFA"/>
    <w:rsid w:val="001C64B0"/>
    <w:rsid w:val="001F2716"/>
    <w:rsid w:val="0020133A"/>
    <w:rsid w:val="00207617"/>
    <w:rsid w:val="00265063"/>
    <w:rsid w:val="00283659"/>
    <w:rsid w:val="0029022D"/>
    <w:rsid w:val="002B27FE"/>
    <w:rsid w:val="002C4E73"/>
    <w:rsid w:val="002D3E27"/>
    <w:rsid w:val="002D68BF"/>
    <w:rsid w:val="002E252D"/>
    <w:rsid w:val="002F4D35"/>
    <w:rsid w:val="00336CBF"/>
    <w:rsid w:val="003538B3"/>
    <w:rsid w:val="003546C8"/>
    <w:rsid w:val="00376879"/>
    <w:rsid w:val="003A7CF2"/>
    <w:rsid w:val="003C5CE5"/>
    <w:rsid w:val="003D5CA0"/>
    <w:rsid w:val="003D6808"/>
    <w:rsid w:val="003E267B"/>
    <w:rsid w:val="003E6669"/>
    <w:rsid w:val="003E7CD1"/>
    <w:rsid w:val="003E7ECC"/>
    <w:rsid w:val="00402B9E"/>
    <w:rsid w:val="00410F2D"/>
    <w:rsid w:val="00413E63"/>
    <w:rsid w:val="00423932"/>
    <w:rsid w:val="004249CB"/>
    <w:rsid w:val="004346DC"/>
    <w:rsid w:val="0043581F"/>
    <w:rsid w:val="0044127D"/>
    <w:rsid w:val="004448DB"/>
    <w:rsid w:val="00446C9A"/>
    <w:rsid w:val="004505F7"/>
    <w:rsid w:val="00477193"/>
    <w:rsid w:val="004A1848"/>
    <w:rsid w:val="004B3F65"/>
    <w:rsid w:val="004E45F1"/>
    <w:rsid w:val="004E68D4"/>
    <w:rsid w:val="004E76CF"/>
    <w:rsid w:val="004F0511"/>
    <w:rsid w:val="005009C2"/>
    <w:rsid w:val="0050249A"/>
    <w:rsid w:val="005054C2"/>
    <w:rsid w:val="00507FEC"/>
    <w:rsid w:val="00510F0E"/>
    <w:rsid w:val="00543875"/>
    <w:rsid w:val="005479E1"/>
    <w:rsid w:val="005570FD"/>
    <w:rsid w:val="005575EA"/>
    <w:rsid w:val="00567D49"/>
    <w:rsid w:val="00572DDF"/>
    <w:rsid w:val="0057790C"/>
    <w:rsid w:val="00577E82"/>
    <w:rsid w:val="00580781"/>
    <w:rsid w:val="00593795"/>
    <w:rsid w:val="005A45BB"/>
    <w:rsid w:val="005A75FF"/>
    <w:rsid w:val="005B7789"/>
    <w:rsid w:val="005D0989"/>
    <w:rsid w:val="005D291B"/>
    <w:rsid w:val="00600DCB"/>
    <w:rsid w:val="006114CC"/>
    <w:rsid w:val="00623661"/>
    <w:rsid w:val="006249E2"/>
    <w:rsid w:val="0065791C"/>
    <w:rsid w:val="006678CF"/>
    <w:rsid w:val="00690B8A"/>
    <w:rsid w:val="006B5299"/>
    <w:rsid w:val="006B6D52"/>
    <w:rsid w:val="006C7F7E"/>
    <w:rsid w:val="006D1DFA"/>
    <w:rsid w:val="006D4341"/>
    <w:rsid w:val="006D506B"/>
    <w:rsid w:val="006E3C90"/>
    <w:rsid w:val="006E3EA4"/>
    <w:rsid w:val="00704B61"/>
    <w:rsid w:val="007155AF"/>
    <w:rsid w:val="00732067"/>
    <w:rsid w:val="0074064F"/>
    <w:rsid w:val="00742A8D"/>
    <w:rsid w:val="007455EF"/>
    <w:rsid w:val="007552A9"/>
    <w:rsid w:val="00757447"/>
    <w:rsid w:val="00761858"/>
    <w:rsid w:val="00767D59"/>
    <w:rsid w:val="00776E97"/>
    <w:rsid w:val="007808AA"/>
    <w:rsid w:val="00780FD7"/>
    <w:rsid w:val="00781C11"/>
    <w:rsid w:val="007912AD"/>
    <w:rsid w:val="007A1F28"/>
    <w:rsid w:val="007B0824"/>
    <w:rsid w:val="007B5F33"/>
    <w:rsid w:val="007C56B8"/>
    <w:rsid w:val="007D35F1"/>
    <w:rsid w:val="007D3AC2"/>
    <w:rsid w:val="007E264C"/>
    <w:rsid w:val="007E572B"/>
    <w:rsid w:val="008303B8"/>
    <w:rsid w:val="008304C2"/>
    <w:rsid w:val="00833DCE"/>
    <w:rsid w:val="00842418"/>
    <w:rsid w:val="00846E6D"/>
    <w:rsid w:val="00851CFE"/>
    <w:rsid w:val="00861328"/>
    <w:rsid w:val="00862EB5"/>
    <w:rsid w:val="00871D34"/>
    <w:rsid w:val="0087593C"/>
    <w:rsid w:val="00883F12"/>
    <w:rsid w:val="0089082B"/>
    <w:rsid w:val="00895DA3"/>
    <w:rsid w:val="008A7CAE"/>
    <w:rsid w:val="008B0FD0"/>
    <w:rsid w:val="008B270C"/>
    <w:rsid w:val="008C3D3D"/>
    <w:rsid w:val="008D4131"/>
    <w:rsid w:val="008E6A9A"/>
    <w:rsid w:val="008F1932"/>
    <w:rsid w:val="008F294D"/>
    <w:rsid w:val="00907176"/>
    <w:rsid w:val="00921062"/>
    <w:rsid w:val="0093083E"/>
    <w:rsid w:val="00966ECF"/>
    <w:rsid w:val="009727A3"/>
    <w:rsid w:val="0097789A"/>
    <w:rsid w:val="00987774"/>
    <w:rsid w:val="009A11E8"/>
    <w:rsid w:val="009B182A"/>
    <w:rsid w:val="009B5946"/>
    <w:rsid w:val="009C206E"/>
    <w:rsid w:val="009C7D48"/>
    <w:rsid w:val="009D1BC3"/>
    <w:rsid w:val="009E4E62"/>
    <w:rsid w:val="009F0BFB"/>
    <w:rsid w:val="009F40E4"/>
    <w:rsid w:val="009F5220"/>
    <w:rsid w:val="009F7C4D"/>
    <w:rsid w:val="00A15234"/>
    <w:rsid w:val="00A201AB"/>
    <w:rsid w:val="00A30354"/>
    <w:rsid w:val="00A31C8B"/>
    <w:rsid w:val="00A34225"/>
    <w:rsid w:val="00A42619"/>
    <w:rsid w:val="00A62B05"/>
    <w:rsid w:val="00A74F4A"/>
    <w:rsid w:val="00A768A9"/>
    <w:rsid w:val="00A771C0"/>
    <w:rsid w:val="00A845DC"/>
    <w:rsid w:val="00A97AEE"/>
    <w:rsid w:val="00AA00B9"/>
    <w:rsid w:val="00AA2F25"/>
    <w:rsid w:val="00AC0EAB"/>
    <w:rsid w:val="00AC5CF6"/>
    <w:rsid w:val="00B144FA"/>
    <w:rsid w:val="00B156B2"/>
    <w:rsid w:val="00B16F58"/>
    <w:rsid w:val="00B24144"/>
    <w:rsid w:val="00B30648"/>
    <w:rsid w:val="00B3524D"/>
    <w:rsid w:val="00B356D4"/>
    <w:rsid w:val="00B40F69"/>
    <w:rsid w:val="00B44776"/>
    <w:rsid w:val="00B45CCC"/>
    <w:rsid w:val="00B46616"/>
    <w:rsid w:val="00B46F4A"/>
    <w:rsid w:val="00B5136F"/>
    <w:rsid w:val="00B610E3"/>
    <w:rsid w:val="00B61205"/>
    <w:rsid w:val="00B617C4"/>
    <w:rsid w:val="00B626FA"/>
    <w:rsid w:val="00B7040A"/>
    <w:rsid w:val="00B91773"/>
    <w:rsid w:val="00B96FA0"/>
    <w:rsid w:val="00BA401F"/>
    <w:rsid w:val="00BA645E"/>
    <w:rsid w:val="00BA6559"/>
    <w:rsid w:val="00BB6EF0"/>
    <w:rsid w:val="00BB76DB"/>
    <w:rsid w:val="00BD4196"/>
    <w:rsid w:val="00BE4295"/>
    <w:rsid w:val="00BF22CA"/>
    <w:rsid w:val="00C121BC"/>
    <w:rsid w:val="00C13835"/>
    <w:rsid w:val="00C13BA0"/>
    <w:rsid w:val="00C16015"/>
    <w:rsid w:val="00C26032"/>
    <w:rsid w:val="00C265B0"/>
    <w:rsid w:val="00C321B5"/>
    <w:rsid w:val="00C345E1"/>
    <w:rsid w:val="00C4577B"/>
    <w:rsid w:val="00C65852"/>
    <w:rsid w:val="00C7741B"/>
    <w:rsid w:val="00C7746D"/>
    <w:rsid w:val="00C977BA"/>
    <w:rsid w:val="00CB6E35"/>
    <w:rsid w:val="00CD134D"/>
    <w:rsid w:val="00CD3672"/>
    <w:rsid w:val="00CD598C"/>
    <w:rsid w:val="00CD751F"/>
    <w:rsid w:val="00CD7F8F"/>
    <w:rsid w:val="00CE1A46"/>
    <w:rsid w:val="00CE67F3"/>
    <w:rsid w:val="00CF253F"/>
    <w:rsid w:val="00CF56B4"/>
    <w:rsid w:val="00CF5B0B"/>
    <w:rsid w:val="00D10AB4"/>
    <w:rsid w:val="00D13CDD"/>
    <w:rsid w:val="00D20F09"/>
    <w:rsid w:val="00D22636"/>
    <w:rsid w:val="00D30B7C"/>
    <w:rsid w:val="00D40FD9"/>
    <w:rsid w:val="00D524D4"/>
    <w:rsid w:val="00D53769"/>
    <w:rsid w:val="00D85C13"/>
    <w:rsid w:val="00D91848"/>
    <w:rsid w:val="00D91BE3"/>
    <w:rsid w:val="00D94AFC"/>
    <w:rsid w:val="00DA3318"/>
    <w:rsid w:val="00DA36F1"/>
    <w:rsid w:val="00DB4F98"/>
    <w:rsid w:val="00DB70AE"/>
    <w:rsid w:val="00DB7231"/>
    <w:rsid w:val="00DD15E5"/>
    <w:rsid w:val="00DD5071"/>
    <w:rsid w:val="00DD5C39"/>
    <w:rsid w:val="00DD789B"/>
    <w:rsid w:val="00DE26AF"/>
    <w:rsid w:val="00DE7DB7"/>
    <w:rsid w:val="00E00A0A"/>
    <w:rsid w:val="00E03927"/>
    <w:rsid w:val="00E07F57"/>
    <w:rsid w:val="00E15569"/>
    <w:rsid w:val="00E22B85"/>
    <w:rsid w:val="00E34610"/>
    <w:rsid w:val="00E40F47"/>
    <w:rsid w:val="00E46BAD"/>
    <w:rsid w:val="00E50BCE"/>
    <w:rsid w:val="00E522CC"/>
    <w:rsid w:val="00E61292"/>
    <w:rsid w:val="00E76309"/>
    <w:rsid w:val="00E77C4D"/>
    <w:rsid w:val="00E80DAA"/>
    <w:rsid w:val="00E81D01"/>
    <w:rsid w:val="00E90664"/>
    <w:rsid w:val="00E92BFE"/>
    <w:rsid w:val="00EB1412"/>
    <w:rsid w:val="00EC0D91"/>
    <w:rsid w:val="00EC2475"/>
    <w:rsid w:val="00EC3868"/>
    <w:rsid w:val="00ED5434"/>
    <w:rsid w:val="00EE1DF0"/>
    <w:rsid w:val="00EE45D8"/>
    <w:rsid w:val="00F004CD"/>
    <w:rsid w:val="00F07F81"/>
    <w:rsid w:val="00F10429"/>
    <w:rsid w:val="00F155B7"/>
    <w:rsid w:val="00F17E0B"/>
    <w:rsid w:val="00F22EDA"/>
    <w:rsid w:val="00F247CD"/>
    <w:rsid w:val="00F3224D"/>
    <w:rsid w:val="00F33E0E"/>
    <w:rsid w:val="00F45518"/>
    <w:rsid w:val="00F5664C"/>
    <w:rsid w:val="00F63AF7"/>
    <w:rsid w:val="00F90D00"/>
    <w:rsid w:val="00FB3DE4"/>
    <w:rsid w:val="00FB7E80"/>
    <w:rsid w:val="00FD0012"/>
    <w:rsid w:val="00FD2EB1"/>
    <w:rsid w:val="00FE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hapeDefaults>
    <o:shapedefaults v:ext="edit" spidmax="5121"/>
    <o:shapelayout v:ext="edit">
      <o:idmap v:ext="edit" data="1"/>
    </o:shapelayout>
  </w:shapeDefaults>
  <w:decimalSymbol w:val="."/>
  <w:listSeparator w:val=","/>
  <w14:docId w14:val="5B4525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46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FooterChar">
    <w:name w:val="Footer Char"/>
    <w:link w:val="Footer"/>
    <w:uiPriority w:val="99"/>
    <w:rsid w:val="004E76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4229</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2018-08-17T14:15:00Z</dcterms:created>
  <dcterms:modified xsi:type="dcterms:W3CDTF">2018-08-17T14:15:00Z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