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0E3DF2" w:rsidRDefault="004A341D" w:rsidP="00933B65">
      <w:pPr>
        <w:jc w:val="center"/>
        <w:rPr>
          <w:rFonts w:ascii="Book Antiqua" w:hAnsi="Book Antiqua" w:cs="Arial"/>
          <w:color w:val="000000"/>
          <w:sz w:val="16"/>
          <w:szCs w:val="16"/>
        </w:rPr>
      </w:pPr>
      <w:bookmarkStart w:id="0" w:name="_GoBack"/>
      <w:r w:rsidRPr="000E3DF2">
        <w:rPr>
          <w:noProof/>
          <w:sz w:val="16"/>
          <w:szCs w:val="16"/>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A10561" w:rsidRPr="000E3DF2" w:rsidRDefault="00A10561" w:rsidP="00A10561">
      <w:pPr>
        <w:rPr>
          <w:rFonts w:ascii="Book Antiqua" w:hAnsi="Book Antiqua" w:cs="Arial"/>
          <w:color w:val="000000"/>
          <w:sz w:val="16"/>
          <w:szCs w:val="16"/>
        </w:rPr>
      </w:pPr>
    </w:p>
    <w:bookmarkEnd w:id="0"/>
    <w:p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933B65" w:rsidRDefault="00933B65" w:rsidP="00933B65">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r w:rsidR="001B71DD">
        <w:rPr>
          <w:rFonts w:ascii="Book Antiqua" w:hAnsi="Book Antiqua" w:cs="Arial"/>
          <w:color w:val="000000"/>
        </w:rPr>
        <w:t>EA/09643/2016</w:t>
      </w:r>
    </w:p>
    <w:p w:rsidR="001B71DD" w:rsidRDefault="001B71DD" w:rsidP="001B71DD">
      <w:pPr>
        <w:tabs>
          <w:tab w:val="right" w:pos="9720"/>
        </w:tabs>
        <w:ind w:right="-82"/>
        <w:jc w:val="right"/>
        <w:rPr>
          <w:rFonts w:ascii="Book Antiqua" w:hAnsi="Book Antiqua" w:cs="Arial"/>
          <w:color w:val="000000"/>
        </w:rPr>
      </w:pPr>
      <w:r>
        <w:rPr>
          <w:rFonts w:ascii="Book Antiqua" w:hAnsi="Book Antiqua" w:cs="Arial"/>
          <w:color w:val="000000"/>
        </w:rPr>
        <w:t>EA/09647/2016</w:t>
      </w:r>
    </w:p>
    <w:p w:rsidR="005C0501" w:rsidRDefault="005C0501" w:rsidP="001B71DD">
      <w:pPr>
        <w:tabs>
          <w:tab w:val="right" w:pos="9720"/>
        </w:tabs>
        <w:ind w:right="-82"/>
        <w:jc w:val="right"/>
        <w:rPr>
          <w:rFonts w:ascii="Book Antiqua" w:hAnsi="Book Antiqua" w:cs="Arial"/>
          <w:color w:val="000000"/>
        </w:rPr>
      </w:pPr>
    </w:p>
    <w:p w:rsidR="00A10561" w:rsidRPr="00F97703" w:rsidRDefault="00A10561" w:rsidP="001B71DD">
      <w:pPr>
        <w:tabs>
          <w:tab w:val="right" w:pos="9720"/>
        </w:tabs>
        <w:ind w:right="-82"/>
        <w:jc w:val="right"/>
        <w:rPr>
          <w:rFonts w:ascii="Book Antiqua" w:hAnsi="Book Antiqua" w:cs="Arial"/>
          <w:color w:val="000000"/>
        </w:rPr>
      </w:pPr>
    </w:p>
    <w:p w:rsidR="00933B65" w:rsidRPr="00F97703"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405694" w:rsidRDefault="00405694" w:rsidP="00405694">
      <w:pPr>
        <w:jc w:val="center"/>
        <w:rPr>
          <w:rFonts w:ascii="Book Antiqua" w:hAnsi="Book Antiqua" w:cs="Arial"/>
          <w:b/>
          <w:u w:val="single"/>
        </w:rPr>
      </w:pPr>
    </w:p>
    <w:p w:rsidR="00A10561" w:rsidRPr="00F97703" w:rsidRDefault="00A10561" w:rsidP="00405694">
      <w:pPr>
        <w:jc w:val="center"/>
        <w:rPr>
          <w:rFonts w:ascii="Book Antiqua" w:hAnsi="Book Antiqua" w:cs="Arial"/>
          <w:b/>
          <w:u w:val="single"/>
        </w:rPr>
      </w:pPr>
    </w:p>
    <w:tbl>
      <w:tblPr>
        <w:tblW w:w="0" w:type="auto"/>
        <w:tblLook w:val="01E0" w:firstRow="1" w:lastRow="1" w:firstColumn="1" w:lastColumn="1" w:noHBand="0" w:noVBand="0"/>
      </w:tblPr>
      <w:tblGrid>
        <w:gridCol w:w="5100"/>
        <w:gridCol w:w="4538"/>
      </w:tblGrid>
      <w:tr w:rsidR="00405694" w:rsidRPr="00AB1DC6" w:rsidTr="004A341D">
        <w:tc>
          <w:tcPr>
            <w:tcW w:w="5211" w:type="dxa"/>
            <w:shd w:val="clear" w:color="auto" w:fill="auto"/>
          </w:tcPr>
          <w:p w:rsidR="00405694" w:rsidRPr="00AB1DC6" w:rsidRDefault="00405694" w:rsidP="00AB1DC6">
            <w:pPr>
              <w:jc w:val="both"/>
              <w:rPr>
                <w:rFonts w:ascii="Book Antiqua" w:hAnsi="Book Antiqua" w:cs="Arial"/>
                <w:b/>
              </w:rPr>
            </w:pPr>
            <w:r w:rsidRPr="00AB1DC6">
              <w:rPr>
                <w:rFonts w:ascii="Book Antiqua" w:hAnsi="Book Antiqua" w:cs="Arial"/>
                <w:b/>
              </w:rPr>
              <w:t>Heard at Field House</w:t>
            </w:r>
          </w:p>
        </w:tc>
        <w:tc>
          <w:tcPr>
            <w:tcW w:w="4617" w:type="dxa"/>
            <w:shd w:val="clear" w:color="auto" w:fill="auto"/>
          </w:tcPr>
          <w:p w:rsidR="00405694" w:rsidRPr="00AB1DC6" w:rsidRDefault="00405694" w:rsidP="00AB1DC6">
            <w:pPr>
              <w:jc w:val="both"/>
              <w:rPr>
                <w:rFonts w:ascii="Book Antiqua" w:hAnsi="Book Antiqua" w:cs="Arial"/>
                <w:b/>
                <w:color w:val="000000"/>
              </w:rPr>
            </w:pPr>
            <w:r w:rsidRPr="00AB1DC6">
              <w:rPr>
                <w:rFonts w:ascii="Book Antiqua" w:hAnsi="Book Antiqua" w:cs="Arial"/>
                <w:b/>
                <w:color w:val="000000"/>
              </w:rPr>
              <w:t>Decision</w:t>
            </w:r>
            <w:r w:rsidR="004A341D">
              <w:rPr>
                <w:rFonts w:ascii="Book Antiqua" w:hAnsi="Book Antiqua" w:cs="Arial"/>
                <w:b/>
                <w:color w:val="000000"/>
              </w:rPr>
              <w:t xml:space="preserve"> &amp; Reasons</w:t>
            </w:r>
            <w:r w:rsidRPr="00AB1DC6">
              <w:rPr>
                <w:rFonts w:ascii="Book Antiqua" w:hAnsi="Book Antiqua" w:cs="Arial"/>
                <w:b/>
                <w:color w:val="000000"/>
              </w:rPr>
              <w:t xml:space="preserve"> Promulgated</w:t>
            </w:r>
          </w:p>
        </w:tc>
      </w:tr>
      <w:tr w:rsidR="00405694" w:rsidRPr="00AB1DC6" w:rsidTr="004A341D">
        <w:tc>
          <w:tcPr>
            <w:tcW w:w="5211" w:type="dxa"/>
            <w:shd w:val="clear" w:color="auto" w:fill="auto"/>
          </w:tcPr>
          <w:p w:rsidR="00405694" w:rsidRPr="00AB1DC6" w:rsidRDefault="00405694" w:rsidP="00AB1DC6">
            <w:pPr>
              <w:jc w:val="both"/>
              <w:rPr>
                <w:rFonts w:ascii="Book Antiqua" w:hAnsi="Book Antiqua" w:cs="Arial"/>
                <w:b/>
              </w:rPr>
            </w:pPr>
            <w:r w:rsidRPr="00AB1DC6">
              <w:rPr>
                <w:rFonts w:ascii="Book Antiqua" w:hAnsi="Book Antiqua" w:cs="Arial"/>
                <w:b/>
              </w:rPr>
              <w:t xml:space="preserve">On </w:t>
            </w:r>
            <w:r w:rsidR="001B71DD">
              <w:rPr>
                <w:rFonts w:ascii="Book Antiqua" w:hAnsi="Book Antiqua" w:cs="Arial"/>
                <w:b/>
              </w:rPr>
              <w:t>08 August 2018</w:t>
            </w:r>
          </w:p>
        </w:tc>
        <w:tc>
          <w:tcPr>
            <w:tcW w:w="4617" w:type="dxa"/>
            <w:shd w:val="clear" w:color="auto" w:fill="auto"/>
          </w:tcPr>
          <w:p w:rsidR="00405694" w:rsidRPr="00AB1DC6" w:rsidRDefault="004A341D" w:rsidP="00AB1DC6">
            <w:pPr>
              <w:jc w:val="both"/>
              <w:rPr>
                <w:rFonts w:ascii="Book Antiqua" w:hAnsi="Book Antiqua" w:cs="Arial"/>
                <w:b/>
              </w:rPr>
            </w:pPr>
            <w:r>
              <w:rPr>
                <w:rFonts w:ascii="Book Antiqua" w:hAnsi="Book Antiqua" w:cs="Arial"/>
                <w:b/>
              </w:rPr>
              <w:t>On 13 September 2018</w:t>
            </w:r>
          </w:p>
        </w:tc>
      </w:tr>
      <w:tr w:rsidR="00405694" w:rsidRPr="00AB1DC6" w:rsidTr="004A341D">
        <w:tc>
          <w:tcPr>
            <w:tcW w:w="5211" w:type="dxa"/>
            <w:shd w:val="clear" w:color="auto" w:fill="auto"/>
          </w:tcPr>
          <w:p w:rsidR="00405694" w:rsidRPr="00AB1DC6" w:rsidRDefault="00405694" w:rsidP="00AB1DC6">
            <w:pPr>
              <w:jc w:val="both"/>
              <w:rPr>
                <w:rFonts w:ascii="Book Antiqua" w:hAnsi="Book Antiqua" w:cs="Arial"/>
                <w:b/>
              </w:rPr>
            </w:pPr>
          </w:p>
        </w:tc>
        <w:tc>
          <w:tcPr>
            <w:tcW w:w="4617" w:type="dxa"/>
            <w:shd w:val="clear" w:color="auto" w:fill="auto"/>
          </w:tcPr>
          <w:p w:rsidR="00405694" w:rsidRPr="00AB1DC6" w:rsidRDefault="00405694" w:rsidP="00AB1DC6">
            <w:pPr>
              <w:jc w:val="both"/>
              <w:rPr>
                <w:rFonts w:ascii="Book Antiqua" w:hAnsi="Book Antiqua" w:cs="Arial"/>
                <w:b/>
              </w:rPr>
            </w:pPr>
          </w:p>
        </w:tc>
      </w:tr>
    </w:tbl>
    <w:p w:rsidR="00A10561" w:rsidRDefault="00A10561" w:rsidP="00933B65">
      <w:pPr>
        <w:jc w:val="center"/>
        <w:rPr>
          <w:rFonts w:ascii="Book Antiqua" w:hAnsi="Book Antiqua" w:cs="Arial"/>
          <w:b/>
        </w:rPr>
      </w:pPr>
    </w:p>
    <w:p w:rsidR="00933B65" w:rsidRPr="00F97703" w:rsidRDefault="00933B65" w:rsidP="00933B65">
      <w:pPr>
        <w:jc w:val="center"/>
        <w:rPr>
          <w:rFonts w:ascii="Book Antiqua" w:hAnsi="Book Antiqua" w:cs="Arial"/>
          <w:b/>
        </w:rPr>
      </w:pPr>
      <w:r w:rsidRPr="00F97703">
        <w:rPr>
          <w:rFonts w:ascii="Book Antiqua" w:hAnsi="Book Antiqua" w:cs="Arial"/>
          <w:b/>
        </w:rPr>
        <w:t>Before</w:t>
      </w:r>
    </w:p>
    <w:p w:rsidR="00933B65" w:rsidRDefault="00933B65" w:rsidP="00933B65">
      <w:pPr>
        <w:jc w:val="center"/>
        <w:rPr>
          <w:rFonts w:ascii="Book Antiqua" w:hAnsi="Book Antiqua" w:cs="Arial"/>
          <w:b/>
        </w:rPr>
      </w:pPr>
    </w:p>
    <w:p w:rsidR="00933B65" w:rsidRPr="00F97703" w:rsidRDefault="00546523" w:rsidP="00933B65">
      <w:pPr>
        <w:jc w:val="center"/>
        <w:rPr>
          <w:rFonts w:ascii="Book Antiqua" w:hAnsi="Book Antiqua" w:cs="Arial"/>
          <w:b/>
          <w:color w:val="000000"/>
        </w:rPr>
      </w:pPr>
      <w:r>
        <w:rPr>
          <w:rFonts w:ascii="Book Antiqua" w:hAnsi="Book Antiqua" w:cs="Arial"/>
          <w:b/>
          <w:color w:val="000000"/>
        </w:rPr>
        <w:t xml:space="preserve">UPPER TRIBUNAL JUDGE </w:t>
      </w:r>
      <w:r w:rsidR="00A57676">
        <w:rPr>
          <w:rFonts w:ascii="Book Antiqua" w:hAnsi="Book Antiqua" w:cs="Arial"/>
          <w:b/>
          <w:color w:val="000000"/>
        </w:rPr>
        <w:t>CANAVAN</w:t>
      </w:r>
    </w:p>
    <w:p w:rsidR="00E468D9" w:rsidRDefault="00E468D9" w:rsidP="00933B65">
      <w:pPr>
        <w:jc w:val="center"/>
        <w:rPr>
          <w:rFonts w:ascii="Book Antiqua" w:hAnsi="Book Antiqua" w:cs="Arial"/>
          <w:b/>
        </w:rPr>
      </w:pPr>
    </w:p>
    <w:p w:rsidR="00294F41" w:rsidRPr="00F97703" w:rsidRDefault="00294F41"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Between</w:t>
      </w:r>
    </w:p>
    <w:p w:rsidR="00294F41" w:rsidRDefault="00294F41" w:rsidP="00933B65">
      <w:pPr>
        <w:jc w:val="center"/>
        <w:rPr>
          <w:rFonts w:ascii="Book Antiqua" w:hAnsi="Book Antiqua" w:cs="Arial"/>
          <w:b/>
        </w:rPr>
      </w:pPr>
    </w:p>
    <w:p w:rsidR="00933B65" w:rsidRDefault="001B71DD" w:rsidP="00933B65">
      <w:pPr>
        <w:jc w:val="center"/>
        <w:rPr>
          <w:rFonts w:ascii="Book Antiqua" w:hAnsi="Book Antiqua" w:cs="Arial"/>
          <w:b/>
        </w:rPr>
      </w:pPr>
      <w:r>
        <w:rPr>
          <w:rFonts w:ascii="Book Antiqua" w:hAnsi="Book Antiqua" w:cs="Arial"/>
          <w:b/>
        </w:rPr>
        <w:t>AMARACHI JULIET NGALOZE</w:t>
      </w:r>
    </w:p>
    <w:p w:rsidR="00933B65" w:rsidRDefault="001B71DD" w:rsidP="00933B65">
      <w:pPr>
        <w:jc w:val="right"/>
        <w:rPr>
          <w:rFonts w:ascii="Book Antiqua" w:hAnsi="Book Antiqua" w:cs="Arial"/>
          <w:u w:val="single"/>
        </w:rPr>
      </w:pPr>
      <w:r>
        <w:rPr>
          <w:rFonts w:ascii="Book Antiqua" w:hAnsi="Book Antiqua" w:cs="Arial"/>
          <w:u w:val="single"/>
        </w:rPr>
        <w:t xml:space="preserve">First </w:t>
      </w:r>
      <w:r w:rsidR="00933B65" w:rsidRPr="00F97703">
        <w:rPr>
          <w:rFonts w:ascii="Book Antiqua" w:hAnsi="Book Antiqua" w:cs="Arial"/>
          <w:u w:val="single"/>
        </w:rPr>
        <w:t>Appellant</w:t>
      </w:r>
    </w:p>
    <w:p w:rsidR="001B71DD" w:rsidRPr="001B71DD" w:rsidRDefault="001B71DD" w:rsidP="001B71DD">
      <w:pPr>
        <w:jc w:val="center"/>
        <w:rPr>
          <w:rFonts w:ascii="Book Antiqua" w:hAnsi="Book Antiqua" w:cs="Arial"/>
          <w:b/>
        </w:rPr>
      </w:pPr>
      <w:r w:rsidRPr="001B71DD">
        <w:rPr>
          <w:rFonts w:ascii="Book Antiqua" w:hAnsi="Book Antiqua" w:cs="Arial"/>
          <w:b/>
        </w:rPr>
        <w:t>VICTOR OLDEN OBI</w:t>
      </w:r>
    </w:p>
    <w:p w:rsidR="001B71DD" w:rsidRDefault="001B71DD" w:rsidP="00933B65">
      <w:pPr>
        <w:jc w:val="right"/>
        <w:rPr>
          <w:rFonts w:ascii="Book Antiqua" w:hAnsi="Book Antiqua" w:cs="Arial"/>
          <w:u w:val="single"/>
        </w:rPr>
      </w:pPr>
      <w:r>
        <w:rPr>
          <w:rFonts w:ascii="Book Antiqua" w:hAnsi="Book Antiqua" w:cs="Arial"/>
          <w:u w:val="single"/>
        </w:rPr>
        <w:t>Second Appellant</w:t>
      </w: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294F41" w:rsidRPr="00F97703" w:rsidRDefault="00294F41" w:rsidP="00933B65">
      <w:pPr>
        <w:jc w:val="center"/>
        <w:rPr>
          <w:rFonts w:ascii="Book Antiqua" w:hAnsi="Book Antiqua" w:cs="Arial"/>
          <w:b/>
        </w:rPr>
      </w:pPr>
    </w:p>
    <w:p w:rsidR="00933B65" w:rsidRPr="00F97703" w:rsidRDefault="00933B65" w:rsidP="00933B65">
      <w:pPr>
        <w:jc w:val="center"/>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Pr="00F97703">
        <w:rPr>
          <w:rFonts w:ascii="Book Antiqua" w:hAnsi="Book Antiqua" w:cs="Arial"/>
          <w:b/>
          <w:noProof/>
        </w:rPr>
        <w:t>THE SECRETARY OF STATE FOR THE HOME DEPARTMENT</w:t>
      </w:r>
      <w:r w:rsidRPr="00F97703">
        <w:rPr>
          <w:rFonts w:ascii="Book Antiqua" w:hAnsi="Book Antiqua" w:cs="Arial"/>
          <w:b/>
        </w:rPr>
        <w:fldChar w:fldCharType="end"/>
      </w:r>
      <w:bookmarkEnd w:id="1"/>
    </w:p>
    <w:p w:rsidR="00AC5725" w:rsidRDefault="00933B65" w:rsidP="000026B4">
      <w:pPr>
        <w:jc w:val="right"/>
        <w:rPr>
          <w:rFonts w:ascii="Book Antiqua" w:hAnsi="Book Antiqua" w:cs="Arial"/>
          <w:u w:val="single"/>
        </w:rPr>
      </w:pPr>
      <w:r w:rsidRPr="00F97703">
        <w:rPr>
          <w:rFonts w:ascii="Book Antiqua" w:hAnsi="Book Antiqua" w:cs="Arial"/>
          <w:u w:val="single"/>
        </w:rPr>
        <w:t>Respondent</w:t>
      </w:r>
    </w:p>
    <w:p w:rsidR="00A10561" w:rsidRDefault="00A10561" w:rsidP="00933B65">
      <w:pPr>
        <w:rPr>
          <w:rFonts w:ascii="Book Antiqua" w:hAnsi="Book Antiqua" w:cs="Arial"/>
          <w:b/>
          <w:u w:val="single"/>
        </w:rPr>
      </w:pPr>
    </w:p>
    <w:p w:rsidR="00A10561" w:rsidRDefault="00A10561" w:rsidP="00933B65">
      <w:pPr>
        <w:rPr>
          <w:rFonts w:ascii="Book Antiqua" w:hAnsi="Book Antiqua" w:cs="Arial"/>
          <w:b/>
          <w:u w:val="single"/>
        </w:rPr>
      </w:pPr>
    </w:p>
    <w:p w:rsidR="00405694" w:rsidRDefault="00405694" w:rsidP="00933B65">
      <w:pPr>
        <w:rPr>
          <w:rFonts w:ascii="Book Antiqua" w:hAnsi="Book Antiqua" w:cs="Arial"/>
          <w:b/>
          <w:u w:val="single"/>
        </w:rPr>
      </w:pPr>
      <w:r w:rsidRPr="00405694">
        <w:rPr>
          <w:rFonts w:ascii="Book Antiqua" w:hAnsi="Book Antiqua" w:cs="Arial"/>
          <w:b/>
          <w:u w:val="single"/>
        </w:rPr>
        <w:t>Representation:</w:t>
      </w:r>
    </w:p>
    <w:p w:rsidR="001B71DD" w:rsidRDefault="00405694" w:rsidP="00A10561">
      <w:pPr>
        <w:tabs>
          <w:tab w:val="left" w:pos="3119"/>
        </w:tabs>
        <w:rPr>
          <w:rFonts w:ascii="Book Antiqua" w:hAnsi="Book Antiqua" w:cs="Arial"/>
        </w:rPr>
      </w:pPr>
      <w:r>
        <w:rPr>
          <w:rFonts w:ascii="Book Antiqua" w:hAnsi="Book Antiqua" w:cs="Arial"/>
        </w:rPr>
        <w:t xml:space="preserve">For the </w:t>
      </w:r>
      <w:r w:rsidR="001B71DD">
        <w:rPr>
          <w:rFonts w:ascii="Book Antiqua" w:hAnsi="Book Antiqua" w:cs="Arial"/>
        </w:rPr>
        <w:t xml:space="preserve">first </w:t>
      </w:r>
      <w:r>
        <w:rPr>
          <w:rFonts w:ascii="Book Antiqua" w:hAnsi="Book Antiqua" w:cs="Arial"/>
        </w:rPr>
        <w:t>appellant:</w:t>
      </w:r>
      <w:r w:rsidR="00A10561">
        <w:rPr>
          <w:rFonts w:ascii="Book Antiqua" w:hAnsi="Book Antiqua" w:cs="Arial"/>
        </w:rPr>
        <w:tab/>
      </w:r>
      <w:r w:rsidR="001B71DD">
        <w:rPr>
          <w:rFonts w:ascii="Book Antiqua" w:hAnsi="Book Antiqua" w:cs="Arial"/>
        </w:rPr>
        <w:t xml:space="preserve">Ms E. </w:t>
      </w:r>
      <w:proofErr w:type="spellStart"/>
      <w:r w:rsidR="001B71DD">
        <w:rPr>
          <w:rFonts w:ascii="Book Antiqua" w:hAnsi="Book Antiqua" w:cs="Arial"/>
        </w:rPr>
        <w:t>Ikiriko</w:t>
      </w:r>
      <w:proofErr w:type="spellEnd"/>
      <w:r w:rsidR="001B71DD">
        <w:rPr>
          <w:rFonts w:ascii="Book Antiqua" w:hAnsi="Book Antiqua" w:cs="Arial"/>
        </w:rPr>
        <w:t xml:space="preserve"> of Melrose Solicitors</w:t>
      </w:r>
    </w:p>
    <w:p w:rsidR="00405694" w:rsidRDefault="001B71DD" w:rsidP="00A10561">
      <w:pPr>
        <w:tabs>
          <w:tab w:val="left" w:pos="3119"/>
        </w:tabs>
        <w:rPr>
          <w:rFonts w:ascii="Book Antiqua" w:hAnsi="Book Antiqua" w:cs="Arial"/>
        </w:rPr>
      </w:pPr>
      <w:r>
        <w:rPr>
          <w:rFonts w:ascii="Book Antiqua" w:hAnsi="Book Antiqua" w:cs="Arial"/>
        </w:rPr>
        <w:t>For the second appellant:</w:t>
      </w:r>
      <w:r w:rsidR="00A10561">
        <w:rPr>
          <w:rFonts w:ascii="Book Antiqua" w:hAnsi="Book Antiqua" w:cs="Arial"/>
        </w:rPr>
        <w:tab/>
      </w:r>
      <w:r>
        <w:rPr>
          <w:rFonts w:ascii="Book Antiqua" w:hAnsi="Book Antiqua" w:cs="Arial"/>
        </w:rPr>
        <w:t>No appearance</w:t>
      </w:r>
      <w:r w:rsidR="00405694">
        <w:rPr>
          <w:rFonts w:ascii="Book Antiqua" w:hAnsi="Book Antiqua" w:cs="Arial"/>
        </w:rPr>
        <w:tab/>
      </w:r>
      <w:r w:rsidR="00405694">
        <w:rPr>
          <w:rFonts w:ascii="Book Antiqua" w:hAnsi="Book Antiqua" w:cs="Arial"/>
        </w:rPr>
        <w:tab/>
      </w:r>
    </w:p>
    <w:p w:rsidR="00405694" w:rsidRDefault="00405694" w:rsidP="00A10561">
      <w:pPr>
        <w:tabs>
          <w:tab w:val="left" w:pos="3119"/>
        </w:tabs>
        <w:rPr>
          <w:rFonts w:ascii="Book Antiqua" w:hAnsi="Book Antiqua" w:cs="Arial"/>
        </w:rPr>
      </w:pPr>
      <w:r>
        <w:rPr>
          <w:rFonts w:ascii="Book Antiqua" w:hAnsi="Book Antiqua" w:cs="Arial"/>
        </w:rPr>
        <w:t>For the respondent:</w:t>
      </w:r>
      <w:r w:rsidR="00A10561">
        <w:rPr>
          <w:rFonts w:ascii="Book Antiqua" w:hAnsi="Book Antiqua" w:cs="Arial"/>
        </w:rPr>
        <w:tab/>
      </w:r>
      <w:r w:rsidR="001B71DD">
        <w:rPr>
          <w:rFonts w:ascii="Book Antiqua" w:hAnsi="Book Antiqua" w:cs="Arial"/>
        </w:rPr>
        <w:t xml:space="preserve">Mr </w:t>
      </w:r>
      <w:r w:rsidR="005C0501">
        <w:rPr>
          <w:rFonts w:ascii="Book Antiqua" w:hAnsi="Book Antiqua" w:cs="Arial"/>
        </w:rPr>
        <w:t xml:space="preserve">I. Jarvis, Senior Home Office Presenting Officer </w:t>
      </w:r>
    </w:p>
    <w:p w:rsidR="00405694" w:rsidRPr="00405694" w:rsidRDefault="00405694" w:rsidP="00933B65">
      <w:pPr>
        <w:rPr>
          <w:rFonts w:ascii="Book Antiqua" w:hAnsi="Book Antiqua" w:cs="Arial"/>
        </w:rPr>
      </w:pPr>
    </w:p>
    <w:p w:rsidR="00A10561" w:rsidRDefault="00A10561" w:rsidP="00481ACF">
      <w:pPr>
        <w:tabs>
          <w:tab w:val="left" w:pos="2520"/>
        </w:tabs>
        <w:jc w:val="center"/>
        <w:rPr>
          <w:rFonts w:ascii="Book Antiqua" w:hAnsi="Book Antiqua" w:cs="Arial"/>
          <w:b/>
          <w:u w:val="single"/>
        </w:rPr>
      </w:pPr>
    </w:p>
    <w:p w:rsidR="00056E7C" w:rsidRDefault="00405694" w:rsidP="00481ACF">
      <w:pPr>
        <w:tabs>
          <w:tab w:val="left" w:pos="2520"/>
        </w:tabs>
        <w:jc w:val="center"/>
        <w:rPr>
          <w:rFonts w:ascii="Book Antiqua" w:hAnsi="Book Antiqua" w:cs="Arial"/>
        </w:rPr>
      </w:pPr>
      <w:r>
        <w:rPr>
          <w:rFonts w:ascii="Book Antiqua" w:hAnsi="Book Antiqua" w:cs="Arial"/>
          <w:b/>
          <w:u w:val="single"/>
        </w:rPr>
        <w:t>DECISION</w:t>
      </w:r>
      <w:r w:rsidRPr="00F97703">
        <w:rPr>
          <w:rFonts w:ascii="Book Antiqua" w:hAnsi="Book Antiqua" w:cs="Arial"/>
          <w:b/>
          <w:u w:val="single"/>
        </w:rPr>
        <w:t xml:space="preserve"> AND REASONS</w:t>
      </w:r>
    </w:p>
    <w:p w:rsidR="00AC5725" w:rsidRDefault="00AC5725" w:rsidP="00933B65">
      <w:pPr>
        <w:tabs>
          <w:tab w:val="left" w:pos="567"/>
        </w:tabs>
        <w:jc w:val="both"/>
        <w:rPr>
          <w:rFonts w:ascii="Book Antiqua" w:hAnsi="Book Antiqua" w:cs="Arial"/>
        </w:rPr>
      </w:pPr>
    </w:p>
    <w:p w:rsidR="00AA0588" w:rsidRDefault="00481ACF" w:rsidP="00AA0588">
      <w:pPr>
        <w:tabs>
          <w:tab w:val="left" w:pos="567"/>
        </w:tabs>
        <w:ind w:left="564" w:hanging="564"/>
        <w:jc w:val="both"/>
        <w:rPr>
          <w:rFonts w:ascii="Book Antiqua" w:hAnsi="Book Antiqua" w:cs="Arial"/>
        </w:rPr>
      </w:pPr>
      <w:r>
        <w:rPr>
          <w:rFonts w:ascii="Book Antiqua" w:hAnsi="Book Antiqua" w:cs="Arial"/>
        </w:rPr>
        <w:t>1.</w:t>
      </w:r>
      <w:r>
        <w:rPr>
          <w:rFonts w:ascii="Book Antiqua" w:hAnsi="Book Antiqua" w:cs="Arial"/>
        </w:rPr>
        <w:tab/>
      </w:r>
      <w:r w:rsidR="00AA0588">
        <w:rPr>
          <w:rFonts w:ascii="Book Antiqua" w:hAnsi="Book Antiqua" w:cs="Arial"/>
        </w:rPr>
        <w:t xml:space="preserve">The appellants were issued with residence cards as the dependent extended family members of an EEA national on 20 April 2010. On 28 April 2016 the appellants and their EEA national sponsor applied for permanent residence cards. The respondent </w:t>
      </w:r>
      <w:r w:rsidR="00AA0588">
        <w:rPr>
          <w:rFonts w:ascii="Book Antiqua" w:hAnsi="Book Antiqua" w:cs="Arial"/>
        </w:rPr>
        <w:lastRenderedPageBreak/>
        <w:t xml:space="preserve">refused the application in a decision dated 14 July 2016. The only reason for refusing the application was that the appellants failed to produce sufficient evidence to show that the EEA sponsor was exercising rights of free movement for a continuous period of five years.  </w:t>
      </w:r>
    </w:p>
    <w:p w:rsidR="00AA0588" w:rsidRDefault="00AA0588" w:rsidP="00481ACF">
      <w:pPr>
        <w:tabs>
          <w:tab w:val="left" w:pos="567"/>
        </w:tabs>
        <w:ind w:left="564" w:hanging="564"/>
        <w:jc w:val="both"/>
        <w:rPr>
          <w:rFonts w:ascii="Book Antiqua" w:hAnsi="Book Antiqua" w:cs="Arial"/>
        </w:rPr>
      </w:pPr>
    </w:p>
    <w:p w:rsidR="00F517DA" w:rsidRDefault="00AA0588" w:rsidP="00F517DA">
      <w:pPr>
        <w:tabs>
          <w:tab w:val="left" w:pos="567"/>
        </w:tabs>
        <w:ind w:left="564" w:hanging="564"/>
        <w:jc w:val="both"/>
        <w:rPr>
          <w:rFonts w:ascii="Book Antiqua" w:hAnsi="Book Antiqua" w:cs="Arial"/>
        </w:rPr>
      </w:pPr>
      <w:r>
        <w:rPr>
          <w:rFonts w:ascii="Book Antiqua" w:hAnsi="Book Antiqua" w:cs="Arial"/>
        </w:rPr>
        <w:t>2.</w:t>
      </w:r>
      <w:r>
        <w:rPr>
          <w:rFonts w:ascii="Book Antiqua" w:hAnsi="Book Antiqua" w:cs="Arial"/>
        </w:rPr>
        <w:tab/>
      </w:r>
      <w:r w:rsidR="00481ACF">
        <w:rPr>
          <w:rFonts w:ascii="Book Antiqua" w:hAnsi="Book Antiqua" w:cs="Arial"/>
        </w:rPr>
        <w:t xml:space="preserve">The appellants appealed the respondent’s decision to refuse to issue </w:t>
      </w:r>
      <w:r>
        <w:rPr>
          <w:rFonts w:ascii="Book Antiqua" w:hAnsi="Book Antiqua" w:cs="Arial"/>
        </w:rPr>
        <w:t>a residence card</w:t>
      </w:r>
      <w:r w:rsidR="00481ACF">
        <w:rPr>
          <w:rFonts w:ascii="Book Antiqua" w:hAnsi="Book Antiqua" w:cs="Arial"/>
        </w:rPr>
        <w:t xml:space="preserve"> recognising </w:t>
      </w:r>
      <w:r>
        <w:rPr>
          <w:rFonts w:ascii="Book Antiqua" w:hAnsi="Book Antiqua" w:cs="Arial"/>
        </w:rPr>
        <w:t xml:space="preserve">permanent </w:t>
      </w:r>
      <w:r w:rsidR="00481ACF">
        <w:rPr>
          <w:rFonts w:ascii="Book Antiqua" w:hAnsi="Book Antiqua" w:cs="Arial"/>
        </w:rPr>
        <w:t>right</w:t>
      </w:r>
      <w:r w:rsidR="00AC5725">
        <w:rPr>
          <w:rFonts w:ascii="Book Antiqua" w:hAnsi="Book Antiqua" w:cs="Arial"/>
        </w:rPr>
        <w:t>s</w:t>
      </w:r>
      <w:r w:rsidR="00481ACF">
        <w:rPr>
          <w:rFonts w:ascii="Book Antiqua" w:hAnsi="Book Antiqua" w:cs="Arial"/>
        </w:rPr>
        <w:t xml:space="preserve"> of residence a</w:t>
      </w:r>
      <w:r>
        <w:rPr>
          <w:rFonts w:ascii="Book Antiqua" w:hAnsi="Book Antiqua" w:cs="Arial"/>
        </w:rPr>
        <w:t>s</w:t>
      </w:r>
      <w:r w:rsidR="00481ACF">
        <w:rPr>
          <w:rFonts w:ascii="Book Antiqua" w:hAnsi="Book Antiqua" w:cs="Arial"/>
        </w:rPr>
        <w:t xml:space="preserve"> </w:t>
      </w:r>
      <w:r>
        <w:rPr>
          <w:rFonts w:ascii="Book Antiqua" w:hAnsi="Book Antiqua" w:cs="Arial"/>
        </w:rPr>
        <w:t xml:space="preserve">dependent </w:t>
      </w:r>
      <w:r w:rsidR="00481ACF">
        <w:rPr>
          <w:rFonts w:ascii="Book Antiqua" w:hAnsi="Book Antiqua" w:cs="Arial"/>
        </w:rPr>
        <w:t xml:space="preserve">extended family members of an EEA national. </w:t>
      </w:r>
      <w:r w:rsidR="00F517DA">
        <w:rPr>
          <w:rFonts w:ascii="Book Antiqua" w:hAnsi="Book Antiqua" w:cs="Arial"/>
        </w:rPr>
        <w:t>First-tier Tribunal Judge Cockrill (“the judge”) dismissed the appeal in a decision promulgated on 19 December 2017. The appellants appeal the decision on grounds of procedural unfairness. The judge outlined what happened at the hearing as follows:</w:t>
      </w:r>
    </w:p>
    <w:p w:rsidR="00F517DA" w:rsidRPr="00F56919" w:rsidRDefault="00AC5725" w:rsidP="00F56919">
      <w:pPr>
        <w:spacing w:before="120" w:after="120"/>
        <w:ind w:left="1701" w:right="567" w:hanging="567"/>
        <w:jc w:val="both"/>
        <w:rPr>
          <w:rFonts w:ascii="Book Antiqua" w:hAnsi="Book Antiqua" w:cs="Arial"/>
          <w:sz w:val="22"/>
          <w:szCs w:val="20"/>
        </w:rPr>
      </w:pPr>
      <w:r w:rsidRPr="00F56919">
        <w:rPr>
          <w:rFonts w:ascii="Book Antiqua" w:hAnsi="Book Antiqua" w:cs="Arial"/>
          <w:sz w:val="28"/>
        </w:rPr>
        <w:t xml:space="preserve"> </w:t>
      </w:r>
      <w:r w:rsidR="00F517DA" w:rsidRPr="00F56919">
        <w:rPr>
          <w:rFonts w:ascii="Book Antiqua" w:hAnsi="Book Antiqua" w:cs="Arial"/>
          <w:sz w:val="22"/>
          <w:szCs w:val="20"/>
        </w:rPr>
        <w:t>“9.</w:t>
      </w:r>
      <w:r w:rsidR="00F517DA" w:rsidRPr="00F56919">
        <w:rPr>
          <w:rFonts w:ascii="Book Antiqua" w:hAnsi="Book Antiqua" w:cs="Arial"/>
          <w:sz w:val="22"/>
          <w:szCs w:val="20"/>
        </w:rPr>
        <w:tab/>
        <w:t xml:space="preserve">At the hearing of these appeals the two appellants were present as well as Mr Boniface Obi. The appellants were represented by Miss E </w:t>
      </w:r>
      <w:proofErr w:type="spellStart"/>
      <w:r w:rsidR="00F517DA" w:rsidRPr="00F56919">
        <w:rPr>
          <w:rFonts w:ascii="Book Antiqua" w:hAnsi="Book Antiqua" w:cs="Arial"/>
          <w:sz w:val="22"/>
          <w:szCs w:val="20"/>
        </w:rPr>
        <w:t>Ikiriko</w:t>
      </w:r>
      <w:proofErr w:type="spellEnd"/>
      <w:r w:rsidR="00F517DA" w:rsidRPr="00F56919">
        <w:rPr>
          <w:rFonts w:ascii="Book Antiqua" w:hAnsi="Book Antiqua" w:cs="Arial"/>
          <w:sz w:val="22"/>
          <w:szCs w:val="20"/>
        </w:rPr>
        <w:t xml:space="preserve">. The respondent was represented by Miss S </w:t>
      </w:r>
      <w:proofErr w:type="spellStart"/>
      <w:r w:rsidR="00F517DA" w:rsidRPr="00F56919">
        <w:rPr>
          <w:rFonts w:ascii="Book Antiqua" w:hAnsi="Book Antiqua" w:cs="Arial"/>
          <w:sz w:val="22"/>
          <w:szCs w:val="20"/>
        </w:rPr>
        <w:t>Javed</w:t>
      </w:r>
      <w:proofErr w:type="spellEnd"/>
      <w:r w:rsidR="00F517DA" w:rsidRPr="00F56919">
        <w:rPr>
          <w:rFonts w:ascii="Book Antiqua" w:hAnsi="Book Antiqua" w:cs="Arial"/>
          <w:sz w:val="22"/>
          <w:szCs w:val="20"/>
        </w:rPr>
        <w:t>.</w:t>
      </w:r>
    </w:p>
    <w:p w:rsidR="00F517DA" w:rsidRPr="00F56919" w:rsidRDefault="00F517DA" w:rsidP="00F56919">
      <w:pPr>
        <w:spacing w:before="120" w:after="120"/>
        <w:ind w:left="1701" w:right="567" w:hanging="567"/>
        <w:jc w:val="both"/>
        <w:rPr>
          <w:rFonts w:ascii="Book Antiqua" w:hAnsi="Book Antiqua" w:cs="Arial"/>
          <w:sz w:val="22"/>
          <w:szCs w:val="20"/>
        </w:rPr>
      </w:pPr>
      <w:r w:rsidRPr="00F56919">
        <w:rPr>
          <w:rFonts w:ascii="Book Antiqua" w:hAnsi="Book Antiqua" w:cs="Arial"/>
          <w:sz w:val="22"/>
          <w:szCs w:val="20"/>
        </w:rPr>
        <w:t>10.</w:t>
      </w:r>
      <w:r w:rsidRPr="00F56919">
        <w:rPr>
          <w:rFonts w:ascii="Book Antiqua" w:hAnsi="Book Antiqua" w:cs="Arial"/>
          <w:sz w:val="22"/>
          <w:szCs w:val="20"/>
        </w:rPr>
        <w:tab/>
        <w:t xml:space="preserve">It was drawn to my attention by Miss </w:t>
      </w:r>
      <w:proofErr w:type="spellStart"/>
      <w:r w:rsidRPr="00F56919">
        <w:rPr>
          <w:rFonts w:ascii="Book Antiqua" w:hAnsi="Book Antiqua" w:cs="Arial"/>
          <w:sz w:val="22"/>
          <w:szCs w:val="20"/>
        </w:rPr>
        <w:t>Javed</w:t>
      </w:r>
      <w:proofErr w:type="spellEnd"/>
      <w:r w:rsidRPr="00F56919">
        <w:rPr>
          <w:rFonts w:ascii="Book Antiqua" w:hAnsi="Book Antiqua" w:cs="Arial"/>
          <w:sz w:val="22"/>
          <w:szCs w:val="20"/>
        </w:rPr>
        <w:t xml:space="preserve"> that, after the refusal letter in respect of Mr Boniface Obi, the Secretary of </w:t>
      </w:r>
      <w:r w:rsidR="00F56919">
        <w:rPr>
          <w:rFonts w:ascii="Book Antiqua" w:hAnsi="Book Antiqua" w:cs="Arial"/>
          <w:sz w:val="22"/>
          <w:szCs w:val="20"/>
        </w:rPr>
        <w:t>S</w:t>
      </w:r>
      <w:r w:rsidRPr="00F56919">
        <w:rPr>
          <w:rFonts w:ascii="Book Antiqua" w:hAnsi="Book Antiqua" w:cs="Arial"/>
          <w:sz w:val="22"/>
          <w:szCs w:val="20"/>
        </w:rPr>
        <w:t xml:space="preserve">tate had indeed granted permanent residence to Mr Boniface Obi. Patently in those circumstances there was nothing to appeal against and so the appeal of Mr Boniface Obi was duly withdrawn. That development took Miss </w:t>
      </w:r>
      <w:proofErr w:type="spellStart"/>
      <w:r w:rsidRPr="00F56919">
        <w:rPr>
          <w:rFonts w:ascii="Book Antiqua" w:hAnsi="Book Antiqua" w:cs="Arial"/>
          <w:sz w:val="22"/>
          <w:szCs w:val="20"/>
        </w:rPr>
        <w:t>Ikiriko</w:t>
      </w:r>
      <w:proofErr w:type="spellEnd"/>
      <w:r w:rsidRPr="00F56919">
        <w:rPr>
          <w:rFonts w:ascii="Book Antiqua" w:hAnsi="Book Antiqua" w:cs="Arial"/>
          <w:sz w:val="22"/>
          <w:szCs w:val="20"/>
        </w:rPr>
        <w:t xml:space="preserve"> completely by surprise. It seemed also that the two appellants were also in ignorance of this fundamental development. I put the case back in my list to that Miss </w:t>
      </w:r>
      <w:proofErr w:type="spellStart"/>
      <w:r w:rsidRPr="00F56919">
        <w:rPr>
          <w:rFonts w:ascii="Book Antiqua" w:hAnsi="Book Antiqua" w:cs="Arial"/>
          <w:sz w:val="22"/>
          <w:szCs w:val="20"/>
        </w:rPr>
        <w:t>Ikiriko</w:t>
      </w:r>
      <w:proofErr w:type="spellEnd"/>
      <w:r w:rsidRPr="00F56919">
        <w:rPr>
          <w:rFonts w:ascii="Book Antiqua" w:hAnsi="Book Antiqua" w:cs="Arial"/>
          <w:sz w:val="22"/>
          <w:szCs w:val="20"/>
        </w:rPr>
        <w:t xml:space="preserve"> could take instructions. I make absolutely plain that no application was made for an adjournment of these remaining appeals. </w:t>
      </w:r>
    </w:p>
    <w:p w:rsidR="00F517DA" w:rsidRPr="00F56919" w:rsidRDefault="00F517DA" w:rsidP="00F56919">
      <w:pPr>
        <w:spacing w:before="120" w:after="120"/>
        <w:ind w:left="1701" w:right="567" w:hanging="567"/>
        <w:jc w:val="both"/>
        <w:rPr>
          <w:rFonts w:ascii="Book Antiqua" w:hAnsi="Book Antiqua" w:cs="Arial"/>
          <w:sz w:val="22"/>
          <w:szCs w:val="20"/>
        </w:rPr>
      </w:pPr>
      <w:r w:rsidRPr="00F56919">
        <w:rPr>
          <w:rFonts w:ascii="Book Antiqua" w:hAnsi="Book Antiqua" w:cs="Arial"/>
          <w:sz w:val="22"/>
          <w:szCs w:val="20"/>
        </w:rPr>
        <w:t>11.</w:t>
      </w:r>
      <w:r w:rsidRPr="00F56919">
        <w:rPr>
          <w:rFonts w:ascii="Book Antiqua" w:hAnsi="Book Antiqua" w:cs="Arial"/>
          <w:sz w:val="22"/>
          <w:szCs w:val="20"/>
        </w:rPr>
        <w:tab/>
        <w:t>In terms of docum</w:t>
      </w:r>
      <w:r w:rsidR="00C616B3" w:rsidRPr="00F56919">
        <w:rPr>
          <w:rFonts w:ascii="Book Antiqua" w:hAnsi="Book Antiqua" w:cs="Arial"/>
          <w:sz w:val="22"/>
          <w:szCs w:val="20"/>
        </w:rPr>
        <w:t xml:space="preserve">entation, I had a set of papers produced by the respondent in relation to Mr Boniface Obi but, more particularly, a bundle was supplied for the two appellants. Copies of their respective applications were reproduced as annex A, with copies of their Nigerian passports at B. there had been a bundle supplied by the appellants’ solicitors which ran to 37 pages. Understandably, the material that was supplied related to the question of the exercise of Treaty rights by Mr Boniface Obi. Both the first and second appellants had made witness statements though which were found at pages 7 and 8 for the first appellant and 5 and 6 for the second appellant. </w:t>
      </w:r>
    </w:p>
    <w:p w:rsidR="00C616B3" w:rsidRPr="00F56919" w:rsidRDefault="00C616B3" w:rsidP="00F56919">
      <w:pPr>
        <w:spacing w:before="120" w:after="120"/>
        <w:ind w:left="1701" w:right="567" w:hanging="567"/>
        <w:jc w:val="both"/>
        <w:rPr>
          <w:rFonts w:ascii="Book Antiqua" w:hAnsi="Book Antiqua" w:cs="Arial"/>
          <w:sz w:val="22"/>
          <w:szCs w:val="20"/>
        </w:rPr>
      </w:pPr>
      <w:r w:rsidRPr="00F56919">
        <w:rPr>
          <w:rFonts w:ascii="Book Antiqua" w:hAnsi="Book Antiqua" w:cs="Arial"/>
          <w:sz w:val="22"/>
          <w:szCs w:val="20"/>
        </w:rPr>
        <w:t>12.</w:t>
      </w:r>
      <w:r w:rsidRPr="00F56919">
        <w:rPr>
          <w:rFonts w:ascii="Book Antiqua" w:hAnsi="Book Antiqua" w:cs="Arial"/>
          <w:sz w:val="22"/>
          <w:szCs w:val="20"/>
        </w:rPr>
        <w:tab/>
        <w:t>Rather curiously Mr Boniface Obi did not remain in Court, when the cases of the remaining appellants proceeded. He was not a witness.</w:t>
      </w:r>
    </w:p>
    <w:p w:rsidR="000026B4" w:rsidRPr="00F56919" w:rsidRDefault="00C616B3" w:rsidP="00F56919">
      <w:pPr>
        <w:spacing w:before="120" w:after="120"/>
        <w:ind w:left="1701" w:right="567" w:hanging="567"/>
        <w:jc w:val="both"/>
        <w:rPr>
          <w:rFonts w:ascii="Book Antiqua" w:hAnsi="Book Antiqua" w:cs="Arial"/>
          <w:sz w:val="22"/>
          <w:szCs w:val="20"/>
        </w:rPr>
      </w:pPr>
      <w:r w:rsidRPr="00F56919">
        <w:rPr>
          <w:rFonts w:ascii="Book Antiqua" w:hAnsi="Book Antiqua" w:cs="Arial"/>
          <w:sz w:val="22"/>
          <w:szCs w:val="20"/>
        </w:rPr>
        <w:t>13.</w:t>
      </w:r>
      <w:r w:rsidRPr="00F56919">
        <w:rPr>
          <w:rFonts w:ascii="Book Antiqua" w:hAnsi="Book Antiqua" w:cs="Arial"/>
          <w:sz w:val="22"/>
          <w:szCs w:val="20"/>
        </w:rPr>
        <w:tab/>
        <w:t>I took pains to explain tribunal procedure to both appellants. A decision had been reached that they wished to proceed with their appeals….”</w:t>
      </w:r>
    </w:p>
    <w:p w:rsidR="004E0791" w:rsidRPr="000026B4" w:rsidRDefault="000026B4" w:rsidP="000026B4">
      <w:pPr>
        <w:tabs>
          <w:tab w:val="left" w:pos="567"/>
        </w:tabs>
        <w:ind w:left="564" w:hanging="564"/>
        <w:jc w:val="both"/>
        <w:rPr>
          <w:rFonts w:ascii="Book Antiqua" w:hAnsi="Book Antiqua" w:cs="Arial"/>
          <w:sz w:val="20"/>
          <w:szCs w:val="20"/>
        </w:rPr>
      </w:pPr>
      <w:r w:rsidRPr="000026B4">
        <w:rPr>
          <w:rFonts w:ascii="Book Antiqua" w:hAnsi="Book Antiqua" w:cs="Arial"/>
        </w:rPr>
        <w:t>3.</w:t>
      </w:r>
      <w:r>
        <w:rPr>
          <w:rFonts w:ascii="Book Antiqua" w:hAnsi="Book Antiqua" w:cs="Arial"/>
          <w:sz w:val="20"/>
          <w:szCs w:val="20"/>
        </w:rPr>
        <w:tab/>
      </w:r>
      <w:r w:rsidR="004E0791">
        <w:rPr>
          <w:rFonts w:ascii="Book Antiqua" w:hAnsi="Book Antiqua" w:cs="Arial"/>
        </w:rPr>
        <w:t xml:space="preserve">The judge went on to outline the evidence given by the appellants and concluded that they were not dependent upon the sponsor and did not qualify for residence </w:t>
      </w:r>
      <w:r>
        <w:rPr>
          <w:rFonts w:ascii="Book Antiqua" w:hAnsi="Book Antiqua" w:cs="Arial"/>
        </w:rPr>
        <w:t xml:space="preserve">cards. He dismissed the appeal. </w:t>
      </w:r>
      <w:r w:rsidR="00270547">
        <w:rPr>
          <w:rFonts w:ascii="Book Antiqua" w:hAnsi="Book Antiqua" w:cs="Arial"/>
        </w:rPr>
        <w:t>Th</w:t>
      </w:r>
      <w:r>
        <w:rPr>
          <w:rFonts w:ascii="Book Antiqua" w:hAnsi="Book Antiqua" w:cs="Arial"/>
        </w:rPr>
        <w:t xml:space="preserve">e appellants appealed on </w:t>
      </w:r>
      <w:r w:rsidR="00270547">
        <w:rPr>
          <w:rFonts w:ascii="Book Antiqua" w:hAnsi="Book Antiqua" w:cs="Arial"/>
        </w:rPr>
        <w:t>grounds of (</w:t>
      </w:r>
      <w:proofErr w:type="spellStart"/>
      <w:r w:rsidR="00270547">
        <w:rPr>
          <w:rFonts w:ascii="Book Antiqua" w:hAnsi="Book Antiqua" w:cs="Arial"/>
        </w:rPr>
        <w:t>i</w:t>
      </w:r>
      <w:proofErr w:type="spellEnd"/>
      <w:r w:rsidR="00270547">
        <w:rPr>
          <w:rFonts w:ascii="Book Antiqua" w:hAnsi="Book Antiqua" w:cs="Arial"/>
        </w:rPr>
        <w:t xml:space="preserve">) procedural unfairness and (ii) a misunderstanding of the evidence in relation to the extent of the first appellant’s dependency. </w:t>
      </w:r>
    </w:p>
    <w:p w:rsidR="00C616B3" w:rsidRDefault="00C616B3" w:rsidP="00F517DA">
      <w:pPr>
        <w:tabs>
          <w:tab w:val="left" w:pos="567"/>
        </w:tabs>
        <w:ind w:left="2160" w:hanging="2160"/>
        <w:jc w:val="both"/>
        <w:rPr>
          <w:rFonts w:ascii="Book Antiqua" w:hAnsi="Book Antiqua" w:cs="Arial"/>
        </w:rPr>
      </w:pPr>
    </w:p>
    <w:p w:rsidR="00270547" w:rsidRDefault="000026B4" w:rsidP="00873329">
      <w:pPr>
        <w:tabs>
          <w:tab w:val="left" w:pos="567"/>
        </w:tabs>
        <w:ind w:left="564" w:hanging="564"/>
        <w:jc w:val="both"/>
        <w:rPr>
          <w:rFonts w:ascii="Book Antiqua" w:hAnsi="Book Antiqua" w:cs="Arial"/>
        </w:rPr>
      </w:pPr>
      <w:r>
        <w:rPr>
          <w:rFonts w:ascii="Book Antiqua" w:hAnsi="Book Antiqua" w:cs="Arial"/>
        </w:rPr>
        <w:t>4</w:t>
      </w:r>
      <w:r w:rsidR="00873329">
        <w:rPr>
          <w:rFonts w:ascii="Book Antiqua" w:hAnsi="Book Antiqua" w:cs="Arial"/>
        </w:rPr>
        <w:t>.</w:t>
      </w:r>
      <w:r w:rsidR="00873329">
        <w:rPr>
          <w:rFonts w:ascii="Book Antiqua" w:hAnsi="Book Antiqua" w:cs="Arial"/>
        </w:rPr>
        <w:tab/>
      </w:r>
      <w:r w:rsidR="00270547">
        <w:rPr>
          <w:rFonts w:ascii="Book Antiqua" w:hAnsi="Book Antiqua" w:cs="Arial"/>
        </w:rPr>
        <w:t xml:space="preserve">The first appellant was represented by Miss </w:t>
      </w:r>
      <w:proofErr w:type="spellStart"/>
      <w:r w:rsidR="00270547">
        <w:rPr>
          <w:rFonts w:ascii="Book Antiqua" w:hAnsi="Book Antiqua" w:cs="Arial"/>
        </w:rPr>
        <w:t>I</w:t>
      </w:r>
      <w:r w:rsidR="00873329">
        <w:rPr>
          <w:rFonts w:ascii="Book Antiqua" w:hAnsi="Book Antiqua" w:cs="Arial"/>
        </w:rPr>
        <w:t>kiriki</w:t>
      </w:r>
      <w:proofErr w:type="spellEnd"/>
      <w:r w:rsidR="00873329">
        <w:rPr>
          <w:rFonts w:ascii="Book Antiqua" w:hAnsi="Book Antiqua" w:cs="Arial"/>
        </w:rPr>
        <w:t xml:space="preserve"> at the hearing before the Upper Tribunal. She confirmed that she was not instructed by the second appellant. There was no appearance by or on behalf of the second appellant. I was satisfied that there </w:t>
      </w:r>
      <w:r w:rsidR="00873329">
        <w:rPr>
          <w:rFonts w:ascii="Book Antiqua" w:hAnsi="Book Antiqua" w:cs="Arial"/>
        </w:rPr>
        <w:lastRenderedPageBreak/>
        <w:t xml:space="preserve">was evidence to show that he had been sent a notice of hearing to the last known address. There was no explanation for his non-attendance at the hearing. Given that the two appeals were likely to succeed or fail on the same issue, I was satisfied that I could proceed to determine the appeal in the second appellant’s absence. </w:t>
      </w:r>
    </w:p>
    <w:p w:rsidR="00270547" w:rsidRDefault="00270547" w:rsidP="00933B65">
      <w:pPr>
        <w:tabs>
          <w:tab w:val="left" w:pos="567"/>
        </w:tabs>
        <w:jc w:val="both"/>
        <w:rPr>
          <w:rFonts w:ascii="Book Antiqua" w:hAnsi="Book Antiqua" w:cs="Arial"/>
          <w:b/>
          <w:u w:val="single"/>
        </w:rPr>
      </w:pPr>
    </w:p>
    <w:p w:rsidR="00405694" w:rsidRPr="00405694" w:rsidRDefault="00405694" w:rsidP="00933B65">
      <w:pPr>
        <w:tabs>
          <w:tab w:val="left" w:pos="567"/>
        </w:tabs>
        <w:jc w:val="both"/>
        <w:rPr>
          <w:rFonts w:ascii="Book Antiqua" w:hAnsi="Book Antiqua" w:cs="Arial"/>
          <w:b/>
          <w:u w:val="single"/>
        </w:rPr>
      </w:pPr>
      <w:r w:rsidRPr="00405694">
        <w:rPr>
          <w:rFonts w:ascii="Book Antiqua" w:hAnsi="Book Antiqua" w:cs="Arial"/>
          <w:b/>
          <w:u w:val="single"/>
        </w:rPr>
        <w:t>Decision and reasons</w:t>
      </w:r>
    </w:p>
    <w:p w:rsidR="00405694" w:rsidRDefault="00405694" w:rsidP="00933B65">
      <w:pPr>
        <w:tabs>
          <w:tab w:val="left" w:pos="567"/>
        </w:tabs>
        <w:jc w:val="both"/>
        <w:rPr>
          <w:rFonts w:ascii="Book Antiqua" w:hAnsi="Book Antiqua" w:cs="Arial"/>
        </w:rPr>
      </w:pPr>
    </w:p>
    <w:p w:rsidR="00405694" w:rsidRDefault="000026B4" w:rsidP="00873329">
      <w:pPr>
        <w:tabs>
          <w:tab w:val="left" w:pos="567"/>
        </w:tabs>
        <w:ind w:left="564" w:hanging="564"/>
        <w:jc w:val="both"/>
        <w:rPr>
          <w:rFonts w:ascii="Book Antiqua" w:hAnsi="Book Antiqua" w:cs="Arial"/>
        </w:rPr>
      </w:pPr>
      <w:r>
        <w:rPr>
          <w:rFonts w:ascii="Book Antiqua" w:hAnsi="Book Antiqua" w:cs="Arial"/>
        </w:rPr>
        <w:t>5</w:t>
      </w:r>
      <w:r w:rsidR="00873329">
        <w:rPr>
          <w:rFonts w:ascii="Book Antiqua" w:hAnsi="Book Antiqua" w:cs="Arial"/>
        </w:rPr>
        <w:t>.</w:t>
      </w:r>
      <w:r w:rsidR="00873329">
        <w:rPr>
          <w:rFonts w:ascii="Book Antiqua" w:hAnsi="Book Antiqua" w:cs="Arial"/>
        </w:rPr>
        <w:tab/>
        <w:t xml:space="preserve">This is a borderline decision, but I have concluded that the circumstances of the First-tier Tribunal hearing did give rise to procedural unfairness. </w:t>
      </w:r>
    </w:p>
    <w:p w:rsidR="00873329" w:rsidRDefault="00873329" w:rsidP="00933B65">
      <w:pPr>
        <w:tabs>
          <w:tab w:val="left" w:pos="567"/>
        </w:tabs>
        <w:jc w:val="both"/>
        <w:rPr>
          <w:rFonts w:ascii="Book Antiqua" w:hAnsi="Book Antiqua" w:cs="Arial"/>
        </w:rPr>
      </w:pPr>
    </w:p>
    <w:p w:rsidR="00873329" w:rsidRDefault="000026B4" w:rsidP="00873329">
      <w:pPr>
        <w:tabs>
          <w:tab w:val="left" w:pos="567"/>
        </w:tabs>
        <w:ind w:left="564" w:hanging="564"/>
        <w:jc w:val="both"/>
        <w:rPr>
          <w:rFonts w:ascii="Book Antiqua" w:hAnsi="Book Antiqua" w:cs="Arial"/>
        </w:rPr>
      </w:pPr>
      <w:r>
        <w:rPr>
          <w:rFonts w:ascii="Book Antiqua" w:hAnsi="Book Antiqua" w:cs="Arial"/>
        </w:rPr>
        <w:t>6</w:t>
      </w:r>
      <w:r w:rsidR="00873329">
        <w:rPr>
          <w:rFonts w:ascii="Book Antiqua" w:hAnsi="Book Antiqua" w:cs="Arial"/>
        </w:rPr>
        <w:t>.</w:t>
      </w:r>
      <w:r w:rsidR="00873329">
        <w:rPr>
          <w:rFonts w:ascii="Book Antiqua" w:hAnsi="Book Antiqua" w:cs="Arial"/>
        </w:rPr>
        <w:tab/>
        <w:t xml:space="preserve">The appellants were represented at the hearing. It is reasonable to assume that Miss </w:t>
      </w:r>
      <w:proofErr w:type="spellStart"/>
      <w:r w:rsidR="00873329">
        <w:rPr>
          <w:rFonts w:ascii="Book Antiqua" w:hAnsi="Book Antiqua" w:cs="Arial"/>
        </w:rPr>
        <w:t>Ikiriki</w:t>
      </w:r>
      <w:proofErr w:type="spellEnd"/>
      <w:r w:rsidR="00873329">
        <w:rPr>
          <w:rFonts w:ascii="Book Antiqua" w:hAnsi="Book Antiqua" w:cs="Arial"/>
        </w:rPr>
        <w:t xml:space="preserve">, whilst surprised by the information raised for the first time by the Home Office Presenting Officer on the morning of the hearing, could and should have advised her clients of the possibility of applying for an adjournment. The judge gave her a fair opportunity to take instructions from her clients. No adjournment application was made. The first appellant has written a statement in support of the appeal to the Upper Tribunal in which she says that she did not want to delay the case any further. It seems that she may have been given advice about an adjournment but decided to proceed with the appeal </w:t>
      </w:r>
      <w:r>
        <w:rPr>
          <w:rFonts w:ascii="Book Antiqua" w:hAnsi="Book Antiqua" w:cs="Arial"/>
        </w:rPr>
        <w:t>even though</w:t>
      </w:r>
      <w:r w:rsidR="00873329">
        <w:rPr>
          <w:rFonts w:ascii="Book Antiqua" w:hAnsi="Book Antiqua" w:cs="Arial"/>
        </w:rPr>
        <w:t xml:space="preserve"> she may have been advised </w:t>
      </w:r>
      <w:r>
        <w:rPr>
          <w:rFonts w:ascii="Book Antiqua" w:hAnsi="Book Antiqua" w:cs="Arial"/>
        </w:rPr>
        <w:t>of the potential disadvantages.</w:t>
      </w:r>
    </w:p>
    <w:p w:rsidR="00873329" w:rsidRDefault="00873329" w:rsidP="00873329">
      <w:pPr>
        <w:tabs>
          <w:tab w:val="left" w:pos="567"/>
        </w:tabs>
        <w:ind w:left="564" w:hanging="564"/>
        <w:jc w:val="both"/>
        <w:rPr>
          <w:rFonts w:ascii="Book Antiqua" w:hAnsi="Book Antiqua" w:cs="Arial"/>
        </w:rPr>
      </w:pPr>
    </w:p>
    <w:p w:rsidR="00873329" w:rsidRDefault="000026B4" w:rsidP="00873329">
      <w:pPr>
        <w:tabs>
          <w:tab w:val="left" w:pos="567"/>
        </w:tabs>
        <w:ind w:left="564" w:hanging="564"/>
        <w:jc w:val="both"/>
        <w:rPr>
          <w:rFonts w:ascii="Book Antiqua" w:hAnsi="Book Antiqua" w:cs="Arial"/>
        </w:rPr>
      </w:pPr>
      <w:r>
        <w:rPr>
          <w:rFonts w:ascii="Book Antiqua" w:hAnsi="Book Antiqua" w:cs="Arial"/>
        </w:rPr>
        <w:t>7.</w:t>
      </w:r>
      <w:r>
        <w:rPr>
          <w:rFonts w:ascii="Book Antiqua" w:hAnsi="Book Antiqua" w:cs="Arial"/>
        </w:rPr>
        <w:tab/>
        <w:t>The appellant</w:t>
      </w:r>
      <w:r w:rsidR="00873329">
        <w:rPr>
          <w:rFonts w:ascii="Book Antiqua" w:hAnsi="Book Antiqua" w:cs="Arial"/>
        </w:rPr>
        <w:t xml:space="preserve"> suggest</w:t>
      </w:r>
      <w:r>
        <w:rPr>
          <w:rFonts w:ascii="Book Antiqua" w:hAnsi="Book Antiqua" w:cs="Arial"/>
        </w:rPr>
        <w:t>s</w:t>
      </w:r>
      <w:r w:rsidR="00873329">
        <w:rPr>
          <w:rFonts w:ascii="Book Antiqua" w:hAnsi="Book Antiqua" w:cs="Arial"/>
        </w:rPr>
        <w:t xml:space="preserve"> that the EEA sponsor was told to leave the court by the judge. </w:t>
      </w:r>
      <w:r w:rsidR="004A3646">
        <w:rPr>
          <w:rFonts w:ascii="Book Antiqua" w:hAnsi="Book Antiqua" w:cs="Arial"/>
        </w:rPr>
        <w:t xml:space="preserve">The judge’s comment at [12] indicates that no such thing was likely to have happened. He was surprised when Mr Obi did not return to court. Quite obviously he would be a key witness if the issue of dependency had been raised at a late stage. It might well be that, having been told that his appeal had been withdrawn, he was told that he was free to leave if he so wished. The appellant and the sponsor may have misconstrued what was said. In any event, it would have been for Miss </w:t>
      </w:r>
      <w:proofErr w:type="spellStart"/>
      <w:r w:rsidR="004A3646">
        <w:rPr>
          <w:rFonts w:ascii="Book Antiqua" w:hAnsi="Book Antiqua" w:cs="Arial"/>
        </w:rPr>
        <w:t>Ikiriki</w:t>
      </w:r>
      <w:proofErr w:type="spellEnd"/>
      <w:r w:rsidR="004A3646">
        <w:rPr>
          <w:rFonts w:ascii="Book Antiqua" w:hAnsi="Book Antiqua" w:cs="Arial"/>
        </w:rPr>
        <w:t xml:space="preserve"> to advise the appellants on the importance of Mr Obi’s evidence, and to ask </w:t>
      </w:r>
      <w:r w:rsidR="00C554CE">
        <w:rPr>
          <w:rFonts w:ascii="Book Antiqua" w:hAnsi="Book Antiqua" w:cs="Arial"/>
        </w:rPr>
        <w:t xml:space="preserve">him </w:t>
      </w:r>
      <w:r w:rsidR="004A3646">
        <w:rPr>
          <w:rFonts w:ascii="Book Antiqua" w:hAnsi="Book Antiqua" w:cs="Arial"/>
        </w:rPr>
        <w:t xml:space="preserve">to remain, if she thought that he was still needed as a witness in support of the remaining appeals. </w:t>
      </w:r>
    </w:p>
    <w:p w:rsidR="004A3646" w:rsidRDefault="004A3646" w:rsidP="00873329">
      <w:pPr>
        <w:tabs>
          <w:tab w:val="left" w:pos="567"/>
        </w:tabs>
        <w:ind w:left="564" w:hanging="564"/>
        <w:jc w:val="both"/>
        <w:rPr>
          <w:rFonts w:ascii="Book Antiqua" w:hAnsi="Book Antiqua" w:cs="Arial"/>
        </w:rPr>
      </w:pPr>
    </w:p>
    <w:p w:rsidR="004A3646" w:rsidRDefault="000026B4" w:rsidP="004A3646">
      <w:pPr>
        <w:tabs>
          <w:tab w:val="left" w:pos="567"/>
        </w:tabs>
        <w:ind w:left="564" w:hanging="564"/>
        <w:jc w:val="both"/>
        <w:rPr>
          <w:rFonts w:ascii="Book Antiqua" w:hAnsi="Book Antiqua" w:cs="Arial"/>
        </w:rPr>
      </w:pPr>
      <w:r>
        <w:rPr>
          <w:rFonts w:ascii="Book Antiqua" w:hAnsi="Book Antiqua" w:cs="Arial"/>
        </w:rPr>
        <w:t>8</w:t>
      </w:r>
      <w:r w:rsidR="004A3646">
        <w:rPr>
          <w:rFonts w:ascii="Book Antiqua" w:hAnsi="Book Antiqua" w:cs="Arial"/>
        </w:rPr>
        <w:t xml:space="preserve">. </w:t>
      </w:r>
      <w:r w:rsidR="004A3646">
        <w:rPr>
          <w:rFonts w:ascii="Book Antiqua" w:hAnsi="Book Antiqua" w:cs="Arial"/>
        </w:rPr>
        <w:tab/>
        <w:t xml:space="preserve">The judge noted that the appellants had been disadvantaged by the late information provided by the respondent. He observed that the bundle understandably did not contain evidence relating to the issue of dependency. Although it was a matter for the appellant to decide whether to apply for an adjournment, it is at least arguable that the judge should have considered whether the hearing could proceed fairly in the circumstances. </w:t>
      </w:r>
    </w:p>
    <w:p w:rsidR="004A3646" w:rsidRDefault="004A3646" w:rsidP="004A3646">
      <w:pPr>
        <w:tabs>
          <w:tab w:val="left" w:pos="567"/>
        </w:tabs>
        <w:ind w:left="564" w:hanging="564"/>
        <w:jc w:val="both"/>
        <w:rPr>
          <w:rFonts w:ascii="Book Antiqua" w:hAnsi="Book Antiqua" w:cs="Arial"/>
        </w:rPr>
      </w:pPr>
    </w:p>
    <w:p w:rsidR="00177216" w:rsidRDefault="000026B4" w:rsidP="00177216">
      <w:pPr>
        <w:tabs>
          <w:tab w:val="left" w:pos="567"/>
        </w:tabs>
        <w:ind w:left="564" w:hanging="564"/>
        <w:jc w:val="both"/>
        <w:rPr>
          <w:rFonts w:ascii="Book Antiqua" w:hAnsi="Book Antiqua" w:cs="Arial"/>
        </w:rPr>
      </w:pPr>
      <w:r>
        <w:rPr>
          <w:rFonts w:ascii="Book Antiqua" w:hAnsi="Book Antiqua" w:cs="Arial"/>
        </w:rPr>
        <w:t>9</w:t>
      </w:r>
      <w:r w:rsidR="004A3646">
        <w:rPr>
          <w:rFonts w:ascii="Book Antiqua" w:hAnsi="Book Antiqua" w:cs="Arial"/>
        </w:rPr>
        <w:t>.</w:t>
      </w:r>
      <w:r w:rsidR="004A3646">
        <w:rPr>
          <w:rFonts w:ascii="Book Antiqua" w:hAnsi="Book Antiqua" w:cs="Arial"/>
        </w:rPr>
        <w:tab/>
        <w:t xml:space="preserve">On the face of it the respondent’s decision to issue a permanent residence card to the EEA sponsor should have been determinative of these appeals. The only reason for refusing the applications had been the failure to produce sufficient evidence to show that the sponsor had </w:t>
      </w:r>
      <w:r w:rsidR="00177216">
        <w:rPr>
          <w:rFonts w:ascii="Book Antiqua" w:hAnsi="Book Antiqua" w:cs="Arial"/>
        </w:rPr>
        <w:t xml:space="preserve">be exercising rights of free movement in accordance with the Immigration (European Economic Area) Regulations 2006 for a continuous period of five years. If the respondent raised a new issue at the hearing, the </w:t>
      </w:r>
      <w:r>
        <w:rPr>
          <w:rFonts w:ascii="Book Antiqua" w:hAnsi="Book Antiqua" w:cs="Arial"/>
        </w:rPr>
        <w:t xml:space="preserve">First-tier Tribunal </w:t>
      </w:r>
      <w:r w:rsidR="00177216">
        <w:rPr>
          <w:rFonts w:ascii="Book Antiqua" w:hAnsi="Book Antiqua" w:cs="Arial"/>
        </w:rPr>
        <w:t xml:space="preserve">decision does not indicate at what point it was raised and does not </w:t>
      </w:r>
      <w:r w:rsidR="00C916B0">
        <w:rPr>
          <w:rFonts w:ascii="Book Antiqua" w:hAnsi="Book Antiqua" w:cs="Arial"/>
        </w:rPr>
        <w:t>outline</w:t>
      </w:r>
      <w:r w:rsidR="00177216">
        <w:rPr>
          <w:rFonts w:ascii="Book Antiqua" w:hAnsi="Book Antiqua" w:cs="Arial"/>
        </w:rPr>
        <w:t xml:space="preserve"> the reasons </w:t>
      </w:r>
      <w:r w:rsidR="00177216">
        <w:rPr>
          <w:rFonts w:ascii="Book Antiqua" w:hAnsi="Book Antiqua" w:cs="Arial"/>
        </w:rPr>
        <w:lastRenderedPageBreak/>
        <w:t xml:space="preserve">given by the respondent for now doubting the appellants’ dependency on the EEA sponsor when it had not been raised before. </w:t>
      </w:r>
    </w:p>
    <w:p w:rsidR="00177216" w:rsidRDefault="00177216" w:rsidP="00177216">
      <w:pPr>
        <w:tabs>
          <w:tab w:val="left" w:pos="567"/>
        </w:tabs>
        <w:ind w:left="564" w:hanging="564"/>
        <w:jc w:val="both"/>
        <w:rPr>
          <w:rFonts w:ascii="Book Antiqua" w:hAnsi="Book Antiqua" w:cs="Arial"/>
        </w:rPr>
      </w:pPr>
    </w:p>
    <w:p w:rsidR="00873329" w:rsidRDefault="00177216" w:rsidP="00815CB1">
      <w:pPr>
        <w:tabs>
          <w:tab w:val="left" w:pos="567"/>
        </w:tabs>
        <w:ind w:left="564" w:hanging="564"/>
        <w:jc w:val="both"/>
        <w:rPr>
          <w:rFonts w:ascii="Book Antiqua" w:hAnsi="Book Antiqua" w:cs="Arial"/>
        </w:rPr>
      </w:pPr>
      <w:r>
        <w:rPr>
          <w:rFonts w:ascii="Book Antiqua" w:hAnsi="Book Antiqua" w:cs="Arial"/>
        </w:rPr>
        <w:t>1</w:t>
      </w:r>
      <w:r w:rsidR="000026B4">
        <w:rPr>
          <w:rFonts w:ascii="Book Antiqua" w:hAnsi="Book Antiqua" w:cs="Arial"/>
        </w:rPr>
        <w:t>0</w:t>
      </w:r>
      <w:r>
        <w:rPr>
          <w:rFonts w:ascii="Book Antiqua" w:hAnsi="Book Antiqua" w:cs="Arial"/>
        </w:rPr>
        <w:t>.</w:t>
      </w:r>
      <w:r>
        <w:rPr>
          <w:rFonts w:ascii="Book Antiqua" w:hAnsi="Book Antiqua" w:cs="Arial"/>
        </w:rPr>
        <w:tab/>
      </w:r>
      <w:r w:rsidR="00815CB1">
        <w:rPr>
          <w:rFonts w:ascii="Book Antiqua" w:hAnsi="Book Antiqua" w:cs="Arial"/>
        </w:rPr>
        <w:t xml:space="preserve">The evidence relating to the exact course of events at the hearing is somewhat unclear. It would have been difficult for the respondent to resist an adjournment request given the late issues raised at the hearing, which disadvantaged the appellant in terms of being able to produce evidence in relation to a new issue. However, it seems that despite this disadvantage the appellant decided to proceed with the hearing. It seems unlikely that the judge would have asked Mr </w:t>
      </w:r>
      <w:r w:rsidR="005B7191">
        <w:rPr>
          <w:rFonts w:ascii="Book Antiqua" w:hAnsi="Book Antiqua" w:cs="Arial"/>
        </w:rPr>
        <w:t xml:space="preserve">Obi to leave the court. It </w:t>
      </w:r>
      <w:r w:rsidR="00815CB1">
        <w:rPr>
          <w:rFonts w:ascii="Book Antiqua" w:hAnsi="Book Antiqua" w:cs="Arial"/>
        </w:rPr>
        <w:t xml:space="preserve">was a matter for Miss </w:t>
      </w:r>
      <w:proofErr w:type="spellStart"/>
      <w:r w:rsidR="00815CB1">
        <w:rPr>
          <w:rFonts w:ascii="Book Antiqua" w:hAnsi="Book Antiqua" w:cs="Arial"/>
        </w:rPr>
        <w:t>Ikiriki</w:t>
      </w:r>
      <w:proofErr w:type="spellEnd"/>
      <w:r w:rsidR="00815CB1">
        <w:rPr>
          <w:rFonts w:ascii="Book Antiqua" w:hAnsi="Book Antiqua" w:cs="Arial"/>
        </w:rPr>
        <w:t xml:space="preserve"> to advise her clients as to the best course of action. Proceeding with the hearing in such circumstances without a key witness who was at the court </w:t>
      </w:r>
      <w:r w:rsidR="006D74D8">
        <w:rPr>
          <w:rFonts w:ascii="Book Antiqua" w:hAnsi="Book Antiqua" w:cs="Arial"/>
        </w:rPr>
        <w:t>was not</w:t>
      </w:r>
      <w:r w:rsidR="00815CB1">
        <w:rPr>
          <w:rFonts w:ascii="Book Antiqua" w:hAnsi="Book Antiqua" w:cs="Arial"/>
        </w:rPr>
        <w:t xml:space="preserve"> in the best interests of her clients. </w:t>
      </w:r>
      <w:r w:rsidR="005B7191">
        <w:rPr>
          <w:rFonts w:ascii="Book Antiqua" w:hAnsi="Book Antiqua" w:cs="Arial"/>
        </w:rPr>
        <w:t>Although the judge was entitled to consider the fact that no adjournment application was made,</w:t>
      </w:r>
      <w:r w:rsidR="006D74D8">
        <w:rPr>
          <w:rFonts w:ascii="Book Antiqua" w:hAnsi="Book Antiqua" w:cs="Arial"/>
        </w:rPr>
        <w:t xml:space="preserve"> it was incumbent on him to consider whether</w:t>
      </w:r>
      <w:r w:rsidR="005B7191">
        <w:rPr>
          <w:rFonts w:ascii="Book Antiqua" w:hAnsi="Book Antiqua" w:cs="Arial"/>
        </w:rPr>
        <w:t xml:space="preserve"> </w:t>
      </w:r>
      <w:r w:rsidR="006D74D8">
        <w:rPr>
          <w:rFonts w:ascii="Book Antiqua" w:hAnsi="Book Antiqua" w:cs="Arial"/>
        </w:rPr>
        <w:t xml:space="preserve">it </w:t>
      </w:r>
      <w:r w:rsidR="005B7191">
        <w:rPr>
          <w:rFonts w:ascii="Book Antiqua" w:hAnsi="Book Antiqua" w:cs="Arial"/>
        </w:rPr>
        <w:t>might</w:t>
      </w:r>
      <w:r w:rsidR="006D74D8">
        <w:rPr>
          <w:rFonts w:ascii="Book Antiqua" w:hAnsi="Book Antiqua" w:cs="Arial"/>
        </w:rPr>
        <w:t xml:space="preserve"> nevertheless </w:t>
      </w:r>
      <w:r w:rsidR="005B7191">
        <w:rPr>
          <w:rFonts w:ascii="Book Antiqua" w:hAnsi="Book Antiqua" w:cs="Arial"/>
        </w:rPr>
        <w:t xml:space="preserve">have been </w:t>
      </w:r>
      <w:r w:rsidR="006D74D8">
        <w:rPr>
          <w:rFonts w:ascii="Book Antiqua" w:hAnsi="Book Antiqua" w:cs="Arial"/>
        </w:rPr>
        <w:t>in the interests of justice to adjourn given that the respondent had raised a completely new issue for the first time on the morning of</w:t>
      </w:r>
      <w:r w:rsidR="005B7191">
        <w:rPr>
          <w:rFonts w:ascii="Book Antiqua" w:hAnsi="Book Antiqua" w:cs="Arial"/>
        </w:rPr>
        <w:t xml:space="preserve"> the hearing. It</w:t>
      </w:r>
      <w:r w:rsidR="006D74D8">
        <w:rPr>
          <w:rFonts w:ascii="Book Antiqua" w:hAnsi="Book Antiqua" w:cs="Arial"/>
        </w:rPr>
        <w:t xml:space="preserve"> was perhaps necessary to o</w:t>
      </w:r>
      <w:r w:rsidR="005B7191">
        <w:rPr>
          <w:rFonts w:ascii="Book Antiqua" w:hAnsi="Book Antiqua" w:cs="Arial"/>
        </w:rPr>
        <w:t>utline</w:t>
      </w:r>
      <w:r w:rsidR="006D74D8">
        <w:rPr>
          <w:rFonts w:ascii="Book Antiqua" w:hAnsi="Book Antiqua" w:cs="Arial"/>
        </w:rPr>
        <w:t xml:space="preserve"> w</w:t>
      </w:r>
      <w:r w:rsidR="005B7191">
        <w:rPr>
          <w:rFonts w:ascii="Book Antiqua" w:hAnsi="Book Antiqua" w:cs="Arial"/>
        </w:rPr>
        <w:t>hat</w:t>
      </w:r>
      <w:r w:rsidR="006D74D8">
        <w:rPr>
          <w:rFonts w:ascii="Book Antiqua" w:hAnsi="Book Antiqua" w:cs="Arial"/>
        </w:rPr>
        <w:t xml:space="preserve"> reasons the respondent had given for raising this issue at such a late stage and what the reasons were for doubting continued dependency when the issue had not been raised in the orig</w:t>
      </w:r>
      <w:r w:rsidR="005B7191">
        <w:rPr>
          <w:rFonts w:ascii="Book Antiqua" w:hAnsi="Book Antiqua" w:cs="Arial"/>
        </w:rPr>
        <w:t>inal reasons for refusal letter or committed to writing in a supple</w:t>
      </w:r>
      <w:r w:rsidR="000026B4">
        <w:rPr>
          <w:rFonts w:ascii="Book Antiqua" w:hAnsi="Book Antiqua" w:cs="Arial"/>
        </w:rPr>
        <w:t>mentary decision letter.</w:t>
      </w:r>
    </w:p>
    <w:p w:rsidR="006D74D8" w:rsidRDefault="006D74D8" w:rsidP="00815CB1">
      <w:pPr>
        <w:tabs>
          <w:tab w:val="left" w:pos="567"/>
        </w:tabs>
        <w:ind w:left="564" w:hanging="564"/>
        <w:jc w:val="both"/>
        <w:rPr>
          <w:rFonts w:ascii="Book Antiqua" w:hAnsi="Book Antiqua" w:cs="Arial"/>
        </w:rPr>
      </w:pPr>
    </w:p>
    <w:p w:rsidR="006D74D8" w:rsidRDefault="000026B4" w:rsidP="006D74D8">
      <w:pPr>
        <w:tabs>
          <w:tab w:val="left" w:pos="567"/>
        </w:tabs>
        <w:ind w:left="564" w:hanging="564"/>
        <w:jc w:val="both"/>
        <w:rPr>
          <w:rFonts w:ascii="Book Antiqua" w:hAnsi="Book Antiqua" w:cs="Arial"/>
        </w:rPr>
      </w:pPr>
      <w:r>
        <w:rPr>
          <w:rFonts w:ascii="Book Antiqua" w:hAnsi="Book Antiqua" w:cs="Arial"/>
        </w:rPr>
        <w:t>11</w:t>
      </w:r>
      <w:r w:rsidR="006D74D8">
        <w:rPr>
          <w:rFonts w:ascii="Book Antiqua" w:hAnsi="Book Antiqua" w:cs="Arial"/>
        </w:rPr>
        <w:t>.</w:t>
      </w:r>
      <w:r w:rsidR="006D74D8">
        <w:rPr>
          <w:rFonts w:ascii="Book Antiqua" w:hAnsi="Book Antiqua" w:cs="Arial"/>
        </w:rPr>
        <w:tab/>
        <w:t>I conclude that the cumulative effect of these matters is such to disclose an error of law. The appellants were deprive</w:t>
      </w:r>
      <w:r w:rsidR="00AC5725">
        <w:rPr>
          <w:rFonts w:ascii="Book Antiqua" w:hAnsi="Book Antiqua" w:cs="Arial"/>
        </w:rPr>
        <w:t>d</w:t>
      </w:r>
      <w:r w:rsidR="006D74D8">
        <w:rPr>
          <w:rFonts w:ascii="Book Antiqua" w:hAnsi="Book Antiqua" w:cs="Arial"/>
        </w:rPr>
        <w:t xml:space="preserve"> of </w:t>
      </w:r>
      <w:r>
        <w:rPr>
          <w:rFonts w:ascii="Book Antiqua" w:hAnsi="Book Antiqua" w:cs="Arial"/>
        </w:rPr>
        <w:t>the opportunity to adduce evidence relating to a completely new issue raised for the first time on the morning of the hearing</w:t>
      </w:r>
      <w:r w:rsidR="006D74D8">
        <w:rPr>
          <w:rFonts w:ascii="Book Antiqua" w:hAnsi="Book Antiqua" w:cs="Arial"/>
        </w:rPr>
        <w:t>. In such circumstances it is appropriate to remit the case for a fresh hearing before the First-tier Tribunal (see paragraph 7.2(a) Practice Statement – 25 September 2012).</w:t>
      </w:r>
    </w:p>
    <w:p w:rsidR="00AC5725" w:rsidRDefault="00AC5725" w:rsidP="00933B65">
      <w:pPr>
        <w:tabs>
          <w:tab w:val="left" w:pos="567"/>
        </w:tabs>
        <w:jc w:val="both"/>
        <w:rPr>
          <w:rFonts w:ascii="Book Antiqua" w:hAnsi="Book Antiqua" w:cs="Arial"/>
          <w:u w:val="single"/>
        </w:rPr>
      </w:pPr>
    </w:p>
    <w:p w:rsidR="000026B4" w:rsidRDefault="000026B4" w:rsidP="00933B65">
      <w:pPr>
        <w:tabs>
          <w:tab w:val="left" w:pos="567"/>
        </w:tabs>
        <w:jc w:val="both"/>
        <w:rPr>
          <w:rFonts w:ascii="Book Antiqua" w:hAnsi="Book Antiqua" w:cs="Arial"/>
          <w:u w:val="single"/>
        </w:rPr>
      </w:pPr>
    </w:p>
    <w:p w:rsidR="00405694" w:rsidRPr="005C0501" w:rsidRDefault="005C0501" w:rsidP="00933B65">
      <w:pPr>
        <w:tabs>
          <w:tab w:val="left" w:pos="567"/>
        </w:tabs>
        <w:jc w:val="both"/>
        <w:rPr>
          <w:rFonts w:ascii="Book Antiqua" w:hAnsi="Book Antiqua" w:cs="Arial"/>
          <w:u w:val="single"/>
        </w:rPr>
      </w:pPr>
      <w:r w:rsidRPr="005C0501">
        <w:rPr>
          <w:rFonts w:ascii="Book Antiqua" w:hAnsi="Book Antiqua" w:cs="Arial"/>
          <w:u w:val="single"/>
        </w:rPr>
        <w:t>DECISION</w:t>
      </w:r>
    </w:p>
    <w:p w:rsidR="005C0501" w:rsidRDefault="005C0501" w:rsidP="00933B65">
      <w:pPr>
        <w:tabs>
          <w:tab w:val="left" w:pos="567"/>
        </w:tabs>
        <w:jc w:val="both"/>
        <w:rPr>
          <w:rFonts w:ascii="Book Antiqua" w:hAnsi="Book Antiqua" w:cs="Arial"/>
        </w:rPr>
      </w:pPr>
    </w:p>
    <w:p w:rsidR="005C0501" w:rsidRDefault="005B7191" w:rsidP="00933B65">
      <w:pPr>
        <w:tabs>
          <w:tab w:val="left" w:pos="567"/>
        </w:tabs>
        <w:jc w:val="both"/>
        <w:rPr>
          <w:rFonts w:ascii="Book Antiqua" w:hAnsi="Book Antiqua" w:cs="Arial"/>
        </w:rPr>
      </w:pPr>
      <w:r>
        <w:rPr>
          <w:rFonts w:ascii="Book Antiqua" w:hAnsi="Book Antiqua" w:cs="Arial"/>
          <w:i/>
        </w:rPr>
        <w:t xml:space="preserve">First appellant </w:t>
      </w:r>
    </w:p>
    <w:p w:rsidR="005C0501" w:rsidRDefault="005C0501" w:rsidP="00933B65">
      <w:pPr>
        <w:tabs>
          <w:tab w:val="left" w:pos="567"/>
        </w:tabs>
        <w:jc w:val="both"/>
        <w:rPr>
          <w:rFonts w:ascii="Book Antiqua" w:hAnsi="Book Antiqua" w:cs="Arial"/>
        </w:rPr>
      </w:pPr>
    </w:p>
    <w:p w:rsidR="005B7191" w:rsidRDefault="005B7191" w:rsidP="00933B65">
      <w:pPr>
        <w:tabs>
          <w:tab w:val="left" w:pos="567"/>
        </w:tabs>
        <w:jc w:val="both"/>
        <w:rPr>
          <w:rFonts w:ascii="Book Antiqua" w:hAnsi="Book Antiqua" w:cs="Arial"/>
        </w:rPr>
      </w:pPr>
      <w:r>
        <w:rPr>
          <w:rFonts w:ascii="Book Antiqua" w:hAnsi="Book Antiqua" w:cs="Arial"/>
        </w:rPr>
        <w:t>The First-tier Tribunal decision involved the making of an error on a point of law</w:t>
      </w:r>
    </w:p>
    <w:p w:rsidR="005B7191" w:rsidRDefault="005B7191" w:rsidP="00933B65">
      <w:pPr>
        <w:tabs>
          <w:tab w:val="left" w:pos="567"/>
        </w:tabs>
        <w:jc w:val="both"/>
        <w:rPr>
          <w:rFonts w:ascii="Book Antiqua" w:hAnsi="Book Antiqua" w:cs="Arial"/>
        </w:rPr>
      </w:pPr>
    </w:p>
    <w:p w:rsidR="005B7191" w:rsidRDefault="005B7191" w:rsidP="00933B65">
      <w:pPr>
        <w:tabs>
          <w:tab w:val="left" w:pos="567"/>
        </w:tabs>
        <w:jc w:val="both"/>
        <w:rPr>
          <w:rFonts w:ascii="Book Antiqua" w:hAnsi="Book Antiqua" w:cs="Arial"/>
        </w:rPr>
      </w:pPr>
      <w:r>
        <w:rPr>
          <w:rFonts w:ascii="Book Antiqua" w:hAnsi="Book Antiqua" w:cs="Arial"/>
        </w:rPr>
        <w:t>The decision is set aside and remitted to the First-tier Tribunal for a fresh hearing</w:t>
      </w:r>
    </w:p>
    <w:p w:rsidR="005B7191" w:rsidRDefault="005B7191" w:rsidP="00933B65">
      <w:pPr>
        <w:tabs>
          <w:tab w:val="left" w:pos="567"/>
        </w:tabs>
        <w:jc w:val="both"/>
        <w:rPr>
          <w:rFonts w:ascii="Book Antiqua" w:hAnsi="Book Antiqua" w:cs="Arial"/>
        </w:rPr>
      </w:pPr>
    </w:p>
    <w:p w:rsidR="005B7191" w:rsidRPr="005B7191" w:rsidRDefault="005B7191" w:rsidP="00933B65">
      <w:pPr>
        <w:tabs>
          <w:tab w:val="left" w:pos="567"/>
        </w:tabs>
        <w:jc w:val="both"/>
        <w:rPr>
          <w:rFonts w:ascii="Book Antiqua" w:hAnsi="Book Antiqua" w:cs="Arial"/>
          <w:i/>
        </w:rPr>
      </w:pPr>
      <w:r w:rsidRPr="005B7191">
        <w:rPr>
          <w:rFonts w:ascii="Book Antiqua" w:hAnsi="Book Antiqua" w:cs="Arial"/>
          <w:i/>
        </w:rPr>
        <w:t xml:space="preserve">Second appellant </w:t>
      </w:r>
    </w:p>
    <w:p w:rsidR="00AC5725" w:rsidRDefault="00AC5725" w:rsidP="005B7191">
      <w:pPr>
        <w:tabs>
          <w:tab w:val="left" w:pos="567"/>
        </w:tabs>
        <w:jc w:val="both"/>
        <w:rPr>
          <w:rFonts w:ascii="Book Antiqua" w:hAnsi="Book Antiqua" w:cs="Arial"/>
        </w:rPr>
      </w:pPr>
    </w:p>
    <w:p w:rsidR="005B7191" w:rsidRDefault="005B7191" w:rsidP="005B7191">
      <w:pPr>
        <w:tabs>
          <w:tab w:val="left" w:pos="567"/>
        </w:tabs>
        <w:jc w:val="both"/>
        <w:rPr>
          <w:rFonts w:ascii="Book Antiqua" w:hAnsi="Book Antiqua" w:cs="Arial"/>
        </w:rPr>
      </w:pPr>
      <w:r>
        <w:rPr>
          <w:rFonts w:ascii="Book Antiqua" w:hAnsi="Book Antiqua" w:cs="Arial"/>
        </w:rPr>
        <w:t>The First-tier Tribunal decision involved the making of an error on a point of law</w:t>
      </w:r>
    </w:p>
    <w:p w:rsidR="005B7191" w:rsidRDefault="005B7191" w:rsidP="005B7191">
      <w:pPr>
        <w:tabs>
          <w:tab w:val="left" w:pos="567"/>
        </w:tabs>
        <w:jc w:val="both"/>
        <w:rPr>
          <w:rFonts w:ascii="Book Antiqua" w:hAnsi="Book Antiqua" w:cs="Arial"/>
        </w:rPr>
      </w:pPr>
    </w:p>
    <w:p w:rsidR="005B7191" w:rsidRDefault="005B7191" w:rsidP="005B7191">
      <w:pPr>
        <w:tabs>
          <w:tab w:val="left" w:pos="567"/>
        </w:tabs>
        <w:jc w:val="both"/>
        <w:rPr>
          <w:rFonts w:ascii="Book Antiqua" w:hAnsi="Book Antiqua" w:cs="Arial"/>
        </w:rPr>
      </w:pPr>
      <w:r>
        <w:rPr>
          <w:rFonts w:ascii="Book Antiqua" w:hAnsi="Book Antiqua" w:cs="Arial"/>
        </w:rPr>
        <w:t>The decision is set aside and remitted to the First-tier Tribunal for a fresh hearing</w:t>
      </w:r>
    </w:p>
    <w:p w:rsidR="005C0501" w:rsidRDefault="005C0501" w:rsidP="00933B65">
      <w:pPr>
        <w:tabs>
          <w:tab w:val="left" w:pos="567"/>
        </w:tabs>
        <w:jc w:val="both"/>
        <w:rPr>
          <w:rFonts w:ascii="Book Antiqua" w:hAnsi="Book Antiqua" w:cs="Arial"/>
        </w:rPr>
      </w:pPr>
    </w:p>
    <w:p w:rsidR="00A57676" w:rsidRDefault="00115648" w:rsidP="00933B65">
      <w:pPr>
        <w:tabs>
          <w:tab w:val="left" w:pos="567"/>
        </w:tabs>
        <w:jc w:val="both"/>
        <w:rPr>
          <w:rFonts w:ascii="Book Antiqua" w:hAnsi="Book Antiqua" w:cs="Arial"/>
        </w:rPr>
      </w:pPr>
      <w:r>
        <w:rPr>
          <w:rFonts w:ascii="Book Antiqua" w:hAnsi="Book Antiqua" w:cs="Arial"/>
        </w:rPr>
        <w:t>Signed</w:t>
      </w:r>
      <w:r w:rsidR="00BB40C3">
        <w:rPr>
          <w:rFonts w:ascii="Book Antiqua" w:hAnsi="Book Antiqua" w:cs="Arial"/>
        </w:rPr>
        <w:t xml:space="preserve">   </w:t>
      </w:r>
      <w:r w:rsidR="004A341D" w:rsidRPr="000A38E1">
        <w:rPr>
          <w:rFonts w:ascii="Book Antiqua" w:hAnsi="Book Antiqua" w:cs="Arial"/>
          <w:noProof/>
        </w:rPr>
        <w:drawing>
          <wp:inline distT="0" distB="0" distL="0" distR="0">
            <wp:extent cx="1386840" cy="37338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6840" cy="373380"/>
                    </a:xfrm>
                    <a:prstGeom prst="rect">
                      <a:avLst/>
                    </a:prstGeom>
                    <a:noFill/>
                    <a:ln>
                      <a:noFill/>
                    </a:ln>
                  </pic:spPr>
                </pic:pic>
              </a:graphicData>
            </a:graphic>
          </wp:inline>
        </w:drawing>
      </w:r>
      <w:r w:rsidR="00A57676">
        <w:rPr>
          <w:rFonts w:ascii="Book Antiqua" w:hAnsi="Book Antiqua" w:cs="Arial"/>
        </w:rPr>
        <w:tab/>
      </w:r>
      <w:r>
        <w:rPr>
          <w:rFonts w:ascii="Book Antiqua" w:hAnsi="Book Antiqua" w:cs="Arial"/>
        </w:rPr>
        <w:t>Date</w:t>
      </w:r>
      <w:r w:rsidR="00056E7C">
        <w:rPr>
          <w:rFonts w:ascii="Book Antiqua" w:hAnsi="Book Antiqua" w:cs="Arial"/>
        </w:rPr>
        <w:t xml:space="preserve"> </w:t>
      </w:r>
      <w:r w:rsidR="00AC5725">
        <w:rPr>
          <w:rFonts w:ascii="Book Antiqua" w:hAnsi="Book Antiqua" w:cs="Arial"/>
        </w:rPr>
        <w:t>10 September 2018</w:t>
      </w:r>
    </w:p>
    <w:p w:rsidR="00270D89" w:rsidRDefault="00546523" w:rsidP="00933B65">
      <w:pPr>
        <w:tabs>
          <w:tab w:val="left" w:pos="567"/>
        </w:tabs>
        <w:jc w:val="both"/>
        <w:rPr>
          <w:rFonts w:ascii="Book Antiqua" w:hAnsi="Book Antiqua" w:cs="Arial"/>
        </w:rPr>
      </w:pPr>
      <w:r>
        <w:rPr>
          <w:rFonts w:ascii="Book Antiqua" w:hAnsi="Book Antiqua" w:cs="Arial"/>
        </w:rPr>
        <w:t xml:space="preserve">Upper Tribunal Judge </w:t>
      </w:r>
      <w:r w:rsidR="00A57676">
        <w:rPr>
          <w:rFonts w:ascii="Book Antiqua" w:hAnsi="Book Antiqua" w:cs="Arial"/>
        </w:rPr>
        <w:t>Canavan</w:t>
      </w:r>
    </w:p>
    <w:sectPr w:rsidR="00270D89" w:rsidSect="00614E94">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4274" w:rsidRDefault="00534274">
      <w:r>
        <w:separator/>
      </w:r>
    </w:p>
  </w:endnote>
  <w:endnote w:type="continuationSeparator" w:id="0">
    <w:p w:rsidR="00534274" w:rsidRDefault="00534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541" w:rsidRPr="00593795" w:rsidRDefault="00F75541"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244EAB">
      <w:rPr>
        <w:rStyle w:val="PageNumber"/>
        <w:rFonts w:ascii="Arial" w:hAnsi="Arial" w:cs="Arial"/>
        <w:noProof/>
        <w:sz w:val="16"/>
        <w:szCs w:val="16"/>
      </w:rPr>
      <w:t>4</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541" w:rsidRPr="00090CF9" w:rsidRDefault="00F75541" w:rsidP="00614E94">
    <w:pPr>
      <w:jc w:val="center"/>
      <w:rPr>
        <w:rFonts w:ascii="Arial" w:hAnsi="Arial" w:cs="Arial"/>
        <w:b/>
      </w:rPr>
    </w:pPr>
    <w:r w:rsidRPr="00090CF9">
      <w:rPr>
        <w:rFonts w:ascii="Arial" w:hAnsi="Arial" w:cs="Arial"/>
        <w:b/>
        <w:spacing w:val="-6"/>
      </w:rPr>
      <w:t>©</w:t>
    </w:r>
    <w:r w:rsidR="00816668">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4274" w:rsidRDefault="00534274">
      <w:r>
        <w:separator/>
      </w:r>
    </w:p>
  </w:footnote>
  <w:footnote w:type="continuationSeparator" w:id="0">
    <w:p w:rsidR="00534274" w:rsidRDefault="005342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0501" w:rsidRPr="005C0501" w:rsidRDefault="00F75541" w:rsidP="005C0501">
    <w:pPr>
      <w:tabs>
        <w:tab w:val="right" w:pos="9720"/>
      </w:tabs>
      <w:ind w:right="-82"/>
      <w:jc w:val="right"/>
      <w:rPr>
        <w:rFonts w:ascii="Book Antiqua" w:hAnsi="Book Antiqua" w:cs="Arial"/>
        <w:color w:val="000000"/>
        <w:sz w:val="16"/>
        <w:szCs w:val="16"/>
      </w:rPr>
    </w:pPr>
    <w:r w:rsidRPr="001C2435">
      <w:rPr>
        <w:rFonts w:ascii="Book Antiqua" w:hAnsi="Book Antiqua" w:cs="Arial"/>
        <w:sz w:val="16"/>
        <w:szCs w:val="16"/>
      </w:rPr>
      <w:t>Appeal Number</w:t>
    </w:r>
    <w:r w:rsidR="008F0F73">
      <w:rPr>
        <w:rFonts w:ascii="Book Antiqua" w:hAnsi="Book Antiqua" w:cs="Arial"/>
        <w:sz w:val="16"/>
        <w:szCs w:val="16"/>
      </w:rPr>
      <w:t xml:space="preserve">: </w:t>
    </w:r>
    <w:r w:rsidR="005C0501" w:rsidRPr="005C0501">
      <w:rPr>
        <w:rFonts w:ascii="Book Antiqua" w:hAnsi="Book Antiqua" w:cs="Arial"/>
        <w:color w:val="000000"/>
        <w:sz w:val="16"/>
        <w:szCs w:val="16"/>
      </w:rPr>
      <w:t>EA/09643/2016</w:t>
    </w:r>
  </w:p>
  <w:p w:rsidR="005C0501" w:rsidRPr="005C0501" w:rsidRDefault="005C0501" w:rsidP="005C0501">
    <w:pPr>
      <w:tabs>
        <w:tab w:val="right" w:pos="9720"/>
      </w:tabs>
      <w:ind w:right="-82"/>
      <w:jc w:val="right"/>
      <w:rPr>
        <w:rFonts w:ascii="Book Antiqua" w:hAnsi="Book Antiqua" w:cs="Arial"/>
        <w:color w:val="000000"/>
        <w:sz w:val="16"/>
        <w:szCs w:val="16"/>
      </w:rPr>
    </w:pPr>
    <w:r w:rsidRPr="005C0501">
      <w:rPr>
        <w:rFonts w:ascii="Book Antiqua" w:hAnsi="Book Antiqua" w:cs="Arial"/>
        <w:color w:val="000000"/>
        <w:sz w:val="16"/>
        <w:szCs w:val="16"/>
      </w:rPr>
      <w:t>EA/09647/2016</w:t>
    </w:r>
  </w:p>
  <w:p w:rsidR="00CF2453" w:rsidRPr="00CF2453" w:rsidRDefault="00CF2453" w:rsidP="00CF2453">
    <w:pPr>
      <w:tabs>
        <w:tab w:val="right" w:pos="9720"/>
      </w:tabs>
      <w:ind w:right="-82"/>
      <w:jc w:val="right"/>
      <w:rPr>
        <w:rFonts w:ascii="Book Antiqua" w:hAnsi="Book Antiqua" w:cs="Arial"/>
        <w:color w:val="000000"/>
        <w:sz w:val="16"/>
        <w:szCs w:val="16"/>
      </w:rPr>
    </w:pPr>
  </w:p>
  <w:p w:rsidR="00F75541" w:rsidRPr="001C2435" w:rsidRDefault="00F75541"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41F80ACA"/>
    <w:multiLevelType w:val="hybridMultilevel"/>
    <w:tmpl w:val="D1DC92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9B4335"/>
    <w:multiLevelType w:val="hybridMultilevel"/>
    <w:tmpl w:val="FA9E25E0"/>
    <w:lvl w:ilvl="0" w:tplc="649C1A72">
      <w:start w:val="1"/>
      <w:numFmt w:val="lowerRoman"/>
      <w:lvlText w:val="(%1)"/>
      <w:lvlJc w:val="left"/>
      <w:pPr>
        <w:ind w:left="1290" w:hanging="72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3"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5"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026B4"/>
    <w:rsid w:val="00010B88"/>
    <w:rsid w:val="00047060"/>
    <w:rsid w:val="00056E7C"/>
    <w:rsid w:val="000644CE"/>
    <w:rsid w:val="000912AB"/>
    <w:rsid w:val="000D0603"/>
    <w:rsid w:val="000E3DF2"/>
    <w:rsid w:val="000F6C8F"/>
    <w:rsid w:val="00115648"/>
    <w:rsid w:val="00177216"/>
    <w:rsid w:val="00194FB4"/>
    <w:rsid w:val="001A14A2"/>
    <w:rsid w:val="001A373D"/>
    <w:rsid w:val="001B71DD"/>
    <w:rsid w:val="001C2435"/>
    <w:rsid w:val="00200671"/>
    <w:rsid w:val="00244EAB"/>
    <w:rsid w:val="00266FFE"/>
    <w:rsid w:val="00270547"/>
    <w:rsid w:val="00270D89"/>
    <w:rsid w:val="00272712"/>
    <w:rsid w:val="00294F41"/>
    <w:rsid w:val="002F6D78"/>
    <w:rsid w:val="003049FE"/>
    <w:rsid w:val="00345182"/>
    <w:rsid w:val="00396F7B"/>
    <w:rsid w:val="003B36AE"/>
    <w:rsid w:val="004044E6"/>
    <w:rsid w:val="00405694"/>
    <w:rsid w:val="00407E66"/>
    <w:rsid w:val="004171D0"/>
    <w:rsid w:val="00426F9F"/>
    <w:rsid w:val="00481ACF"/>
    <w:rsid w:val="00497CC7"/>
    <w:rsid w:val="004A012D"/>
    <w:rsid w:val="004A341D"/>
    <w:rsid w:val="004A3646"/>
    <w:rsid w:val="004E0791"/>
    <w:rsid w:val="004F4BE7"/>
    <w:rsid w:val="00534274"/>
    <w:rsid w:val="00546523"/>
    <w:rsid w:val="0057020B"/>
    <w:rsid w:val="005819E4"/>
    <w:rsid w:val="005907D8"/>
    <w:rsid w:val="005B7191"/>
    <w:rsid w:val="005C0501"/>
    <w:rsid w:val="00614E94"/>
    <w:rsid w:val="00631E34"/>
    <w:rsid w:val="00662048"/>
    <w:rsid w:val="0068059E"/>
    <w:rsid w:val="006A364A"/>
    <w:rsid w:val="006D74D8"/>
    <w:rsid w:val="00731039"/>
    <w:rsid w:val="0073630A"/>
    <w:rsid w:val="007B09CD"/>
    <w:rsid w:val="007F6E23"/>
    <w:rsid w:val="00815CB1"/>
    <w:rsid w:val="00816668"/>
    <w:rsid w:val="00821972"/>
    <w:rsid w:val="00873329"/>
    <w:rsid w:val="008832E8"/>
    <w:rsid w:val="008A3B24"/>
    <w:rsid w:val="008E01FB"/>
    <w:rsid w:val="008F0F73"/>
    <w:rsid w:val="00933B65"/>
    <w:rsid w:val="0094479E"/>
    <w:rsid w:val="009701EB"/>
    <w:rsid w:val="009942DD"/>
    <w:rsid w:val="009D5EB6"/>
    <w:rsid w:val="00A03E4C"/>
    <w:rsid w:val="00A10561"/>
    <w:rsid w:val="00A472B6"/>
    <w:rsid w:val="00A57676"/>
    <w:rsid w:val="00A621AC"/>
    <w:rsid w:val="00A7051D"/>
    <w:rsid w:val="00A70F8E"/>
    <w:rsid w:val="00A86A8D"/>
    <w:rsid w:val="00AA0588"/>
    <w:rsid w:val="00AB1DC6"/>
    <w:rsid w:val="00AB703E"/>
    <w:rsid w:val="00AC5725"/>
    <w:rsid w:val="00AE2438"/>
    <w:rsid w:val="00B80C50"/>
    <w:rsid w:val="00BB40C3"/>
    <w:rsid w:val="00C554CE"/>
    <w:rsid w:val="00C56E05"/>
    <w:rsid w:val="00C616B3"/>
    <w:rsid w:val="00C61D30"/>
    <w:rsid w:val="00C916B0"/>
    <w:rsid w:val="00C91E16"/>
    <w:rsid w:val="00CE5C94"/>
    <w:rsid w:val="00CF2453"/>
    <w:rsid w:val="00D25C76"/>
    <w:rsid w:val="00D3274C"/>
    <w:rsid w:val="00D36F32"/>
    <w:rsid w:val="00D40718"/>
    <w:rsid w:val="00DA52F3"/>
    <w:rsid w:val="00DE3D56"/>
    <w:rsid w:val="00E15512"/>
    <w:rsid w:val="00E2527C"/>
    <w:rsid w:val="00E468D9"/>
    <w:rsid w:val="00E63B55"/>
    <w:rsid w:val="00E96B33"/>
    <w:rsid w:val="00ED1E61"/>
    <w:rsid w:val="00F517DA"/>
    <w:rsid w:val="00F56919"/>
    <w:rsid w:val="00F648C0"/>
    <w:rsid w:val="00F66C52"/>
    <w:rsid w:val="00F75541"/>
    <w:rsid w:val="00F8752A"/>
    <w:rsid w:val="00FA0A2E"/>
    <w:rsid w:val="00FB0516"/>
    <w:rsid w:val="00FE33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6319E8F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paragraph" w:styleId="ListParagraph">
    <w:name w:val="List Paragraph"/>
    <w:basedOn w:val="Normal"/>
    <w:uiPriority w:val="34"/>
    <w:qFormat/>
    <w:rsid w:val="00CF2453"/>
    <w:pPr>
      <w:ind w:left="720"/>
    </w:pPr>
  </w:style>
  <w:style w:type="character" w:styleId="CommentReference">
    <w:name w:val="annotation reference"/>
    <w:rsid w:val="004E0791"/>
    <w:rPr>
      <w:sz w:val="16"/>
      <w:szCs w:val="16"/>
    </w:rPr>
  </w:style>
  <w:style w:type="paragraph" w:styleId="CommentText">
    <w:name w:val="annotation text"/>
    <w:basedOn w:val="Normal"/>
    <w:link w:val="CommentTextChar"/>
    <w:rsid w:val="004E0791"/>
    <w:rPr>
      <w:sz w:val="20"/>
      <w:szCs w:val="20"/>
    </w:rPr>
  </w:style>
  <w:style w:type="character" w:customStyle="1" w:styleId="CommentTextChar">
    <w:name w:val="Comment Text Char"/>
    <w:basedOn w:val="DefaultParagraphFont"/>
    <w:link w:val="CommentText"/>
    <w:rsid w:val="004E0791"/>
  </w:style>
  <w:style w:type="paragraph" w:styleId="CommentSubject">
    <w:name w:val="annotation subject"/>
    <w:basedOn w:val="CommentText"/>
    <w:next w:val="CommentText"/>
    <w:link w:val="CommentSubjectChar"/>
    <w:rsid w:val="004E0791"/>
    <w:rPr>
      <w:b/>
      <w:bCs/>
    </w:rPr>
  </w:style>
  <w:style w:type="character" w:customStyle="1" w:styleId="CommentSubjectChar">
    <w:name w:val="Comment Subject Char"/>
    <w:link w:val="CommentSubject"/>
    <w:rsid w:val="004E0791"/>
    <w:rPr>
      <w:b/>
      <w:bCs/>
    </w:rPr>
  </w:style>
  <w:style w:type="paragraph" w:styleId="Revision">
    <w:name w:val="Revision"/>
    <w:hidden/>
    <w:uiPriority w:val="99"/>
    <w:semiHidden/>
    <w:rsid w:val="004E079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1581</Words>
  <Characters>7881</Characters>
  <Application>Microsoft Office Word</Application>
  <DocSecurity>0</DocSecurity>
  <Lines>65</Lines>
  <Paragraphs>18</Paragraphs>
  <ScaleCrop>false</ScaleCrop>
  <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2018-10-01T14:16:00Z</dcterms:created>
  <dcterms:modified xsi:type="dcterms:W3CDTF">2018-10-01T14:16:00Z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