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059" w:rsidRPr="009B7433" w:rsidRDefault="000B55D3" w:rsidP="008A6059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>
            <wp:extent cx="1198800" cy="1036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00" cy="10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059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 xml:space="preserve">Upper Tribunal </w:t>
      </w:r>
    </w:p>
    <w:p w:rsidR="00970C17" w:rsidRPr="00C8680C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b/>
          <w:caps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 xml:space="preserve">(Immigration and Asylum </w:t>
      </w:r>
      <w:proofErr w:type="gramStart"/>
      <w:r w:rsidRPr="009B7433">
        <w:rPr>
          <w:rFonts w:ascii="Book Antiqua" w:hAnsi="Book Antiqua" w:cs="Arial"/>
          <w:b/>
          <w:color w:val="000000"/>
        </w:rPr>
        <w:t>Chamber)</w:t>
      </w:r>
      <w:r w:rsidR="00C8680C">
        <w:rPr>
          <w:rFonts w:ascii="Book Antiqua" w:hAnsi="Book Antiqua" w:cs="Arial"/>
          <w:b/>
          <w:color w:val="000000"/>
        </w:rPr>
        <w:t xml:space="preserve">   </w:t>
      </w:r>
      <w:proofErr w:type="gramEnd"/>
      <w:r w:rsidR="00C8680C">
        <w:rPr>
          <w:rFonts w:ascii="Book Antiqua" w:hAnsi="Book Antiqua" w:cs="Arial"/>
          <w:b/>
          <w:color w:val="000000"/>
        </w:rPr>
        <w:t xml:space="preserve">                      </w:t>
      </w:r>
      <w:r w:rsidR="00B3524D" w:rsidRPr="00C8680C">
        <w:rPr>
          <w:rFonts w:ascii="Book Antiqua" w:hAnsi="Book Antiqua" w:cs="Arial"/>
          <w:b/>
          <w:color w:val="000000"/>
        </w:rPr>
        <w:t>Appeal Number</w:t>
      </w:r>
      <w:r w:rsidR="001B79D5" w:rsidRPr="00C8680C">
        <w:rPr>
          <w:rFonts w:ascii="Book Antiqua" w:hAnsi="Book Antiqua" w:cs="Arial"/>
          <w:b/>
          <w:color w:val="000000"/>
        </w:rPr>
        <w:t xml:space="preserve">s: </w:t>
      </w:r>
      <w:r w:rsidR="00970C17" w:rsidRPr="00C8680C">
        <w:rPr>
          <w:rFonts w:ascii="Book Antiqua" w:hAnsi="Book Antiqua" w:cs="Arial"/>
          <w:b/>
          <w:caps/>
          <w:color w:val="000000"/>
        </w:rPr>
        <w:t>EA/09917/2016</w:t>
      </w:r>
    </w:p>
    <w:p w:rsidR="007B0824" w:rsidRPr="00C8680C" w:rsidRDefault="00C8680C" w:rsidP="00780F86">
      <w:pPr>
        <w:tabs>
          <w:tab w:val="right" w:pos="9720"/>
        </w:tabs>
        <w:ind w:right="-82"/>
        <w:rPr>
          <w:rFonts w:ascii="Book Antiqua" w:hAnsi="Book Antiqua" w:cs="Arial"/>
          <w:b/>
          <w:caps/>
          <w:color w:val="000000"/>
        </w:rPr>
      </w:pPr>
      <w:r>
        <w:rPr>
          <w:rFonts w:ascii="Book Antiqua" w:hAnsi="Book Antiqua" w:cs="Arial"/>
          <w:b/>
          <w:caps/>
          <w:color w:val="000000"/>
        </w:rPr>
        <w:t xml:space="preserve">                                                                                                                              </w:t>
      </w:r>
      <w:r w:rsidR="00970C17" w:rsidRPr="00C8680C">
        <w:rPr>
          <w:rFonts w:ascii="Book Antiqua" w:hAnsi="Book Antiqua" w:cs="Arial"/>
          <w:b/>
          <w:caps/>
          <w:color w:val="000000"/>
        </w:rPr>
        <w:t>ea/09922/2016</w:t>
      </w:r>
    </w:p>
    <w:p w:rsidR="00970C17" w:rsidRPr="00C8680C" w:rsidRDefault="00C8680C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aps/>
          <w:color w:val="000000"/>
        </w:rPr>
        <w:t xml:space="preserve">                                                                                                                              </w:t>
      </w:r>
      <w:r w:rsidR="00970C17" w:rsidRPr="00C8680C">
        <w:rPr>
          <w:rFonts w:ascii="Book Antiqua" w:hAnsi="Book Antiqua" w:cs="Arial"/>
          <w:b/>
          <w:caps/>
          <w:color w:val="000000"/>
        </w:rPr>
        <w:t>ea/09919/2016</w:t>
      </w:r>
    </w:p>
    <w:p w:rsidR="00C345E1" w:rsidRPr="009B7433" w:rsidRDefault="00DA7C12" w:rsidP="00DA7C12">
      <w:pPr>
        <w:tabs>
          <w:tab w:val="left" w:pos="1920"/>
        </w:tabs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ab/>
      </w:r>
    </w:p>
    <w:p w:rsidR="00C345E1" w:rsidRPr="009B7433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9B743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9B743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87"/>
        <w:gridCol w:w="4621"/>
      </w:tblGrid>
      <w:tr w:rsidR="00D22636" w:rsidRPr="009B7433" w:rsidTr="00C8680C">
        <w:tc>
          <w:tcPr>
            <w:tcW w:w="5387" w:type="dxa"/>
          </w:tcPr>
          <w:p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9B7433">
              <w:rPr>
                <w:rFonts w:ascii="Book Antiqua" w:hAnsi="Book Antiqua" w:cs="Arial"/>
                <w:b/>
              </w:rPr>
              <w:t xml:space="preserve">Heard at </w:t>
            </w:r>
            <w:r w:rsidR="00970C17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4621" w:type="dxa"/>
          </w:tcPr>
          <w:p w:rsidR="00D22636" w:rsidRPr="009B7433" w:rsidRDefault="00D949B7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9B7433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9B7433" w:rsidTr="00C8680C">
        <w:tc>
          <w:tcPr>
            <w:tcW w:w="5387" w:type="dxa"/>
          </w:tcPr>
          <w:p w:rsidR="00D22636" w:rsidRPr="009B7433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9B7433">
              <w:rPr>
                <w:rFonts w:ascii="Book Antiqua" w:hAnsi="Book Antiqua" w:cs="Arial"/>
                <w:b/>
              </w:rPr>
              <w:t xml:space="preserve">On </w:t>
            </w:r>
            <w:r w:rsidR="00970C17">
              <w:rPr>
                <w:rFonts w:ascii="Book Antiqua" w:hAnsi="Book Antiqua" w:cs="Arial"/>
                <w:b/>
              </w:rPr>
              <w:t>15 June 2018</w:t>
            </w:r>
          </w:p>
        </w:tc>
        <w:tc>
          <w:tcPr>
            <w:tcW w:w="4621" w:type="dxa"/>
          </w:tcPr>
          <w:p w:rsidR="00D22636" w:rsidRPr="009B7433" w:rsidRDefault="006A69CE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</w:t>
            </w:r>
            <w:r w:rsidR="00147161">
              <w:rPr>
                <w:rFonts w:ascii="Book Antiqua" w:hAnsi="Book Antiqua" w:cs="Arial"/>
                <w:b/>
              </w:rPr>
              <w:t>5 July 2018</w:t>
            </w:r>
          </w:p>
        </w:tc>
      </w:tr>
    </w:tbl>
    <w:p w:rsidR="00A15234" w:rsidRPr="009B7433" w:rsidRDefault="00A15234" w:rsidP="00A15234">
      <w:pPr>
        <w:jc w:val="center"/>
        <w:rPr>
          <w:rFonts w:ascii="Book Antiqua" w:hAnsi="Book Antiqua" w:cs="Arial"/>
        </w:rPr>
      </w:pPr>
    </w:p>
    <w:p w:rsidR="00C8680C" w:rsidRDefault="00C8680C" w:rsidP="00A15234">
      <w:pPr>
        <w:jc w:val="center"/>
        <w:rPr>
          <w:rFonts w:ascii="Book Antiqua" w:hAnsi="Book Antiqua" w:cs="Arial"/>
          <w:b/>
        </w:rPr>
      </w:pPr>
    </w:p>
    <w:p w:rsidR="00A15234" w:rsidRPr="009B7433" w:rsidRDefault="00207617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Befo</w:t>
      </w:r>
      <w:r w:rsidR="00A15234" w:rsidRPr="009B7433">
        <w:rPr>
          <w:rFonts w:ascii="Book Antiqua" w:hAnsi="Book Antiqua" w:cs="Arial"/>
          <w:b/>
        </w:rPr>
        <w:t>re</w:t>
      </w:r>
    </w:p>
    <w:p w:rsidR="00A15234" w:rsidRPr="009B7433" w:rsidRDefault="00A15234" w:rsidP="00A15234">
      <w:pPr>
        <w:jc w:val="center"/>
        <w:rPr>
          <w:rFonts w:ascii="Book Antiqua" w:hAnsi="Book Antiqua" w:cs="Arial"/>
          <w:b/>
        </w:rPr>
      </w:pPr>
    </w:p>
    <w:p w:rsidR="004A2D15" w:rsidRPr="001C5703" w:rsidRDefault="004A2D15" w:rsidP="004A2D1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DE</w:t>
      </w:r>
      <w:r w:rsidR="00273201">
        <w:rPr>
          <w:rFonts w:ascii="Book Antiqua" w:hAnsi="Book Antiqua" w:cs="Arial"/>
          <w:b/>
          <w:color w:val="000000"/>
        </w:rPr>
        <w:t>PUTY UPPER TRIBUNAL JUDGE SHERIDAN</w:t>
      </w:r>
    </w:p>
    <w:p w:rsidR="00D20757" w:rsidRPr="009B7433" w:rsidRDefault="00D20757" w:rsidP="00A15234">
      <w:pPr>
        <w:jc w:val="center"/>
        <w:rPr>
          <w:rFonts w:ascii="Book Antiqua" w:hAnsi="Book Antiqua" w:cs="Arial"/>
          <w:b/>
        </w:rPr>
      </w:pPr>
    </w:p>
    <w:p w:rsidR="00A845DC" w:rsidRDefault="00A845DC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Between</w:t>
      </w:r>
    </w:p>
    <w:p w:rsidR="008A2195" w:rsidRPr="009B7433" w:rsidRDefault="008A2195" w:rsidP="00A15234">
      <w:pPr>
        <w:jc w:val="center"/>
        <w:rPr>
          <w:rFonts w:ascii="Book Antiqua" w:hAnsi="Book Antiqua" w:cs="Arial"/>
          <w:b/>
        </w:rPr>
      </w:pPr>
    </w:p>
    <w:p w:rsidR="008A2195" w:rsidRPr="009B7433" w:rsidRDefault="008A2195" w:rsidP="008A219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ENTRY CLEARANCE OFFICER – </w:t>
      </w:r>
      <w:smartTag w:uri="urn:schemas-microsoft-com:office:smarttags" w:element="City">
        <w:smartTag w:uri="urn:schemas-microsoft-com:office:smarttags" w:element="place">
          <w:r>
            <w:rPr>
              <w:rFonts w:ascii="Book Antiqua" w:hAnsi="Book Antiqua" w:cs="Arial"/>
              <w:b/>
            </w:rPr>
            <w:t>NEW DELHI</w:t>
          </w:r>
        </w:smartTag>
      </w:smartTag>
    </w:p>
    <w:p w:rsidR="00704B61" w:rsidRPr="009B7433" w:rsidRDefault="00704B61" w:rsidP="00704B6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Appellant</w:t>
      </w:r>
    </w:p>
    <w:p w:rsidR="00C8680C" w:rsidRDefault="00C8680C" w:rsidP="00704B61">
      <w:pPr>
        <w:jc w:val="center"/>
        <w:rPr>
          <w:rFonts w:ascii="Book Antiqua" w:hAnsi="Book Antiqua" w:cs="Arial"/>
          <w:b/>
        </w:rPr>
      </w:pPr>
    </w:p>
    <w:p w:rsidR="00704B6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and</w:t>
      </w:r>
    </w:p>
    <w:p w:rsidR="008A2195" w:rsidRPr="009B7433" w:rsidRDefault="008A2195" w:rsidP="008A2195">
      <w:pPr>
        <w:jc w:val="center"/>
        <w:rPr>
          <w:rFonts w:ascii="Book Antiqua" w:hAnsi="Book Antiqua" w:cs="Arial"/>
          <w:b/>
        </w:rPr>
      </w:pPr>
    </w:p>
    <w:p w:rsidR="008A2195" w:rsidRDefault="008A2195" w:rsidP="008A2195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parmjeet kaur</w:t>
      </w:r>
    </w:p>
    <w:p w:rsidR="008A2195" w:rsidRDefault="008A2195" w:rsidP="008A2195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taranjeet singh</w:t>
      </w:r>
    </w:p>
    <w:p w:rsidR="008A2195" w:rsidRDefault="008A2195" w:rsidP="008A2195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sharanjeet singh</w:t>
      </w:r>
    </w:p>
    <w:p w:rsidR="008A2195" w:rsidRPr="00C8680C" w:rsidRDefault="008A2195" w:rsidP="008A2195">
      <w:pPr>
        <w:jc w:val="center"/>
        <w:rPr>
          <w:rFonts w:ascii="Book Antiqua" w:hAnsi="Book Antiqua" w:cs="Arial"/>
          <w:caps/>
        </w:rPr>
      </w:pPr>
      <w:r w:rsidRPr="00C8680C">
        <w:rPr>
          <w:rFonts w:ascii="Book Antiqua" w:hAnsi="Book Antiqua" w:cs="Arial"/>
          <w:caps/>
        </w:rPr>
        <w:t>(ANONYMITY DIRECTION not made)</w:t>
      </w:r>
    </w:p>
    <w:p w:rsidR="00DD5071" w:rsidRPr="009B7433" w:rsidRDefault="00DD5071" w:rsidP="00DD507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Respondent</w:t>
      </w:r>
      <w:r w:rsidR="008A2195">
        <w:rPr>
          <w:rFonts w:ascii="Book Antiqua" w:hAnsi="Book Antiqua" w:cs="Arial"/>
          <w:u w:val="single"/>
        </w:rPr>
        <w:t>s</w:t>
      </w:r>
    </w:p>
    <w:p w:rsidR="00DD5071" w:rsidRPr="009B7433" w:rsidRDefault="00DD5071" w:rsidP="00DD5071">
      <w:pPr>
        <w:rPr>
          <w:rFonts w:ascii="Book Antiqua" w:hAnsi="Book Antiqua" w:cs="Arial"/>
          <w:u w:val="single"/>
        </w:rPr>
      </w:pPr>
    </w:p>
    <w:p w:rsidR="00DD5071" w:rsidRPr="009B7433" w:rsidRDefault="00DE7DB7" w:rsidP="00DD5071">
      <w:pPr>
        <w:rPr>
          <w:rFonts w:ascii="Book Antiqua" w:hAnsi="Book Antiqua" w:cs="Arial"/>
        </w:rPr>
      </w:pPr>
      <w:r w:rsidRPr="009B7433">
        <w:rPr>
          <w:rFonts w:ascii="Book Antiqua" w:hAnsi="Book Antiqua" w:cs="Arial"/>
          <w:b/>
          <w:u w:val="single"/>
        </w:rPr>
        <w:t>Representation</w:t>
      </w:r>
      <w:r w:rsidRPr="009B7433">
        <w:rPr>
          <w:rFonts w:ascii="Book Antiqua" w:hAnsi="Book Antiqua" w:cs="Arial"/>
          <w:b/>
        </w:rPr>
        <w:t>:</w:t>
      </w:r>
    </w:p>
    <w:p w:rsidR="00DE7DB7" w:rsidRPr="009B7433" w:rsidRDefault="00DE7DB7" w:rsidP="00DD5071">
      <w:pPr>
        <w:rPr>
          <w:rFonts w:ascii="Book Antiqua" w:hAnsi="Book Antiqua" w:cs="Arial"/>
        </w:rPr>
      </w:pPr>
    </w:p>
    <w:p w:rsidR="00DE7DB7" w:rsidRPr="009B7433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For the Appellant</w:t>
      </w:r>
      <w:r w:rsidR="0056209F">
        <w:rPr>
          <w:rFonts w:ascii="Book Antiqua" w:hAnsi="Book Antiqua" w:cs="Arial"/>
        </w:rPr>
        <w:t>s</w:t>
      </w:r>
      <w:r w:rsidRPr="009B7433">
        <w:rPr>
          <w:rFonts w:ascii="Book Antiqua" w:hAnsi="Book Antiqua" w:cs="Arial"/>
        </w:rPr>
        <w:t>:</w:t>
      </w:r>
      <w:r w:rsidRPr="009B7433">
        <w:rPr>
          <w:rFonts w:ascii="Book Antiqua" w:hAnsi="Book Antiqua" w:cs="Arial"/>
        </w:rPr>
        <w:tab/>
      </w:r>
      <w:r w:rsidR="008A2195">
        <w:rPr>
          <w:rFonts w:ascii="Book Antiqua" w:hAnsi="Book Antiqua" w:cs="Arial"/>
        </w:rPr>
        <w:t>Ms Z Kiss, Home Office Presenting Officer</w:t>
      </w:r>
    </w:p>
    <w:p w:rsidR="00DE7DB7" w:rsidRPr="009B7433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9B7433">
        <w:rPr>
          <w:rFonts w:ascii="Book Antiqua" w:hAnsi="Book Antiqua" w:cs="Arial"/>
        </w:rPr>
        <w:t>For the Respondent</w:t>
      </w:r>
      <w:r w:rsidR="008A2195">
        <w:rPr>
          <w:rFonts w:ascii="Book Antiqua" w:hAnsi="Book Antiqua" w:cs="Arial"/>
        </w:rPr>
        <w:t>s</w:t>
      </w:r>
      <w:r w:rsidRPr="009B7433">
        <w:rPr>
          <w:rFonts w:ascii="Book Antiqua" w:hAnsi="Book Antiqua" w:cs="Arial"/>
        </w:rPr>
        <w:t>:</w:t>
      </w:r>
      <w:r w:rsidRPr="009B7433">
        <w:rPr>
          <w:rFonts w:ascii="Book Antiqua" w:hAnsi="Book Antiqua" w:cs="Arial"/>
        </w:rPr>
        <w:tab/>
      </w:r>
      <w:r w:rsidR="008A2195">
        <w:rPr>
          <w:rFonts w:ascii="Book Antiqua" w:hAnsi="Book Antiqua" w:cs="Arial"/>
        </w:rPr>
        <w:t>Ms S Sharma, instructed by Immigration Advice Bureau</w:t>
      </w:r>
    </w:p>
    <w:p w:rsidR="00DE7DB7" w:rsidRPr="009B7433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F630D8" w:rsidRDefault="00F630D8" w:rsidP="004D6B45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</w:p>
    <w:p w:rsidR="00402B9E" w:rsidRPr="009B7433" w:rsidRDefault="00D949B7" w:rsidP="004D6B45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9B7433">
        <w:rPr>
          <w:rFonts w:ascii="Book Antiqua" w:hAnsi="Book Antiqua" w:cs="Arial"/>
          <w:b/>
          <w:u w:val="single"/>
        </w:rPr>
        <w:t>AND REASONS</w:t>
      </w:r>
    </w:p>
    <w:p w:rsidR="00402B9E" w:rsidRDefault="00402B9E" w:rsidP="000A0743">
      <w:pPr>
        <w:jc w:val="both"/>
        <w:rPr>
          <w:rFonts w:ascii="Book Antiqua" w:hAnsi="Book Antiqua" w:cs="Arial"/>
        </w:rPr>
      </w:pPr>
    </w:p>
    <w:p w:rsidR="008A2195" w:rsidRDefault="008A2195" w:rsidP="00273201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In this decision, I will refer to the appellant as “the ECO” and the respondents individually by name or collectively as “the claimants.” </w:t>
      </w:r>
    </w:p>
    <w:p w:rsidR="008A2195" w:rsidRDefault="00970C17" w:rsidP="00273201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This appeal arises from the decision of the </w:t>
      </w:r>
      <w:r w:rsidR="008A2195">
        <w:rPr>
          <w:rFonts w:ascii="Book Antiqua" w:hAnsi="Book Antiqua" w:cs="Arial"/>
        </w:rPr>
        <w:t xml:space="preserve">ECO </w:t>
      </w:r>
      <w:r>
        <w:rPr>
          <w:rFonts w:ascii="Book Antiqua" w:hAnsi="Book Antiqua" w:cs="Arial"/>
        </w:rPr>
        <w:t xml:space="preserve">to refuse an EEA family permit to </w:t>
      </w:r>
      <w:proofErr w:type="spellStart"/>
      <w:r>
        <w:rPr>
          <w:rFonts w:ascii="Book Antiqua" w:hAnsi="Book Antiqua" w:cs="Arial"/>
        </w:rPr>
        <w:t>Parmjeet</w:t>
      </w:r>
      <w:proofErr w:type="spellEnd"/>
      <w:r>
        <w:rPr>
          <w:rFonts w:ascii="Book Antiqua" w:hAnsi="Book Antiqua" w:cs="Arial"/>
        </w:rPr>
        <w:t xml:space="preserve"> Kaur, </w:t>
      </w:r>
      <w:proofErr w:type="spellStart"/>
      <w:r>
        <w:rPr>
          <w:rFonts w:ascii="Book Antiqua" w:hAnsi="Book Antiqua" w:cs="Arial"/>
        </w:rPr>
        <w:t>Taranjeet</w:t>
      </w:r>
      <w:proofErr w:type="spellEnd"/>
      <w:r>
        <w:rPr>
          <w:rFonts w:ascii="Book Antiqua" w:hAnsi="Book Antiqua" w:cs="Arial"/>
        </w:rPr>
        <w:t xml:space="preserve"> Singh and </w:t>
      </w:r>
      <w:proofErr w:type="spellStart"/>
      <w:r>
        <w:rPr>
          <w:rFonts w:ascii="Book Antiqua" w:hAnsi="Book Antiqua" w:cs="Arial"/>
        </w:rPr>
        <w:t>Sharanjeet</w:t>
      </w:r>
      <w:proofErr w:type="spellEnd"/>
      <w:r>
        <w:rPr>
          <w:rFonts w:ascii="Book Antiqua" w:hAnsi="Book Antiqua" w:cs="Arial"/>
        </w:rPr>
        <w:t xml:space="preserve"> Singh</w:t>
      </w:r>
      <w:r w:rsidR="008A2195">
        <w:rPr>
          <w:rFonts w:ascii="Book Antiqua" w:hAnsi="Book Antiqua" w:cs="Arial"/>
        </w:rPr>
        <w:t xml:space="preserve">, citizens of India who were seeking to join </w:t>
      </w:r>
      <w:proofErr w:type="spellStart"/>
      <w:r w:rsidR="008A2195">
        <w:rPr>
          <w:rFonts w:ascii="Book Antiqua" w:hAnsi="Book Antiqua" w:cs="Arial"/>
        </w:rPr>
        <w:t>Jasbir</w:t>
      </w:r>
      <w:proofErr w:type="spellEnd"/>
      <w:r w:rsidR="008A2195">
        <w:rPr>
          <w:rFonts w:ascii="Book Antiqua" w:hAnsi="Book Antiqua" w:cs="Arial"/>
        </w:rPr>
        <w:t xml:space="preserve"> Singh (“the sponsor”), a citizen of Germany, in the UK</w:t>
      </w:r>
      <w:r>
        <w:rPr>
          <w:rFonts w:ascii="Book Antiqua" w:hAnsi="Book Antiqua" w:cs="Arial"/>
        </w:rPr>
        <w:t xml:space="preserve">.  </w:t>
      </w:r>
    </w:p>
    <w:p w:rsidR="00970C17" w:rsidRDefault="00970C17" w:rsidP="00273201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</w:rPr>
      </w:pPr>
      <w:proofErr w:type="spellStart"/>
      <w:r>
        <w:rPr>
          <w:rFonts w:ascii="Book Antiqua" w:hAnsi="Book Antiqua" w:cs="Arial"/>
        </w:rPr>
        <w:lastRenderedPageBreak/>
        <w:t>Paramjeet</w:t>
      </w:r>
      <w:proofErr w:type="spellEnd"/>
      <w:r>
        <w:rPr>
          <w:rFonts w:ascii="Book Antiqua" w:hAnsi="Book Antiqua" w:cs="Arial"/>
        </w:rPr>
        <w:t xml:space="preserve"> Kaur sought a family permit </w:t>
      </w:r>
      <w:r w:rsidR="008A2195">
        <w:rPr>
          <w:rFonts w:ascii="Book Antiqua" w:hAnsi="Book Antiqua" w:cs="Arial"/>
        </w:rPr>
        <w:t xml:space="preserve">on the basis that she is the sponsor’s wife. </w:t>
      </w:r>
      <w:proofErr w:type="spellStart"/>
      <w:r>
        <w:rPr>
          <w:rFonts w:ascii="Book Antiqua" w:hAnsi="Book Antiqua" w:cs="Arial"/>
        </w:rPr>
        <w:t>Taranjeet</w:t>
      </w:r>
      <w:proofErr w:type="spellEnd"/>
      <w:r>
        <w:rPr>
          <w:rFonts w:ascii="Book Antiqua" w:hAnsi="Book Antiqua" w:cs="Arial"/>
        </w:rPr>
        <w:t xml:space="preserve"> Singh and </w:t>
      </w:r>
      <w:proofErr w:type="spellStart"/>
      <w:r>
        <w:rPr>
          <w:rFonts w:ascii="Book Antiqua" w:hAnsi="Book Antiqua" w:cs="Arial"/>
        </w:rPr>
        <w:t>Sharanjeet</w:t>
      </w:r>
      <w:proofErr w:type="spellEnd"/>
      <w:r>
        <w:rPr>
          <w:rFonts w:ascii="Book Antiqua" w:hAnsi="Book Antiqua" w:cs="Arial"/>
        </w:rPr>
        <w:t xml:space="preserve"> Singh sought an EEA family permit on the basis that they are the children of the sponsor.  The </w:t>
      </w:r>
      <w:r w:rsidR="008A2195">
        <w:rPr>
          <w:rFonts w:ascii="Book Antiqua" w:hAnsi="Book Antiqua" w:cs="Arial"/>
        </w:rPr>
        <w:t xml:space="preserve">ECO </w:t>
      </w:r>
      <w:r>
        <w:rPr>
          <w:rFonts w:ascii="Book Antiqua" w:hAnsi="Book Antiqua" w:cs="Arial"/>
        </w:rPr>
        <w:t>refused the applications</w:t>
      </w:r>
      <w:r w:rsidR="008A2195">
        <w:rPr>
          <w:rFonts w:ascii="Book Antiqua" w:hAnsi="Book Antiqua" w:cs="Arial"/>
        </w:rPr>
        <w:t xml:space="preserve"> on the basis that the claimants were not family members of the sponsor under</w:t>
      </w:r>
      <w:r w:rsidR="008A2195" w:rsidRPr="008A2195">
        <w:rPr>
          <w:rFonts w:ascii="Book Antiqua" w:hAnsi="Book Antiqua" w:cs="Arial"/>
        </w:rPr>
        <w:t xml:space="preserve"> </w:t>
      </w:r>
      <w:r w:rsidR="008A2195">
        <w:rPr>
          <w:rFonts w:ascii="Book Antiqua" w:hAnsi="Book Antiqua" w:cs="Arial"/>
        </w:rPr>
        <w:t xml:space="preserve">Regulation 7 of the Immigration (EEA) Regulations 2006. In the case of </w:t>
      </w:r>
      <w:proofErr w:type="spellStart"/>
      <w:r w:rsidR="008A2195">
        <w:rPr>
          <w:rFonts w:ascii="Book Antiqua" w:hAnsi="Book Antiqua" w:cs="Arial"/>
        </w:rPr>
        <w:t>Parmjeet</w:t>
      </w:r>
      <w:proofErr w:type="spellEnd"/>
      <w:r w:rsidR="008A2195">
        <w:rPr>
          <w:rFonts w:ascii="Book Antiqua" w:hAnsi="Book Antiqua" w:cs="Arial"/>
        </w:rPr>
        <w:t xml:space="preserve"> Kaur, </w:t>
      </w:r>
      <w:r>
        <w:rPr>
          <w:rFonts w:ascii="Book Antiqua" w:hAnsi="Book Antiqua" w:cs="Arial"/>
        </w:rPr>
        <w:t>it was considered that her marriage to the</w:t>
      </w:r>
      <w:r w:rsidR="008A2195">
        <w:rPr>
          <w:rFonts w:ascii="Book Antiqua" w:hAnsi="Book Antiqua" w:cs="Arial"/>
        </w:rPr>
        <w:t xml:space="preserve"> sponsor was one of convenience. In </w:t>
      </w:r>
      <w:r>
        <w:rPr>
          <w:rFonts w:ascii="Book Antiqua" w:hAnsi="Book Antiqua" w:cs="Arial"/>
        </w:rPr>
        <w:t xml:space="preserve">the case of </w:t>
      </w:r>
      <w:proofErr w:type="spellStart"/>
      <w:r>
        <w:rPr>
          <w:rFonts w:ascii="Book Antiqua" w:hAnsi="Book Antiqua" w:cs="Arial"/>
        </w:rPr>
        <w:t>Taranjee</w:t>
      </w:r>
      <w:r w:rsidR="008A2195">
        <w:rPr>
          <w:rFonts w:ascii="Book Antiqua" w:hAnsi="Book Antiqua" w:cs="Arial"/>
        </w:rPr>
        <w:t>t</w:t>
      </w:r>
      <w:proofErr w:type="spellEnd"/>
      <w:r w:rsidR="008A2195">
        <w:rPr>
          <w:rFonts w:ascii="Book Antiqua" w:hAnsi="Book Antiqua" w:cs="Arial"/>
        </w:rPr>
        <w:t xml:space="preserve"> Singh and </w:t>
      </w:r>
      <w:proofErr w:type="spellStart"/>
      <w:r w:rsidR="008A2195">
        <w:rPr>
          <w:rFonts w:ascii="Book Antiqua" w:hAnsi="Book Antiqua" w:cs="Arial"/>
        </w:rPr>
        <w:t>Sharanjeet</w:t>
      </w:r>
      <w:proofErr w:type="spellEnd"/>
      <w:r w:rsidR="008A2195">
        <w:rPr>
          <w:rFonts w:ascii="Book Antiqua" w:hAnsi="Book Antiqua" w:cs="Arial"/>
        </w:rPr>
        <w:t xml:space="preserve"> Singh,</w:t>
      </w:r>
      <w:r>
        <w:rPr>
          <w:rFonts w:ascii="Book Antiqua" w:hAnsi="Book Antiqua" w:cs="Arial"/>
        </w:rPr>
        <w:t xml:space="preserve"> it was not accepted that they were the children of the sponsor.  </w:t>
      </w:r>
    </w:p>
    <w:p w:rsidR="008A2195" w:rsidRDefault="008A2195" w:rsidP="00273201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claimants </w:t>
      </w:r>
      <w:r w:rsidR="00970C17">
        <w:rPr>
          <w:rFonts w:ascii="Book Antiqua" w:hAnsi="Book Antiqua" w:cs="Arial"/>
        </w:rPr>
        <w:t>appealed and their appeals came before Judge of the First-tier Tribunal Iqbal sitting at Hatton Cross.  Judge Iqbal</w:t>
      </w:r>
      <w:r>
        <w:rPr>
          <w:rFonts w:ascii="Book Antiqua" w:hAnsi="Book Antiqua" w:cs="Arial"/>
        </w:rPr>
        <w:t>,</w:t>
      </w:r>
      <w:r w:rsidR="00970C17">
        <w:rPr>
          <w:rFonts w:ascii="Book Antiqua" w:hAnsi="Book Antiqua" w:cs="Arial"/>
        </w:rPr>
        <w:t xml:space="preserve"> in a decision promulgated on 23 August 2017</w:t>
      </w:r>
      <w:r>
        <w:rPr>
          <w:rFonts w:ascii="Book Antiqua" w:hAnsi="Book Antiqua" w:cs="Arial"/>
        </w:rPr>
        <w:t>,</w:t>
      </w:r>
      <w:r w:rsidR="00970C17">
        <w:rPr>
          <w:rFonts w:ascii="Book Antiqua" w:hAnsi="Book Antiqua" w:cs="Arial"/>
        </w:rPr>
        <w:t xml:space="preserve"> allowed the appeals</w:t>
      </w:r>
      <w:r w:rsidR="00C74C92">
        <w:rPr>
          <w:rFonts w:ascii="Book Antiqua" w:hAnsi="Book Antiqua" w:cs="Arial"/>
        </w:rPr>
        <w:t xml:space="preserve">.  The appeal of </w:t>
      </w:r>
      <w:proofErr w:type="spellStart"/>
      <w:r w:rsidR="00C74C92">
        <w:rPr>
          <w:rFonts w:ascii="Book Antiqua" w:hAnsi="Book Antiqua" w:cs="Arial"/>
        </w:rPr>
        <w:t>Parmjeet</w:t>
      </w:r>
      <w:proofErr w:type="spellEnd"/>
      <w:r w:rsidR="00C74C92">
        <w:rPr>
          <w:rFonts w:ascii="Book Antiqua" w:hAnsi="Book Antiqua" w:cs="Arial"/>
        </w:rPr>
        <w:t xml:space="preserve"> Kaur was allowed on the basis that the marriage was not one of convenience.  The appeal of </w:t>
      </w:r>
      <w:proofErr w:type="spellStart"/>
      <w:r w:rsidR="00C74C92">
        <w:rPr>
          <w:rFonts w:ascii="Book Antiqua" w:hAnsi="Book Antiqua" w:cs="Arial"/>
        </w:rPr>
        <w:t>Sharanjeet</w:t>
      </w:r>
      <w:proofErr w:type="spellEnd"/>
      <w:r w:rsidR="00C74C92">
        <w:rPr>
          <w:rFonts w:ascii="Book Antiqua" w:hAnsi="Book Antiqua" w:cs="Arial"/>
        </w:rPr>
        <w:t xml:space="preserve"> Singh was allowed on the basis that the DNA evidence showed that the probability of</w:t>
      </w:r>
      <w:r>
        <w:rPr>
          <w:rFonts w:ascii="Book Antiqua" w:hAnsi="Book Antiqua" w:cs="Arial"/>
        </w:rPr>
        <w:t xml:space="preserve"> the sponsor being his biological father was virtually one hundred percent.</w:t>
      </w:r>
    </w:p>
    <w:p w:rsidR="00C74C92" w:rsidRDefault="00C74C92" w:rsidP="00273201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</w:rPr>
      </w:pPr>
      <w:r>
        <w:rPr>
          <w:rFonts w:ascii="Book Antiqua" w:hAnsi="Book Antiqua" w:cs="Arial"/>
        </w:rPr>
        <w:t>With</w:t>
      </w:r>
      <w:r w:rsidR="000F1216">
        <w:rPr>
          <w:rFonts w:ascii="Book Antiqua" w:hAnsi="Book Antiqua" w:cs="Arial"/>
        </w:rPr>
        <w:t xml:space="preserve"> respect to </w:t>
      </w:r>
      <w:proofErr w:type="spellStart"/>
      <w:r w:rsidR="000F1216">
        <w:rPr>
          <w:rFonts w:ascii="Book Antiqua" w:hAnsi="Book Antiqua" w:cs="Arial"/>
        </w:rPr>
        <w:t>Taranjeet</w:t>
      </w:r>
      <w:proofErr w:type="spellEnd"/>
      <w:r w:rsidR="000F1216">
        <w:rPr>
          <w:rFonts w:ascii="Book Antiqua" w:hAnsi="Book Antiqua" w:cs="Arial"/>
        </w:rPr>
        <w:t xml:space="preserve"> Singh, the judge found that on the balance of probabilities he was the biological child of the sponsor even though</w:t>
      </w:r>
      <w:r>
        <w:rPr>
          <w:rFonts w:ascii="Book Antiqua" w:hAnsi="Book Antiqua" w:cs="Arial"/>
        </w:rPr>
        <w:t xml:space="preserve"> </w:t>
      </w:r>
      <w:r w:rsidR="000F1216">
        <w:rPr>
          <w:rFonts w:ascii="Book Antiqua" w:hAnsi="Book Antiqua" w:cs="Arial"/>
        </w:rPr>
        <w:t>t</w:t>
      </w:r>
      <w:r>
        <w:rPr>
          <w:rFonts w:ascii="Book Antiqua" w:hAnsi="Book Antiqua" w:cs="Arial"/>
        </w:rPr>
        <w:t>wo DNA tests had been taken and neither demonstrated that there was a parental re</w:t>
      </w:r>
      <w:r w:rsidR="008A2195">
        <w:rPr>
          <w:rFonts w:ascii="Book Antiqua" w:hAnsi="Book Antiqua" w:cs="Arial"/>
        </w:rPr>
        <w:t>lationship between the sponsor and</w:t>
      </w:r>
      <w:r w:rsidR="008A2195" w:rsidRPr="008A2195">
        <w:rPr>
          <w:rFonts w:ascii="Book Antiqua" w:hAnsi="Book Antiqua" w:cs="Arial"/>
        </w:rPr>
        <w:t xml:space="preserve"> </w:t>
      </w:r>
      <w:proofErr w:type="spellStart"/>
      <w:r w:rsidR="008A2195">
        <w:rPr>
          <w:rFonts w:ascii="Book Antiqua" w:hAnsi="Book Antiqua" w:cs="Arial"/>
        </w:rPr>
        <w:t>Taranjeet</w:t>
      </w:r>
      <w:proofErr w:type="spellEnd"/>
      <w:r w:rsidR="008A2195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Singh.  </w:t>
      </w:r>
    </w:p>
    <w:p w:rsidR="00C74C92" w:rsidRDefault="00C74C92" w:rsidP="00273201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grounds of appeal only challenge the decision of Judge Iqbal in respect of </w:t>
      </w:r>
      <w:proofErr w:type="spellStart"/>
      <w:r>
        <w:rPr>
          <w:rFonts w:ascii="Book Antiqua" w:hAnsi="Book Antiqua" w:cs="Arial"/>
        </w:rPr>
        <w:t>Taranjeet</w:t>
      </w:r>
      <w:proofErr w:type="spellEnd"/>
      <w:r>
        <w:rPr>
          <w:rFonts w:ascii="Book Antiqua" w:hAnsi="Book Antiqua" w:cs="Arial"/>
        </w:rPr>
        <w:t xml:space="preserve"> Singh.  The grounds argue that it was not open to the judge to conclude that </w:t>
      </w:r>
      <w:proofErr w:type="spellStart"/>
      <w:r>
        <w:rPr>
          <w:rFonts w:ascii="Book Antiqua" w:hAnsi="Book Antiqua" w:cs="Arial"/>
        </w:rPr>
        <w:t>Taranjeet</w:t>
      </w:r>
      <w:proofErr w:type="spellEnd"/>
      <w:r>
        <w:rPr>
          <w:rFonts w:ascii="Book Antiqua" w:hAnsi="Book Antiqua" w:cs="Arial"/>
        </w:rPr>
        <w:t xml:space="preserve"> S</w:t>
      </w:r>
      <w:r w:rsidR="000F1216">
        <w:rPr>
          <w:rFonts w:ascii="Book Antiqua" w:hAnsi="Book Antiqua" w:cs="Arial"/>
        </w:rPr>
        <w:t xml:space="preserve">ingh is the son of the sponsor </w:t>
      </w:r>
      <w:r>
        <w:rPr>
          <w:rFonts w:ascii="Book Antiqua" w:hAnsi="Book Antiqua" w:cs="Arial"/>
        </w:rPr>
        <w:t xml:space="preserve">given the DNA evidence.  </w:t>
      </w:r>
    </w:p>
    <w:p w:rsidR="00C74C92" w:rsidRDefault="00C74C92" w:rsidP="00273201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</w:rPr>
      </w:pPr>
      <w:r>
        <w:rPr>
          <w:rFonts w:ascii="Book Antiqua" w:hAnsi="Book Antiqua" w:cs="Arial"/>
        </w:rPr>
        <w:t>Before me</w:t>
      </w:r>
      <w:r w:rsidR="00F7356D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Ms Kiss reiterated the argument made in the grounds and referred to the report on the DNA evidence where amongst other things it is stated that </w:t>
      </w:r>
      <w:r w:rsidR="00B13BA5">
        <w:rPr>
          <w:rFonts w:ascii="Book Antiqua" w:hAnsi="Book Antiqua" w:cs="Arial"/>
        </w:rPr>
        <w:t>no genetic material ha</w:t>
      </w:r>
      <w:r w:rsidR="000F1216">
        <w:rPr>
          <w:rFonts w:ascii="Book Antiqua" w:hAnsi="Book Antiqua" w:cs="Arial"/>
        </w:rPr>
        <w:t>d</w:t>
      </w:r>
      <w:r w:rsidR="00F7356D">
        <w:rPr>
          <w:rFonts w:ascii="Book Antiqua" w:hAnsi="Book Antiqua" w:cs="Arial"/>
        </w:rPr>
        <w:t xml:space="preserve"> been found in common between the sponsor</w:t>
      </w:r>
      <w:r w:rsidR="00B13BA5">
        <w:rPr>
          <w:rFonts w:ascii="Book Antiqua" w:hAnsi="Book Antiqua" w:cs="Arial"/>
        </w:rPr>
        <w:t xml:space="preserve"> and </w:t>
      </w:r>
      <w:proofErr w:type="spellStart"/>
      <w:r w:rsidR="00B13BA5">
        <w:rPr>
          <w:rFonts w:ascii="Book Antiqua" w:hAnsi="Book Antiqua" w:cs="Arial"/>
        </w:rPr>
        <w:t>Taranjeet</w:t>
      </w:r>
      <w:proofErr w:type="spellEnd"/>
      <w:r w:rsidR="00B13BA5">
        <w:rPr>
          <w:rFonts w:ascii="Book Antiqua" w:hAnsi="Book Antiqua" w:cs="Arial"/>
        </w:rPr>
        <w:t xml:space="preserve"> Singh although it is acknowledged that there could have been a rare genetic change.  She argued that the possibility of a rare genetic change is not sufficient to overcome the clear evidence that the DNA shows that </w:t>
      </w:r>
      <w:proofErr w:type="spellStart"/>
      <w:r w:rsidR="00B13BA5">
        <w:rPr>
          <w:rFonts w:ascii="Book Antiqua" w:hAnsi="Book Antiqua" w:cs="Arial"/>
        </w:rPr>
        <w:t>Taranjeet</w:t>
      </w:r>
      <w:proofErr w:type="spellEnd"/>
      <w:r w:rsidR="00B13BA5">
        <w:rPr>
          <w:rFonts w:ascii="Book Antiqua" w:hAnsi="Book Antiqua" w:cs="Arial"/>
        </w:rPr>
        <w:t xml:space="preserve"> Singh is not the biological son of</w:t>
      </w:r>
      <w:r w:rsidR="00F7356D">
        <w:rPr>
          <w:rFonts w:ascii="Book Antiqua" w:hAnsi="Book Antiqua" w:cs="Arial"/>
        </w:rPr>
        <w:t xml:space="preserve"> the sponsor</w:t>
      </w:r>
      <w:r w:rsidR="00B13BA5">
        <w:rPr>
          <w:rFonts w:ascii="Book Antiqua" w:hAnsi="Book Antiqua" w:cs="Arial"/>
        </w:rPr>
        <w:t>.</w:t>
      </w:r>
    </w:p>
    <w:p w:rsidR="009A3A0C" w:rsidRDefault="009A3A0C" w:rsidP="00273201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Ms Sharma did not seek to persuade me that the judge’s </w:t>
      </w:r>
      <w:r w:rsidR="00F7356D">
        <w:rPr>
          <w:rFonts w:ascii="Book Antiqua" w:hAnsi="Book Antiqua" w:cs="Arial"/>
        </w:rPr>
        <w:t>analysis of the DNA evidence could</w:t>
      </w:r>
      <w:r>
        <w:rPr>
          <w:rFonts w:ascii="Book Antiqua" w:hAnsi="Book Antiqua" w:cs="Arial"/>
        </w:rPr>
        <w:t xml:space="preserve"> withstand scrutiny.  Instead, she argued that even if the judge erred in this regard the outcome necessarily would be the same because the judge was r</w:t>
      </w:r>
      <w:r w:rsidR="00F7356D">
        <w:rPr>
          <w:rFonts w:ascii="Book Antiqua" w:hAnsi="Book Antiqua" w:cs="Arial"/>
        </w:rPr>
        <w:t xml:space="preserve">equired to apply Regulation 7(1)(b) </w:t>
      </w:r>
      <w:r>
        <w:rPr>
          <w:rFonts w:ascii="Book Antiqua" w:hAnsi="Book Antiqua" w:cs="Arial"/>
        </w:rPr>
        <w:t xml:space="preserve">of the Immigration (European Economic Area) Regulations 2006.  This </w:t>
      </w:r>
      <w:r w:rsidR="00F7356D">
        <w:rPr>
          <w:rFonts w:ascii="Book Antiqua" w:hAnsi="Book Antiqua" w:cs="Arial"/>
        </w:rPr>
        <w:t>provides:</w:t>
      </w:r>
    </w:p>
    <w:p w:rsidR="009A3A0C" w:rsidRPr="007933F7" w:rsidRDefault="009A3A0C" w:rsidP="009A3A0C">
      <w:pPr>
        <w:spacing w:before="240"/>
        <w:ind w:left="1134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</w:rPr>
        <w:t>“</w:t>
      </w:r>
      <w:r w:rsidRPr="007933F7">
        <w:rPr>
          <w:rFonts w:ascii="Book Antiqua" w:hAnsi="Book Antiqua" w:cs="Arial"/>
          <w:sz w:val="22"/>
          <w:szCs w:val="22"/>
        </w:rPr>
        <w:t>7(1) Subje</w:t>
      </w:r>
      <w:r w:rsidR="00F7356D">
        <w:rPr>
          <w:rFonts w:ascii="Book Antiqua" w:hAnsi="Book Antiqua" w:cs="Arial"/>
          <w:sz w:val="22"/>
          <w:szCs w:val="22"/>
        </w:rPr>
        <w:t>ct to paragraph 2, f</w:t>
      </w:r>
      <w:r w:rsidRPr="007933F7">
        <w:rPr>
          <w:rFonts w:ascii="Book Antiqua" w:hAnsi="Book Antiqua" w:cs="Arial"/>
          <w:sz w:val="22"/>
          <w:szCs w:val="22"/>
        </w:rPr>
        <w:t>or the purposes of these Regulations the following persons shall be treated as the family members of another person:</w:t>
      </w:r>
    </w:p>
    <w:p w:rsidR="009A3A0C" w:rsidRPr="007933F7" w:rsidRDefault="009A3A0C" w:rsidP="009A3A0C">
      <w:pPr>
        <w:spacing w:before="240"/>
        <w:ind w:left="1701" w:hanging="567"/>
        <w:rPr>
          <w:rFonts w:ascii="Book Antiqua" w:hAnsi="Book Antiqua" w:cs="Arial"/>
          <w:sz w:val="22"/>
          <w:szCs w:val="22"/>
        </w:rPr>
      </w:pPr>
      <w:r w:rsidRPr="007933F7">
        <w:rPr>
          <w:rFonts w:ascii="Book Antiqua" w:hAnsi="Book Antiqua" w:cs="Arial"/>
          <w:sz w:val="22"/>
          <w:szCs w:val="22"/>
        </w:rPr>
        <w:t>(a)</w:t>
      </w:r>
      <w:r w:rsidRPr="007933F7">
        <w:rPr>
          <w:rFonts w:ascii="Book Antiqua" w:hAnsi="Book Antiqua" w:cs="Arial"/>
          <w:sz w:val="22"/>
          <w:szCs w:val="22"/>
        </w:rPr>
        <w:tab/>
        <w:t>his spouse or his civil partner;</w:t>
      </w:r>
    </w:p>
    <w:p w:rsidR="009A3A0C" w:rsidRPr="007933F7" w:rsidRDefault="009A3A0C" w:rsidP="009A3A0C">
      <w:pPr>
        <w:spacing w:before="240"/>
        <w:ind w:left="1701" w:hanging="567"/>
        <w:rPr>
          <w:rFonts w:ascii="Book Antiqua" w:hAnsi="Book Antiqua" w:cs="Arial"/>
          <w:sz w:val="22"/>
          <w:szCs w:val="22"/>
        </w:rPr>
      </w:pPr>
      <w:r w:rsidRPr="007933F7">
        <w:rPr>
          <w:rFonts w:ascii="Book Antiqua" w:hAnsi="Book Antiqua" w:cs="Arial"/>
          <w:sz w:val="22"/>
          <w:szCs w:val="22"/>
        </w:rPr>
        <w:t>(b)</w:t>
      </w:r>
      <w:r w:rsidRPr="007933F7">
        <w:rPr>
          <w:rFonts w:ascii="Book Antiqua" w:hAnsi="Book Antiqua" w:cs="Arial"/>
          <w:sz w:val="22"/>
          <w:szCs w:val="22"/>
        </w:rPr>
        <w:tab/>
        <w:t xml:space="preserve">direct descendants of his, his spouse or his civil partner who are </w:t>
      </w:r>
    </w:p>
    <w:p w:rsidR="009A3A0C" w:rsidRPr="007933F7" w:rsidRDefault="009A3A0C" w:rsidP="009A3A0C">
      <w:pPr>
        <w:spacing w:before="240"/>
        <w:ind w:left="2268" w:hanging="567"/>
        <w:rPr>
          <w:rFonts w:ascii="Book Antiqua" w:hAnsi="Book Antiqua" w:cs="Arial"/>
          <w:sz w:val="22"/>
          <w:szCs w:val="22"/>
        </w:rPr>
      </w:pPr>
      <w:r w:rsidRPr="007933F7">
        <w:rPr>
          <w:rFonts w:ascii="Book Antiqua" w:hAnsi="Book Antiqua" w:cs="Arial"/>
          <w:sz w:val="22"/>
          <w:szCs w:val="22"/>
        </w:rPr>
        <w:t>(</w:t>
      </w:r>
      <w:proofErr w:type="spellStart"/>
      <w:r w:rsidRPr="007933F7">
        <w:rPr>
          <w:rFonts w:ascii="Book Antiqua" w:hAnsi="Book Antiqua" w:cs="Arial"/>
          <w:sz w:val="22"/>
          <w:szCs w:val="22"/>
        </w:rPr>
        <w:t>i</w:t>
      </w:r>
      <w:proofErr w:type="spellEnd"/>
      <w:r w:rsidRPr="007933F7">
        <w:rPr>
          <w:rFonts w:ascii="Book Antiqua" w:hAnsi="Book Antiqua" w:cs="Arial"/>
          <w:sz w:val="22"/>
          <w:szCs w:val="22"/>
        </w:rPr>
        <w:t>)</w:t>
      </w:r>
      <w:r w:rsidRPr="007933F7">
        <w:rPr>
          <w:rFonts w:ascii="Book Antiqua" w:hAnsi="Book Antiqua" w:cs="Arial"/>
          <w:sz w:val="22"/>
          <w:szCs w:val="22"/>
        </w:rPr>
        <w:tab/>
        <w:t>under 21, or</w:t>
      </w:r>
    </w:p>
    <w:p w:rsidR="009A3A0C" w:rsidRDefault="009A3A0C" w:rsidP="009A3A0C">
      <w:pPr>
        <w:spacing w:before="240"/>
        <w:ind w:left="2268" w:hanging="567"/>
        <w:rPr>
          <w:rFonts w:ascii="Book Antiqua" w:hAnsi="Book Antiqua" w:cs="Arial"/>
        </w:rPr>
      </w:pPr>
      <w:r w:rsidRPr="007933F7">
        <w:rPr>
          <w:rFonts w:ascii="Book Antiqua" w:hAnsi="Book Antiqua" w:cs="Arial"/>
          <w:sz w:val="22"/>
          <w:szCs w:val="22"/>
        </w:rPr>
        <w:t>(ii)</w:t>
      </w:r>
      <w:r w:rsidRPr="007933F7">
        <w:rPr>
          <w:rFonts w:ascii="Book Antiqua" w:hAnsi="Book Antiqua" w:cs="Arial"/>
          <w:sz w:val="22"/>
          <w:szCs w:val="22"/>
        </w:rPr>
        <w:tab/>
        <w:t>dependants of his, his spouse or his civil partner</w:t>
      </w:r>
      <w:r>
        <w:rPr>
          <w:rFonts w:ascii="Book Antiqua" w:hAnsi="Book Antiqua" w:cs="Arial"/>
        </w:rPr>
        <w:t>.”</w:t>
      </w:r>
    </w:p>
    <w:p w:rsidR="009A3A0C" w:rsidRDefault="009A3A0C" w:rsidP="00273201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Ms Sharma noted that the DNA evidence</w:t>
      </w:r>
      <w:r w:rsidR="00F7356D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whilst finding that there was no evidence of </w:t>
      </w:r>
      <w:r w:rsidR="00F7356D">
        <w:rPr>
          <w:rFonts w:ascii="Book Antiqua" w:hAnsi="Book Antiqua" w:cs="Arial"/>
        </w:rPr>
        <w:t xml:space="preserve">the sponsor’s paternity, showed </w:t>
      </w:r>
      <w:r>
        <w:rPr>
          <w:rFonts w:ascii="Book Antiqua" w:hAnsi="Book Antiqua" w:cs="Arial"/>
        </w:rPr>
        <w:t xml:space="preserve">there to be a 99.99% probability of </w:t>
      </w:r>
      <w:proofErr w:type="spellStart"/>
      <w:r>
        <w:rPr>
          <w:rFonts w:ascii="Book Antiqua" w:hAnsi="Book Antiqua" w:cs="Arial"/>
        </w:rPr>
        <w:t>Taranjeet</w:t>
      </w:r>
      <w:proofErr w:type="spellEnd"/>
      <w:r>
        <w:rPr>
          <w:rFonts w:ascii="Book Antiqua" w:hAnsi="Book Antiqua" w:cs="Arial"/>
        </w:rPr>
        <w:t xml:space="preserve"> Singh being the son of </w:t>
      </w:r>
      <w:proofErr w:type="spellStart"/>
      <w:r>
        <w:rPr>
          <w:rFonts w:ascii="Book Antiqua" w:hAnsi="Book Antiqua" w:cs="Arial"/>
        </w:rPr>
        <w:t>Parmjeet</w:t>
      </w:r>
      <w:proofErr w:type="spellEnd"/>
      <w:r>
        <w:rPr>
          <w:rFonts w:ascii="Book Antiqua" w:hAnsi="Book Antiqua" w:cs="Arial"/>
        </w:rPr>
        <w:t xml:space="preserve"> Kaur, </w:t>
      </w:r>
      <w:r w:rsidR="00F7356D">
        <w:rPr>
          <w:rFonts w:ascii="Book Antiqua" w:hAnsi="Book Antiqua" w:cs="Arial"/>
        </w:rPr>
        <w:t>the sponsor’s spouse. She argued that</w:t>
      </w:r>
      <w:r w:rsidR="00F7356D" w:rsidRPr="00F7356D">
        <w:rPr>
          <w:rFonts w:ascii="Book Antiqua" w:hAnsi="Book Antiqua" w:cs="Arial"/>
        </w:rPr>
        <w:t xml:space="preserve"> </w:t>
      </w:r>
      <w:proofErr w:type="spellStart"/>
      <w:r w:rsidR="00F7356D">
        <w:rPr>
          <w:rFonts w:ascii="Book Antiqua" w:hAnsi="Book Antiqua" w:cs="Arial"/>
        </w:rPr>
        <w:t>Taranjeet</w:t>
      </w:r>
      <w:proofErr w:type="spellEnd"/>
      <w:r w:rsidR="00F7356D">
        <w:rPr>
          <w:rFonts w:ascii="Book Antiqua" w:hAnsi="Book Antiqua" w:cs="Arial"/>
        </w:rPr>
        <w:t xml:space="preserve"> Singh is a family member under Regulation 7(1)(b) because he is a direct descendent of the sponsor’s spouse.</w:t>
      </w:r>
    </w:p>
    <w:p w:rsidR="00F7356D" w:rsidRDefault="00F7356D" w:rsidP="00273201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</w:t>
      </w:r>
      <w:r w:rsidR="009A3A0C">
        <w:rPr>
          <w:rFonts w:ascii="Book Antiqua" w:hAnsi="Book Antiqua" w:cs="Arial"/>
        </w:rPr>
        <w:t xml:space="preserve">judge has made a clear error of law in the approach to the DNA evidence.  The DNA evidence establishes that it is very unlikely that </w:t>
      </w:r>
      <w:proofErr w:type="spellStart"/>
      <w:r w:rsidR="009A3A0C">
        <w:rPr>
          <w:rFonts w:ascii="Book Antiqua" w:hAnsi="Book Antiqua" w:cs="Arial"/>
        </w:rPr>
        <w:t>Taranjeet</w:t>
      </w:r>
      <w:proofErr w:type="spellEnd"/>
      <w:r w:rsidR="009A3A0C">
        <w:rPr>
          <w:rFonts w:ascii="Book Antiqua" w:hAnsi="Book Antiqua" w:cs="Arial"/>
        </w:rPr>
        <w:t xml:space="preserve"> Singh is the biological son of</w:t>
      </w:r>
      <w:r>
        <w:rPr>
          <w:rFonts w:ascii="Book Antiqua" w:hAnsi="Book Antiqua" w:cs="Arial"/>
        </w:rPr>
        <w:t xml:space="preserve"> the sponsor</w:t>
      </w:r>
      <w:r w:rsidR="009A3A0C">
        <w:rPr>
          <w:rFonts w:ascii="Book Antiqua" w:hAnsi="Book Antiqua" w:cs="Arial"/>
        </w:rPr>
        <w:t xml:space="preserve">.  Accordingly, </w:t>
      </w:r>
      <w:r w:rsidR="0048202C">
        <w:rPr>
          <w:rFonts w:ascii="Book Antiqua" w:hAnsi="Book Antiqua" w:cs="Arial"/>
        </w:rPr>
        <w:t xml:space="preserve">as argued by Ms Kiss and to an extent acknowledged by Ms Sharma, it was not open to the judge to conclude that </w:t>
      </w:r>
      <w:proofErr w:type="spellStart"/>
      <w:r w:rsidR="0048202C">
        <w:rPr>
          <w:rFonts w:ascii="Book Antiqua" w:hAnsi="Book Antiqua" w:cs="Arial"/>
        </w:rPr>
        <w:t>Taranjeet</w:t>
      </w:r>
      <w:proofErr w:type="spellEnd"/>
      <w:r w:rsidR="0048202C">
        <w:rPr>
          <w:rFonts w:ascii="Book Antiqua" w:hAnsi="Book Antiqua" w:cs="Arial"/>
        </w:rPr>
        <w:t xml:space="preserve"> Singh is a family member of </w:t>
      </w:r>
      <w:r>
        <w:rPr>
          <w:rFonts w:ascii="Book Antiqua" w:hAnsi="Book Antiqua" w:cs="Arial"/>
        </w:rPr>
        <w:t xml:space="preserve">the sponsor </w:t>
      </w:r>
      <w:r w:rsidR="0048202C">
        <w:rPr>
          <w:rFonts w:ascii="Book Antiqua" w:hAnsi="Book Antiqua" w:cs="Arial"/>
        </w:rPr>
        <w:t xml:space="preserve">as a consequence of the relationship between the two of them.  </w:t>
      </w:r>
    </w:p>
    <w:p w:rsidR="00861B40" w:rsidRPr="00861B40" w:rsidRDefault="0048202C" w:rsidP="00861B40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However, as argued by Ms Sharma, </w:t>
      </w:r>
      <w:proofErr w:type="spellStart"/>
      <w:r>
        <w:rPr>
          <w:rFonts w:ascii="Book Antiqua" w:hAnsi="Book Antiqua" w:cs="Arial"/>
        </w:rPr>
        <w:t>Taranjeet</w:t>
      </w:r>
      <w:proofErr w:type="spellEnd"/>
      <w:r>
        <w:rPr>
          <w:rFonts w:ascii="Book Antiqua" w:hAnsi="Book Antiqua" w:cs="Arial"/>
        </w:rPr>
        <w:t xml:space="preserve"> Singh’s relationship to </w:t>
      </w:r>
      <w:r w:rsidR="00F7356D">
        <w:rPr>
          <w:rFonts w:ascii="Book Antiqua" w:hAnsi="Book Antiqua" w:cs="Arial"/>
        </w:rPr>
        <w:t xml:space="preserve">the sponsor </w:t>
      </w:r>
      <w:r>
        <w:rPr>
          <w:rFonts w:ascii="Book Antiqua" w:hAnsi="Book Antiqua" w:cs="Arial"/>
        </w:rPr>
        <w:t>is not the only route by which he can fall within the category of a family member under Regulation 7 of the Immigration (EEA) Regul</w:t>
      </w:r>
      <w:r w:rsidR="003609B8">
        <w:rPr>
          <w:rFonts w:ascii="Book Antiqua" w:hAnsi="Book Antiqua" w:cs="Arial"/>
        </w:rPr>
        <w:t xml:space="preserve">ations 2006. </w:t>
      </w:r>
      <w:r w:rsidR="00F7356D">
        <w:rPr>
          <w:rFonts w:ascii="Book Antiqua" w:hAnsi="Book Antiqua" w:cs="Arial"/>
        </w:rPr>
        <w:t>Regulation 7 provides</w:t>
      </w:r>
      <w:r w:rsidR="000F1216">
        <w:rPr>
          <w:rFonts w:ascii="Book Antiqua" w:hAnsi="Book Antiqua" w:cs="Arial"/>
        </w:rPr>
        <w:t>, inter alia,</w:t>
      </w:r>
      <w:r w:rsidR="00F7356D">
        <w:rPr>
          <w:rFonts w:ascii="Book Antiqua" w:hAnsi="Book Antiqua" w:cs="Arial"/>
        </w:rPr>
        <w:t xml:space="preserve"> that a person shall be treated as a family member if he is a direct descendent of a person’s spouse. There is clear DNA evidence that </w:t>
      </w:r>
      <w:proofErr w:type="spellStart"/>
      <w:r w:rsidR="00F7356D">
        <w:rPr>
          <w:rFonts w:ascii="Book Antiqua" w:hAnsi="Book Antiqua" w:cs="Arial"/>
        </w:rPr>
        <w:t>Parmjeet</w:t>
      </w:r>
      <w:proofErr w:type="spellEnd"/>
      <w:r w:rsidR="00F7356D">
        <w:rPr>
          <w:rFonts w:ascii="Book Antiqua" w:hAnsi="Book Antiqua" w:cs="Arial"/>
        </w:rPr>
        <w:t xml:space="preserve"> Kaur is</w:t>
      </w:r>
      <w:r w:rsidR="00F7356D" w:rsidRPr="00F7356D">
        <w:rPr>
          <w:rFonts w:ascii="Book Antiqua" w:hAnsi="Book Antiqua" w:cs="Arial"/>
        </w:rPr>
        <w:t xml:space="preserve"> </w:t>
      </w:r>
      <w:proofErr w:type="spellStart"/>
      <w:r w:rsidR="00F7356D">
        <w:rPr>
          <w:rFonts w:ascii="Book Antiqua" w:hAnsi="Book Antiqua" w:cs="Arial"/>
        </w:rPr>
        <w:t>Taranjeet</w:t>
      </w:r>
      <w:proofErr w:type="spellEnd"/>
      <w:r w:rsidR="00F7356D">
        <w:rPr>
          <w:rFonts w:ascii="Book Antiqua" w:hAnsi="Book Antiqua" w:cs="Arial"/>
        </w:rPr>
        <w:t xml:space="preserve"> Singh’s mother and the judge’s finding that she is the sponsor’s wife has not been challenged. Accordingly</w:t>
      </w:r>
      <w:r w:rsidR="00861B40">
        <w:rPr>
          <w:rFonts w:ascii="Book Antiqua" w:hAnsi="Book Antiqua" w:cs="Arial"/>
        </w:rPr>
        <w:t>,</w:t>
      </w:r>
      <w:r w:rsidR="00861B40" w:rsidRPr="00861B40">
        <w:rPr>
          <w:rFonts w:ascii="Book Antiqua" w:hAnsi="Book Antiqua" w:cs="Arial"/>
        </w:rPr>
        <w:t xml:space="preserve"> </w:t>
      </w:r>
      <w:proofErr w:type="spellStart"/>
      <w:r w:rsidR="00861B40">
        <w:rPr>
          <w:rFonts w:ascii="Book Antiqua" w:hAnsi="Book Antiqua" w:cs="Arial"/>
        </w:rPr>
        <w:t>Taranjeet</w:t>
      </w:r>
      <w:proofErr w:type="spellEnd"/>
      <w:r w:rsidR="00861B40">
        <w:rPr>
          <w:rFonts w:ascii="Book Antiqua" w:hAnsi="Book Antiqua" w:cs="Arial"/>
        </w:rPr>
        <w:t xml:space="preserve"> Singh satisfies the requirement under Regulation 7 </w:t>
      </w:r>
      <w:r w:rsidR="000F1216">
        <w:rPr>
          <w:rFonts w:ascii="Book Antiqua" w:hAnsi="Book Antiqua" w:cs="Arial"/>
        </w:rPr>
        <w:t xml:space="preserve">of being the </w:t>
      </w:r>
      <w:r w:rsidR="00861B40">
        <w:rPr>
          <w:rFonts w:ascii="Book Antiqua" w:hAnsi="Book Antiqua" w:cs="Arial"/>
        </w:rPr>
        <w:t>direct descendent of the sponsor’s spouse.</w:t>
      </w:r>
      <w:r w:rsidR="000F1216">
        <w:rPr>
          <w:rFonts w:ascii="Book Antiqua" w:hAnsi="Book Antiqua" w:cs="Arial"/>
        </w:rPr>
        <w:t xml:space="preserve"> </w:t>
      </w:r>
      <w:r w:rsidR="00861B40" w:rsidRPr="00861B40">
        <w:rPr>
          <w:rFonts w:ascii="Book Antiqua" w:hAnsi="Book Antiqua" w:cs="Arial"/>
        </w:rPr>
        <w:t>The remaining question under</w:t>
      </w:r>
      <w:r w:rsidR="00861B40">
        <w:rPr>
          <w:rFonts w:ascii="Book Antiqua" w:hAnsi="Book Antiqua" w:cs="Arial"/>
        </w:rPr>
        <w:t xml:space="preserve"> R</w:t>
      </w:r>
      <w:r w:rsidR="00861B40" w:rsidRPr="00861B40">
        <w:rPr>
          <w:rFonts w:ascii="Book Antiqua" w:hAnsi="Book Antiqua" w:cs="Arial"/>
        </w:rPr>
        <w:t xml:space="preserve">egulation 7 is whether </w:t>
      </w:r>
      <w:proofErr w:type="spellStart"/>
      <w:r w:rsidR="00861B40" w:rsidRPr="00861B40">
        <w:rPr>
          <w:rFonts w:ascii="Book Antiqua" w:hAnsi="Book Antiqua" w:cs="Arial"/>
        </w:rPr>
        <w:t>Taranjeet</w:t>
      </w:r>
      <w:proofErr w:type="spellEnd"/>
      <w:r w:rsidR="00861B40" w:rsidRPr="00861B40">
        <w:rPr>
          <w:rFonts w:ascii="Book Antiqua" w:hAnsi="Book Antiqua" w:cs="Arial"/>
        </w:rPr>
        <w:t xml:space="preserve"> Singh is under 21 or a dependent. At the time of the First-tier Tribunal hearing he was under 21.</w:t>
      </w:r>
    </w:p>
    <w:p w:rsidR="009A3A0C" w:rsidRDefault="000F1216" w:rsidP="00273201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</w:rPr>
      </w:pPr>
      <w:r>
        <w:rPr>
          <w:rFonts w:ascii="Book Antiqua" w:hAnsi="Book Antiqua" w:cs="Arial"/>
        </w:rPr>
        <w:t>A</w:t>
      </w:r>
      <w:r w:rsidR="003609B8">
        <w:rPr>
          <w:rFonts w:ascii="Book Antiqua" w:hAnsi="Book Antiqua" w:cs="Arial"/>
        </w:rPr>
        <w:t>lthough the judge erred in respect of his analysis of the</w:t>
      </w:r>
      <w:r>
        <w:rPr>
          <w:rFonts w:ascii="Book Antiqua" w:hAnsi="Book Antiqua" w:cs="Arial"/>
        </w:rPr>
        <w:t xml:space="preserve"> biological</w:t>
      </w:r>
      <w:r w:rsidR="003609B8">
        <w:rPr>
          <w:rFonts w:ascii="Book Antiqua" w:hAnsi="Book Antiqua" w:cs="Arial"/>
        </w:rPr>
        <w:t xml:space="preserve"> relationship between </w:t>
      </w:r>
      <w:r w:rsidR="00861B40">
        <w:rPr>
          <w:rFonts w:ascii="Book Antiqua" w:hAnsi="Book Antiqua" w:cs="Arial"/>
        </w:rPr>
        <w:t xml:space="preserve">the sponsor </w:t>
      </w:r>
      <w:r w:rsidR="003609B8">
        <w:rPr>
          <w:rFonts w:ascii="Book Antiqua" w:hAnsi="Book Antiqua" w:cs="Arial"/>
        </w:rPr>
        <w:t xml:space="preserve">and </w:t>
      </w:r>
      <w:proofErr w:type="spellStart"/>
      <w:r w:rsidR="003609B8">
        <w:rPr>
          <w:rFonts w:ascii="Book Antiqua" w:hAnsi="Book Antiqua" w:cs="Arial"/>
        </w:rPr>
        <w:t>Taranjeet</w:t>
      </w:r>
      <w:proofErr w:type="spellEnd"/>
      <w:r w:rsidR="003609B8">
        <w:rPr>
          <w:rFonts w:ascii="Book Antiqua" w:hAnsi="Book Antiqua" w:cs="Arial"/>
        </w:rPr>
        <w:t xml:space="preserve"> Singh</w:t>
      </w:r>
      <w:r w:rsidR="00861B40">
        <w:rPr>
          <w:rFonts w:ascii="Book Antiqua" w:hAnsi="Book Antiqua" w:cs="Arial"/>
        </w:rPr>
        <w:t>,</w:t>
      </w:r>
      <w:r w:rsidR="003609B8">
        <w:rPr>
          <w:rFonts w:ascii="Book Antiqua" w:hAnsi="Book Antiqua" w:cs="Arial"/>
        </w:rPr>
        <w:t xml:space="preserve"> the error was not material </w:t>
      </w:r>
      <w:r w:rsidR="00861B40">
        <w:rPr>
          <w:rFonts w:ascii="Book Antiqua" w:hAnsi="Book Antiqua" w:cs="Arial"/>
        </w:rPr>
        <w:t xml:space="preserve">because, </w:t>
      </w:r>
      <w:proofErr w:type="gramStart"/>
      <w:r w:rsidR="00861B40">
        <w:rPr>
          <w:rFonts w:ascii="Book Antiqua" w:hAnsi="Book Antiqua" w:cs="Arial"/>
        </w:rPr>
        <w:t>in light of</w:t>
      </w:r>
      <w:proofErr w:type="gramEnd"/>
      <w:r w:rsidR="00861B40">
        <w:rPr>
          <w:rFonts w:ascii="Book Antiqua" w:hAnsi="Book Antiqua" w:cs="Arial"/>
        </w:rPr>
        <w:t xml:space="preserve"> his unchallenged finding</w:t>
      </w:r>
      <w:r w:rsidR="003609B8">
        <w:rPr>
          <w:rFonts w:ascii="Book Antiqua" w:hAnsi="Book Antiqua" w:cs="Arial"/>
        </w:rPr>
        <w:t xml:space="preserve"> </w:t>
      </w:r>
      <w:r w:rsidR="00861B40">
        <w:rPr>
          <w:rFonts w:ascii="Book Antiqua" w:hAnsi="Book Antiqua" w:cs="Arial"/>
        </w:rPr>
        <w:t xml:space="preserve">that the </w:t>
      </w:r>
      <w:r>
        <w:rPr>
          <w:rFonts w:ascii="Book Antiqua" w:hAnsi="Book Antiqua" w:cs="Arial"/>
        </w:rPr>
        <w:t xml:space="preserve">marriage of </w:t>
      </w:r>
      <w:proofErr w:type="spellStart"/>
      <w:r w:rsidR="003609B8">
        <w:rPr>
          <w:rFonts w:ascii="Book Antiqua" w:hAnsi="Book Antiqua" w:cs="Arial"/>
        </w:rPr>
        <w:t>Parmjeet</w:t>
      </w:r>
      <w:proofErr w:type="spellEnd"/>
      <w:r w:rsidR="003609B8">
        <w:rPr>
          <w:rFonts w:ascii="Book Antiqua" w:hAnsi="Book Antiqua" w:cs="Arial"/>
        </w:rPr>
        <w:t xml:space="preserve"> Kaur and </w:t>
      </w:r>
      <w:r w:rsidR="00861B40">
        <w:rPr>
          <w:rFonts w:ascii="Book Antiqua" w:hAnsi="Book Antiqua" w:cs="Arial"/>
        </w:rPr>
        <w:t xml:space="preserve">the sponsor was not a marriage of convenience, </w:t>
      </w:r>
      <w:r w:rsidR="003609B8">
        <w:rPr>
          <w:rFonts w:ascii="Book Antiqua" w:hAnsi="Book Antiqua" w:cs="Arial"/>
        </w:rPr>
        <w:t xml:space="preserve">the appeal </w:t>
      </w:r>
      <w:r w:rsidR="00861B40">
        <w:rPr>
          <w:rFonts w:ascii="Book Antiqua" w:hAnsi="Book Antiqua" w:cs="Arial"/>
        </w:rPr>
        <w:t xml:space="preserve">by </w:t>
      </w:r>
      <w:proofErr w:type="spellStart"/>
      <w:r w:rsidR="00861B40">
        <w:rPr>
          <w:rFonts w:ascii="Book Antiqua" w:hAnsi="Book Antiqua" w:cs="Arial"/>
        </w:rPr>
        <w:t>Taranjeet</w:t>
      </w:r>
      <w:proofErr w:type="spellEnd"/>
      <w:r w:rsidR="00861B40">
        <w:rPr>
          <w:rFonts w:ascii="Book Antiqua" w:hAnsi="Book Antiqua" w:cs="Arial"/>
        </w:rPr>
        <w:t xml:space="preserve"> Singh should </w:t>
      </w:r>
      <w:r w:rsidR="003609B8">
        <w:rPr>
          <w:rFonts w:ascii="Book Antiqua" w:hAnsi="Book Antiqua" w:cs="Arial"/>
        </w:rPr>
        <w:t xml:space="preserve">have been allowed on the basis </w:t>
      </w:r>
      <w:r w:rsidR="00861B40">
        <w:rPr>
          <w:rFonts w:ascii="Book Antiqua" w:hAnsi="Book Antiqua" w:cs="Arial"/>
        </w:rPr>
        <w:t xml:space="preserve">that </w:t>
      </w:r>
      <w:r>
        <w:rPr>
          <w:rFonts w:ascii="Book Antiqua" w:hAnsi="Book Antiqua" w:cs="Arial"/>
        </w:rPr>
        <w:t xml:space="preserve">he </w:t>
      </w:r>
      <w:r w:rsidR="00861B40">
        <w:rPr>
          <w:rFonts w:ascii="Book Antiqua" w:hAnsi="Book Antiqua" w:cs="Arial"/>
        </w:rPr>
        <w:t xml:space="preserve">was a direct descendent under the age of 21 of the sponsor’s spouse </w:t>
      </w:r>
      <w:r>
        <w:rPr>
          <w:rFonts w:ascii="Book Antiqua" w:hAnsi="Book Antiqua" w:cs="Arial"/>
        </w:rPr>
        <w:t>and therefore satisfied the requirements of R</w:t>
      </w:r>
      <w:r w:rsidR="00861B40">
        <w:rPr>
          <w:rFonts w:ascii="Book Antiqua" w:hAnsi="Book Antiqua" w:cs="Arial"/>
        </w:rPr>
        <w:t>egulation 7(1)(b)(</w:t>
      </w:r>
      <w:proofErr w:type="spellStart"/>
      <w:r w:rsidR="00861B40">
        <w:rPr>
          <w:rFonts w:ascii="Book Antiqua" w:hAnsi="Book Antiqua" w:cs="Arial"/>
        </w:rPr>
        <w:t>i</w:t>
      </w:r>
      <w:proofErr w:type="spellEnd"/>
      <w:r w:rsidR="00861B40">
        <w:rPr>
          <w:rFonts w:ascii="Book Antiqua" w:hAnsi="Book Antiqua" w:cs="Arial"/>
        </w:rPr>
        <w:t>)</w:t>
      </w:r>
      <w:r w:rsidR="003609B8">
        <w:rPr>
          <w:rFonts w:ascii="Book Antiqua" w:hAnsi="Book Antiqua" w:cs="Arial"/>
        </w:rPr>
        <w:t>.</w:t>
      </w:r>
    </w:p>
    <w:p w:rsidR="003609B8" w:rsidRDefault="003609B8" w:rsidP="00273201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 note for the avoidance of doubt that the decision of the First-tier Tribunal in respect of </w:t>
      </w:r>
      <w:proofErr w:type="spellStart"/>
      <w:r>
        <w:rPr>
          <w:rFonts w:ascii="Book Antiqua" w:hAnsi="Book Antiqua" w:cs="Arial"/>
        </w:rPr>
        <w:t>Parmj</w:t>
      </w:r>
      <w:r w:rsidR="00861B40">
        <w:rPr>
          <w:rFonts w:ascii="Book Antiqua" w:hAnsi="Book Antiqua" w:cs="Arial"/>
        </w:rPr>
        <w:t>eet</w:t>
      </w:r>
      <w:proofErr w:type="spellEnd"/>
      <w:r w:rsidR="00861B40">
        <w:rPr>
          <w:rFonts w:ascii="Book Antiqua" w:hAnsi="Book Antiqua" w:cs="Arial"/>
        </w:rPr>
        <w:t xml:space="preserve"> Kaur and </w:t>
      </w:r>
      <w:proofErr w:type="spellStart"/>
      <w:r w:rsidR="00861B40">
        <w:rPr>
          <w:rFonts w:ascii="Book Antiqua" w:hAnsi="Book Antiqua" w:cs="Arial"/>
        </w:rPr>
        <w:t>Sharanjeet</w:t>
      </w:r>
      <w:proofErr w:type="spellEnd"/>
      <w:r>
        <w:rPr>
          <w:rFonts w:ascii="Book Antiqua" w:hAnsi="Book Antiqua" w:cs="Arial"/>
        </w:rPr>
        <w:t xml:space="preserve"> Singh was not challenged </w:t>
      </w:r>
      <w:r w:rsidR="00861B40">
        <w:rPr>
          <w:rFonts w:ascii="Book Antiqua" w:hAnsi="Book Antiqua" w:cs="Arial"/>
        </w:rPr>
        <w:t xml:space="preserve">and therefore stands. </w:t>
      </w:r>
    </w:p>
    <w:p w:rsidR="00D949B7" w:rsidRPr="003609B8" w:rsidRDefault="003609B8" w:rsidP="003609B8">
      <w:pPr>
        <w:spacing w:before="240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Notice</w:t>
      </w:r>
      <w:r w:rsidR="00D949B7" w:rsidRPr="00D949B7">
        <w:rPr>
          <w:rFonts w:ascii="Book Antiqua" w:hAnsi="Book Antiqua" w:cs="Arial"/>
          <w:b/>
          <w:u w:val="single"/>
        </w:rPr>
        <w:t xml:space="preserve"> of Decision</w:t>
      </w:r>
    </w:p>
    <w:p w:rsidR="00861B40" w:rsidRPr="00861B40" w:rsidRDefault="00861B40" w:rsidP="003609B8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</w:rPr>
        <w:t>The appeal of the ECO is dismissed.</w:t>
      </w:r>
    </w:p>
    <w:p w:rsidR="003609B8" w:rsidRPr="00D949B7" w:rsidRDefault="00861B40" w:rsidP="003609B8">
      <w:pPr>
        <w:numPr>
          <w:ilvl w:val="0"/>
          <w:numId w:val="1"/>
        </w:numPr>
        <w:tabs>
          <w:tab w:val="clear" w:pos="567"/>
        </w:tabs>
        <w:spacing w:before="240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</w:rPr>
        <w:t xml:space="preserve">The </w:t>
      </w:r>
      <w:r w:rsidR="003609B8">
        <w:rPr>
          <w:rFonts w:ascii="Book Antiqua" w:hAnsi="Book Antiqua" w:cs="Arial"/>
        </w:rPr>
        <w:t xml:space="preserve">decision of the First-tier Tribunal </w:t>
      </w:r>
      <w:r>
        <w:rPr>
          <w:rFonts w:ascii="Book Antiqua" w:hAnsi="Book Antiqua" w:cs="Arial"/>
        </w:rPr>
        <w:t>does not contain a material error of law and stands</w:t>
      </w:r>
      <w:r w:rsidR="005B7D0F">
        <w:rPr>
          <w:rFonts w:ascii="Book Antiqua" w:hAnsi="Book Antiqua" w:cs="Arial"/>
        </w:rPr>
        <w:t>.</w:t>
      </w:r>
    </w:p>
    <w:p w:rsidR="00D949B7" w:rsidRPr="00D949B7" w:rsidRDefault="00D949B7" w:rsidP="00273201">
      <w:pPr>
        <w:rPr>
          <w:rFonts w:ascii="Book Antiqua" w:hAnsi="Book Antiqua" w:cs="Arial"/>
        </w:rPr>
      </w:pPr>
    </w:p>
    <w:p w:rsidR="00D949B7" w:rsidRPr="00D949B7" w:rsidRDefault="00D949B7" w:rsidP="00273201">
      <w:pPr>
        <w:rPr>
          <w:rFonts w:ascii="Book Antiqua" w:hAnsi="Book Antiqua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00"/>
        <w:gridCol w:w="322"/>
        <w:gridCol w:w="518"/>
        <w:gridCol w:w="3698"/>
      </w:tblGrid>
      <w:tr w:rsidR="005B7D0F" w:rsidRPr="00647F2A" w:rsidTr="00C8680C">
        <w:trPr>
          <w:trHeight w:val="277"/>
        </w:trPr>
        <w:tc>
          <w:tcPr>
            <w:tcW w:w="5100" w:type="dxa"/>
          </w:tcPr>
          <w:p w:rsidR="005B7D0F" w:rsidRDefault="005B7D0F" w:rsidP="00A8297D">
            <w:pPr>
              <w:tabs>
                <w:tab w:val="left" w:pos="2520"/>
              </w:tabs>
              <w:rPr>
                <w:rFonts w:ascii="Book Antiqua" w:hAnsi="Book Antiqua"/>
                <w:color w:val="000000"/>
              </w:rPr>
            </w:pPr>
          </w:p>
          <w:p w:rsidR="005B7D0F" w:rsidRDefault="005B7D0F" w:rsidP="00A8297D">
            <w:pPr>
              <w:tabs>
                <w:tab w:val="left" w:pos="2520"/>
              </w:tabs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Signed</w:t>
            </w:r>
          </w:p>
          <w:p w:rsidR="005B7D0F" w:rsidRPr="00647F2A" w:rsidRDefault="005B7D0F" w:rsidP="00A8297D">
            <w:pPr>
              <w:tabs>
                <w:tab w:val="left" w:pos="2520"/>
              </w:tabs>
              <w:rPr>
                <w:rFonts w:ascii="Book Antiqua" w:hAnsi="Book Antiqua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166370</wp:posOffset>
                  </wp:positionV>
                  <wp:extent cx="1482090" cy="323215"/>
                  <wp:effectExtent l="19050" t="0" r="3810" b="0"/>
                  <wp:wrapNone/>
                  <wp:docPr id="3" name="In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k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090" cy="32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B7D0F" w:rsidRPr="00647F2A" w:rsidRDefault="005B7D0F" w:rsidP="00A8297D">
            <w:pPr>
              <w:tabs>
                <w:tab w:val="left" w:pos="2520"/>
              </w:tabs>
              <w:rPr>
                <w:rFonts w:ascii="Book Antiqua" w:hAnsi="Book Antiqua"/>
                <w:color w:val="000000"/>
              </w:rPr>
            </w:pPr>
            <w:bookmarkStart w:id="0" w:name="_GoBack"/>
            <w:bookmarkEnd w:id="0"/>
          </w:p>
        </w:tc>
        <w:tc>
          <w:tcPr>
            <w:tcW w:w="322" w:type="dxa"/>
          </w:tcPr>
          <w:p w:rsidR="005B7D0F" w:rsidRPr="00647F2A" w:rsidRDefault="005B7D0F" w:rsidP="00A8297D">
            <w:pPr>
              <w:jc w:val="center"/>
              <w:rPr>
                <w:rFonts w:ascii="Book Antiqua" w:hAnsi="Book Antiqua"/>
                <w:color w:val="000000"/>
              </w:rPr>
            </w:pPr>
          </w:p>
          <w:p w:rsidR="005B7D0F" w:rsidRPr="00647F2A" w:rsidRDefault="005B7D0F" w:rsidP="00A8297D">
            <w:pPr>
              <w:jc w:val="center"/>
              <w:rPr>
                <w:rFonts w:ascii="Book Antiqua" w:hAnsi="Book Antiqua"/>
                <w:color w:val="000000"/>
              </w:rPr>
            </w:pPr>
          </w:p>
        </w:tc>
        <w:tc>
          <w:tcPr>
            <w:tcW w:w="518" w:type="dxa"/>
          </w:tcPr>
          <w:p w:rsidR="005B7D0F" w:rsidRPr="00647F2A" w:rsidRDefault="005B7D0F" w:rsidP="00A8297D">
            <w:pPr>
              <w:jc w:val="center"/>
              <w:rPr>
                <w:rFonts w:ascii="Book Antiqua" w:hAnsi="Book Antiqua"/>
                <w:color w:val="000000"/>
              </w:rPr>
            </w:pPr>
          </w:p>
        </w:tc>
        <w:tc>
          <w:tcPr>
            <w:tcW w:w="3698" w:type="dxa"/>
          </w:tcPr>
          <w:p w:rsidR="005B7D0F" w:rsidRPr="00647F2A" w:rsidRDefault="005B7D0F" w:rsidP="00A8297D">
            <w:pPr>
              <w:jc w:val="center"/>
              <w:rPr>
                <w:rFonts w:ascii="Book Antiqua" w:hAnsi="Book Antiqua"/>
                <w:color w:val="000000"/>
              </w:rPr>
            </w:pPr>
          </w:p>
        </w:tc>
      </w:tr>
    </w:tbl>
    <w:p w:rsidR="00B95326" w:rsidRPr="009B7433" w:rsidRDefault="00B9532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sectPr w:rsidR="00B95326" w:rsidRPr="009B7433" w:rsidSect="00C8680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09" w:right="1134" w:bottom="127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56D" w:rsidRDefault="00F7356D">
      <w:r>
        <w:separator/>
      </w:r>
    </w:p>
  </w:endnote>
  <w:endnote w:type="continuationSeparator" w:id="0">
    <w:p w:rsidR="00F7356D" w:rsidRDefault="00F73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56D" w:rsidRPr="00C8680C" w:rsidRDefault="00F7356D" w:rsidP="00593795">
    <w:pPr>
      <w:pStyle w:val="Footer"/>
      <w:jc w:val="center"/>
      <w:rPr>
        <w:rFonts w:ascii="Book Antiqua" w:hAnsi="Book Antiqua" w:cs="Arial"/>
      </w:rPr>
    </w:pPr>
    <w:r w:rsidRPr="00C8680C">
      <w:rPr>
        <w:rStyle w:val="PageNumber"/>
        <w:rFonts w:ascii="Book Antiqua" w:hAnsi="Book Antiqua" w:cs="Arial"/>
      </w:rPr>
      <w:fldChar w:fldCharType="begin"/>
    </w:r>
    <w:r w:rsidRPr="00C8680C">
      <w:rPr>
        <w:rStyle w:val="PageNumber"/>
        <w:rFonts w:ascii="Book Antiqua" w:hAnsi="Book Antiqua" w:cs="Arial"/>
      </w:rPr>
      <w:instrText xml:space="preserve"> PAGE </w:instrText>
    </w:r>
    <w:r w:rsidRPr="00C8680C">
      <w:rPr>
        <w:rStyle w:val="PageNumber"/>
        <w:rFonts w:ascii="Book Antiqua" w:hAnsi="Book Antiqua" w:cs="Arial"/>
      </w:rPr>
      <w:fldChar w:fldCharType="separate"/>
    </w:r>
    <w:r w:rsidR="00733624">
      <w:rPr>
        <w:rStyle w:val="PageNumber"/>
        <w:rFonts w:ascii="Book Antiqua" w:hAnsi="Book Antiqua" w:cs="Arial"/>
        <w:noProof/>
      </w:rPr>
      <w:t>3</w:t>
    </w:r>
    <w:r w:rsidRPr="00C8680C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56D" w:rsidRPr="009B7433" w:rsidRDefault="00F7356D" w:rsidP="004B70D7">
    <w:pPr>
      <w:jc w:val="center"/>
      <w:rPr>
        <w:rFonts w:ascii="Book Antiqua" w:hAnsi="Book Antiqua" w:cs="Arial"/>
        <w:b/>
      </w:rPr>
    </w:pPr>
    <w:r w:rsidRPr="009B7433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56D" w:rsidRDefault="00F7356D">
      <w:r>
        <w:separator/>
      </w:r>
    </w:p>
  </w:footnote>
  <w:footnote w:type="continuationSeparator" w:id="0">
    <w:p w:rsidR="00F7356D" w:rsidRDefault="00F73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56D" w:rsidRDefault="00F7356D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9B7433">
      <w:rPr>
        <w:rFonts w:ascii="Book Antiqua" w:hAnsi="Book Antiqua" w:cs="Arial"/>
        <w:sz w:val="16"/>
        <w:szCs w:val="16"/>
      </w:rPr>
      <w:t>Appeal Number</w:t>
    </w:r>
    <w:r>
      <w:rPr>
        <w:rFonts w:ascii="Book Antiqua" w:hAnsi="Book Antiqua" w:cs="Arial"/>
        <w:sz w:val="16"/>
        <w:szCs w:val="16"/>
      </w:rPr>
      <w:t>s</w:t>
    </w:r>
    <w:r w:rsidRPr="009B7433">
      <w:rPr>
        <w:rFonts w:ascii="Book Antiqua" w:hAnsi="Book Antiqua" w:cs="Arial"/>
        <w:sz w:val="16"/>
        <w:szCs w:val="16"/>
      </w:rPr>
      <w:t>:</w:t>
    </w:r>
    <w:r>
      <w:rPr>
        <w:rFonts w:ascii="Book Antiqua" w:hAnsi="Book Antiqua" w:cs="Arial"/>
        <w:sz w:val="16"/>
        <w:szCs w:val="16"/>
      </w:rPr>
      <w:t xml:space="preserve"> EA/09917/2016</w:t>
    </w:r>
  </w:p>
  <w:p w:rsidR="00F7356D" w:rsidRDefault="00F7356D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>EA/09922/2016</w:t>
    </w:r>
  </w:p>
  <w:p w:rsidR="00F7356D" w:rsidRDefault="00F7356D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>EA/09919/2016</w:t>
    </w:r>
    <w:r w:rsidRPr="009B7433">
      <w:rPr>
        <w:rFonts w:ascii="Book Antiqua" w:hAnsi="Book Antiqua" w:cs="Arial"/>
        <w:sz w:val="16"/>
        <w:szCs w:val="16"/>
      </w:rPr>
      <w:t xml:space="preserve"> </w:t>
    </w:r>
  </w:p>
  <w:p w:rsidR="00C8680C" w:rsidRPr="009B7433" w:rsidRDefault="00C8680C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56D" w:rsidRPr="009B7433" w:rsidRDefault="00F7356D">
    <w:pPr>
      <w:pStyle w:val="Header"/>
      <w:rPr>
        <w:rFonts w:ascii="Book Antiqua" w:hAnsi="Book Antiqua"/>
      </w:rPr>
    </w:pPr>
    <w:r w:rsidRPr="009B743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A2A5D"/>
    <w:multiLevelType w:val="multilevel"/>
    <w:tmpl w:val="167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CB1666"/>
    <w:multiLevelType w:val="multilevel"/>
    <w:tmpl w:val="0D0A82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1877753-3AFD-493B-A033-DBEB9AAF1172}"/>
    <w:docVar w:name="dgnword-eventsink" w:val="134808192"/>
  </w:docVars>
  <w:rsids>
    <w:rsidRoot w:val="008E1F04"/>
    <w:rsid w:val="00000621"/>
    <w:rsid w:val="000036C2"/>
    <w:rsid w:val="00016C1A"/>
    <w:rsid w:val="00033588"/>
    <w:rsid w:val="00033D3D"/>
    <w:rsid w:val="0004776F"/>
    <w:rsid w:val="00052895"/>
    <w:rsid w:val="00062F02"/>
    <w:rsid w:val="00066DE1"/>
    <w:rsid w:val="00071A7E"/>
    <w:rsid w:val="000746C0"/>
    <w:rsid w:val="00074D1D"/>
    <w:rsid w:val="00092580"/>
    <w:rsid w:val="00093D4D"/>
    <w:rsid w:val="000A0743"/>
    <w:rsid w:val="000B55D3"/>
    <w:rsid w:val="000D5D94"/>
    <w:rsid w:val="000F1216"/>
    <w:rsid w:val="000F1A0E"/>
    <w:rsid w:val="001165A7"/>
    <w:rsid w:val="00147161"/>
    <w:rsid w:val="0016508E"/>
    <w:rsid w:val="00167D3A"/>
    <w:rsid w:val="00173F50"/>
    <w:rsid w:val="00185986"/>
    <w:rsid w:val="001A3082"/>
    <w:rsid w:val="001B186A"/>
    <w:rsid w:val="001B2F75"/>
    <w:rsid w:val="001B79D5"/>
    <w:rsid w:val="001C6F5F"/>
    <w:rsid w:val="001D6167"/>
    <w:rsid w:val="001F2716"/>
    <w:rsid w:val="001F3AC0"/>
    <w:rsid w:val="00207617"/>
    <w:rsid w:val="0023134B"/>
    <w:rsid w:val="00273201"/>
    <w:rsid w:val="00283659"/>
    <w:rsid w:val="002C6BD4"/>
    <w:rsid w:val="002D68BF"/>
    <w:rsid w:val="002E4541"/>
    <w:rsid w:val="002F6B98"/>
    <w:rsid w:val="00336CBF"/>
    <w:rsid w:val="00343FE3"/>
    <w:rsid w:val="003546C8"/>
    <w:rsid w:val="003609B8"/>
    <w:rsid w:val="0037777D"/>
    <w:rsid w:val="003825D4"/>
    <w:rsid w:val="003A7CF2"/>
    <w:rsid w:val="003C5CE5"/>
    <w:rsid w:val="003D25F1"/>
    <w:rsid w:val="003D60DD"/>
    <w:rsid w:val="003D6FAD"/>
    <w:rsid w:val="003E267B"/>
    <w:rsid w:val="003E7CD1"/>
    <w:rsid w:val="00402B9E"/>
    <w:rsid w:val="004249CB"/>
    <w:rsid w:val="0044127D"/>
    <w:rsid w:val="004448DB"/>
    <w:rsid w:val="00446C9A"/>
    <w:rsid w:val="00446F1E"/>
    <w:rsid w:val="00452F2B"/>
    <w:rsid w:val="00477193"/>
    <w:rsid w:val="0048202C"/>
    <w:rsid w:val="004A1848"/>
    <w:rsid w:val="004A2D15"/>
    <w:rsid w:val="004A534C"/>
    <w:rsid w:val="004A6F4A"/>
    <w:rsid w:val="004B70D7"/>
    <w:rsid w:val="004D6B45"/>
    <w:rsid w:val="004E4717"/>
    <w:rsid w:val="004F2676"/>
    <w:rsid w:val="00507FEC"/>
    <w:rsid w:val="00510F0E"/>
    <w:rsid w:val="005479E1"/>
    <w:rsid w:val="00553028"/>
    <w:rsid w:val="00553E0A"/>
    <w:rsid w:val="005570FD"/>
    <w:rsid w:val="005575EA"/>
    <w:rsid w:val="0056209F"/>
    <w:rsid w:val="0057790C"/>
    <w:rsid w:val="00586B20"/>
    <w:rsid w:val="00593795"/>
    <w:rsid w:val="005A75FF"/>
    <w:rsid w:val="005B70C8"/>
    <w:rsid w:val="005B7D0F"/>
    <w:rsid w:val="005D10AB"/>
    <w:rsid w:val="00601D8F"/>
    <w:rsid w:val="00605582"/>
    <w:rsid w:val="00611F34"/>
    <w:rsid w:val="00621FE8"/>
    <w:rsid w:val="006434B6"/>
    <w:rsid w:val="00653E97"/>
    <w:rsid w:val="006667DB"/>
    <w:rsid w:val="00684A74"/>
    <w:rsid w:val="0068620A"/>
    <w:rsid w:val="00690B8A"/>
    <w:rsid w:val="006A69CE"/>
    <w:rsid w:val="006C2FB8"/>
    <w:rsid w:val="006F2CF1"/>
    <w:rsid w:val="007038ED"/>
    <w:rsid w:val="00703BC3"/>
    <w:rsid w:val="00704B61"/>
    <w:rsid w:val="00715A64"/>
    <w:rsid w:val="007217D8"/>
    <w:rsid w:val="00733624"/>
    <w:rsid w:val="00740C1F"/>
    <w:rsid w:val="007552A9"/>
    <w:rsid w:val="0075658A"/>
    <w:rsid w:val="00761858"/>
    <w:rsid w:val="00767D59"/>
    <w:rsid w:val="00776E97"/>
    <w:rsid w:val="00780F86"/>
    <w:rsid w:val="007845C5"/>
    <w:rsid w:val="007912AD"/>
    <w:rsid w:val="007933F7"/>
    <w:rsid w:val="007B0824"/>
    <w:rsid w:val="007B5D3C"/>
    <w:rsid w:val="00815011"/>
    <w:rsid w:val="00821B72"/>
    <w:rsid w:val="0082229E"/>
    <w:rsid w:val="00823EF2"/>
    <w:rsid w:val="008303B8"/>
    <w:rsid w:val="00833DCE"/>
    <w:rsid w:val="00833E86"/>
    <w:rsid w:val="00861B40"/>
    <w:rsid w:val="00871D34"/>
    <w:rsid w:val="00883636"/>
    <w:rsid w:val="00895C08"/>
    <w:rsid w:val="008A2195"/>
    <w:rsid w:val="008A25EC"/>
    <w:rsid w:val="008A6059"/>
    <w:rsid w:val="008B17FF"/>
    <w:rsid w:val="008B270C"/>
    <w:rsid w:val="008B5078"/>
    <w:rsid w:val="008B55ED"/>
    <w:rsid w:val="008C3D3D"/>
    <w:rsid w:val="008D4131"/>
    <w:rsid w:val="008E1F04"/>
    <w:rsid w:val="008F1932"/>
    <w:rsid w:val="0090151B"/>
    <w:rsid w:val="009042A9"/>
    <w:rsid w:val="00914480"/>
    <w:rsid w:val="00921062"/>
    <w:rsid w:val="00936004"/>
    <w:rsid w:val="00946765"/>
    <w:rsid w:val="00970C17"/>
    <w:rsid w:val="009722BC"/>
    <w:rsid w:val="009727A3"/>
    <w:rsid w:val="00987774"/>
    <w:rsid w:val="009A11E8"/>
    <w:rsid w:val="009A3A0C"/>
    <w:rsid w:val="009B7433"/>
    <w:rsid w:val="009C57C8"/>
    <w:rsid w:val="009D348A"/>
    <w:rsid w:val="009F5220"/>
    <w:rsid w:val="00A07919"/>
    <w:rsid w:val="00A15234"/>
    <w:rsid w:val="00A172F5"/>
    <w:rsid w:val="00A201AB"/>
    <w:rsid w:val="00A31C8B"/>
    <w:rsid w:val="00A509FA"/>
    <w:rsid w:val="00A845DC"/>
    <w:rsid w:val="00B13BA5"/>
    <w:rsid w:val="00B26AA2"/>
    <w:rsid w:val="00B3524D"/>
    <w:rsid w:val="00B40F69"/>
    <w:rsid w:val="00B46616"/>
    <w:rsid w:val="00B528BB"/>
    <w:rsid w:val="00B54DDB"/>
    <w:rsid w:val="00B7040A"/>
    <w:rsid w:val="00B83391"/>
    <w:rsid w:val="00B95326"/>
    <w:rsid w:val="00BD4196"/>
    <w:rsid w:val="00BF22CA"/>
    <w:rsid w:val="00BF23BB"/>
    <w:rsid w:val="00C26032"/>
    <w:rsid w:val="00C345E1"/>
    <w:rsid w:val="00C43BFD"/>
    <w:rsid w:val="00C6048A"/>
    <w:rsid w:val="00C71F3C"/>
    <w:rsid w:val="00C74C92"/>
    <w:rsid w:val="00C8680C"/>
    <w:rsid w:val="00CB6E35"/>
    <w:rsid w:val="00CE09B1"/>
    <w:rsid w:val="00CE1A46"/>
    <w:rsid w:val="00D05EA6"/>
    <w:rsid w:val="00D20757"/>
    <w:rsid w:val="00D22636"/>
    <w:rsid w:val="00D40FD9"/>
    <w:rsid w:val="00D53769"/>
    <w:rsid w:val="00D6602D"/>
    <w:rsid w:val="00D85C13"/>
    <w:rsid w:val="00D9111A"/>
    <w:rsid w:val="00D91BE3"/>
    <w:rsid w:val="00D949B7"/>
    <w:rsid w:val="00D94AFC"/>
    <w:rsid w:val="00DA7C12"/>
    <w:rsid w:val="00DB70AE"/>
    <w:rsid w:val="00DC05B3"/>
    <w:rsid w:val="00DD5071"/>
    <w:rsid w:val="00DD5C39"/>
    <w:rsid w:val="00DE7DB7"/>
    <w:rsid w:val="00E00A0A"/>
    <w:rsid w:val="00E05AD9"/>
    <w:rsid w:val="00E066DE"/>
    <w:rsid w:val="00E07F57"/>
    <w:rsid w:val="00E30683"/>
    <w:rsid w:val="00E42107"/>
    <w:rsid w:val="00E453D8"/>
    <w:rsid w:val="00E50BCE"/>
    <w:rsid w:val="00E574BF"/>
    <w:rsid w:val="00E61292"/>
    <w:rsid w:val="00E77C4D"/>
    <w:rsid w:val="00E81D01"/>
    <w:rsid w:val="00EB485A"/>
    <w:rsid w:val="00EE45D8"/>
    <w:rsid w:val="00F22EDA"/>
    <w:rsid w:val="00F40176"/>
    <w:rsid w:val="00F470D6"/>
    <w:rsid w:val="00F5589A"/>
    <w:rsid w:val="00F630D8"/>
    <w:rsid w:val="00F7356D"/>
    <w:rsid w:val="00F7728C"/>
    <w:rsid w:val="00FC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7169"/>
    <o:shapelayout v:ext="edit">
      <o:idmap v:ext="edit" data="1"/>
    </o:shapelayout>
  </w:shapeDefaults>
  <w:decimalSymbol w:val="."/>
  <w:listSeparator w:val=","/>
  <w14:docId w14:val="5D69F4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194449-0371-4F58-93F5-7B2B9088E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1041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2018-07-19T15:59:00Z</dcterms:created>
  <dcterms:modified xsi:type="dcterms:W3CDTF">2018-07-19T16:00:00Z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