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94835" w:rsidP="00C321B5">
      <w:pPr>
        <w:jc w:val="center"/>
        <w:rPr>
          <w:rFonts w:ascii="Book Antiqua" w:hAnsi="Book Antiqua" w:cs="Arial"/>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94835">
        <w:rPr>
          <w:rFonts w:ascii="Book Antiqua" w:hAnsi="Book Antiqua" w:cs="Arial"/>
          <w:caps/>
        </w:rPr>
        <w:t>EA/10257/2016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794835">
              <w:rPr>
                <w:rFonts w:ascii="Book Antiqua" w:hAnsi="Book Antiqua" w:cs="Arial"/>
                <w:b/>
              </w:rPr>
              <w:t>Liverpool</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86CA9">
              <w:rPr>
                <w:rFonts w:ascii="Book Antiqua" w:hAnsi="Book Antiqua" w:cs="Arial"/>
                <w:b/>
              </w:rPr>
              <w:t>30</w:t>
            </w:r>
            <w:r w:rsidR="00794835" w:rsidRPr="00794835">
              <w:rPr>
                <w:rFonts w:ascii="Book Antiqua" w:hAnsi="Book Antiqua" w:cs="Arial"/>
                <w:b/>
                <w:vertAlign w:val="superscript"/>
              </w:rPr>
              <w:t>th</w:t>
            </w:r>
            <w:r w:rsidR="00794835">
              <w:rPr>
                <w:rFonts w:ascii="Book Antiqua" w:hAnsi="Book Antiqua" w:cs="Arial"/>
                <w:b/>
              </w:rPr>
              <w:t xml:space="preserve"> April 2018</w:t>
            </w:r>
          </w:p>
        </w:tc>
        <w:tc>
          <w:tcPr>
            <w:tcW w:w="3960" w:type="dxa"/>
          </w:tcPr>
          <w:p w:rsidR="00D22636" w:rsidRPr="00F5664C" w:rsidRDefault="0038601C" w:rsidP="004A1848">
            <w:pPr>
              <w:jc w:val="both"/>
              <w:rPr>
                <w:rFonts w:ascii="Book Antiqua" w:hAnsi="Book Antiqua" w:cs="Arial"/>
                <w:b/>
              </w:rPr>
            </w:pPr>
            <w:r>
              <w:rPr>
                <w:rFonts w:ascii="Book Antiqua" w:hAnsi="Book Antiqua" w:cs="Arial"/>
                <w:b/>
              </w:rPr>
              <w:t>On 15</w:t>
            </w:r>
            <w:r w:rsidRPr="0038601C">
              <w:rPr>
                <w:rFonts w:ascii="Book Antiqua" w:hAnsi="Book Antiqua" w:cs="Arial"/>
                <w:b/>
                <w:vertAlign w:val="superscript"/>
              </w:rPr>
              <w:t>th</w:t>
            </w:r>
            <w:r>
              <w:rPr>
                <w:rFonts w:ascii="Book Antiqua" w:hAnsi="Book Antiqua" w:cs="Arial"/>
                <w:b/>
              </w:rPr>
              <w:t xml:space="preserve"> May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1A1E2C" w:rsidRPr="00F5664C" w:rsidRDefault="001A1E2C" w:rsidP="00794835">
      <w:pP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794835" w:rsidP="00742A8D">
      <w:pPr>
        <w:jc w:val="center"/>
        <w:rPr>
          <w:rFonts w:ascii="Book Antiqua" w:hAnsi="Book Antiqua" w:cs="Arial"/>
          <w:b/>
          <w:caps/>
        </w:rPr>
      </w:pPr>
      <w:r w:rsidRPr="00794835">
        <w:rPr>
          <w:rFonts w:ascii="Book Antiqua" w:hAnsi="Book Antiqua" w:cs="Arial"/>
          <w:b/>
          <w:caps/>
        </w:rPr>
        <w:t>Desrene Andrea</w:t>
      </w:r>
      <w:r>
        <w:rPr>
          <w:rFonts w:ascii="Book Antiqua" w:hAnsi="Book Antiqua" w:cs="Arial"/>
          <w:b/>
          <w:caps/>
        </w:rPr>
        <w:t xml:space="preserve"> </w:t>
      </w:r>
      <w:r w:rsidRPr="00794835">
        <w:rPr>
          <w:rFonts w:ascii="Book Antiqua" w:hAnsi="Book Antiqua" w:cs="Arial"/>
          <w:b/>
          <w:caps/>
        </w:rPr>
        <w:t>Edwards</w:t>
      </w:r>
    </w:p>
    <w:p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794835">
        <w:rPr>
          <w:rFonts w:ascii="Book Antiqua" w:hAnsi="Book Antiqua" w:cs="Arial"/>
          <w:b/>
          <w:caps/>
        </w:rPr>
        <w:t>not made</w:t>
      </w:r>
      <w:r w:rsidRPr="00F13D39">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4F41FB">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94835">
        <w:rPr>
          <w:rFonts w:ascii="Book Antiqua" w:hAnsi="Book Antiqua" w:cs="Arial"/>
        </w:rPr>
        <w:t xml:space="preserve">Mr A </w:t>
      </w:r>
      <w:proofErr w:type="spellStart"/>
      <w:r w:rsidR="00794835">
        <w:rPr>
          <w:rFonts w:ascii="Book Antiqua" w:hAnsi="Book Antiqua" w:cs="Arial"/>
        </w:rPr>
        <w:t>Osadebe</w:t>
      </w:r>
      <w:proofErr w:type="spellEnd"/>
      <w:r w:rsidR="00794835">
        <w:rPr>
          <w:rFonts w:ascii="Book Antiqua" w:hAnsi="Book Antiqua" w:cs="Arial"/>
        </w:rPr>
        <w:t xml:space="preserve"> of </w:t>
      </w:r>
      <w:proofErr w:type="spellStart"/>
      <w:r w:rsidR="00794835">
        <w:rPr>
          <w:rFonts w:ascii="Book Antiqua" w:hAnsi="Book Antiqua" w:cs="Arial"/>
        </w:rPr>
        <w:t>Zuriel</w:t>
      </w:r>
      <w:proofErr w:type="spellEnd"/>
      <w:r w:rsidR="00794835">
        <w:rPr>
          <w:rFonts w:ascii="Book Antiqua" w:hAnsi="Book Antiqua" w:cs="Arial"/>
        </w:rPr>
        <w:t xml:space="preserve">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94835">
        <w:rPr>
          <w:rFonts w:ascii="Book Antiqua" w:hAnsi="Book Antiqua" w:cs="Arial"/>
        </w:rPr>
        <w:t>Mr C Bates,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794835" w:rsidRDefault="00B626FA" w:rsidP="00402B9E">
      <w:pPr>
        <w:tabs>
          <w:tab w:val="left" w:pos="2520"/>
        </w:tabs>
        <w:jc w:val="both"/>
        <w:rPr>
          <w:rFonts w:ascii="Book Antiqua" w:hAnsi="Book Antiqua" w:cs="Arial"/>
          <w:b/>
        </w:rPr>
      </w:pPr>
    </w:p>
    <w:p w:rsidR="00794835" w:rsidRPr="00794835" w:rsidRDefault="00794835" w:rsidP="00402B9E">
      <w:pPr>
        <w:tabs>
          <w:tab w:val="left" w:pos="2520"/>
        </w:tabs>
        <w:jc w:val="both"/>
        <w:rPr>
          <w:rFonts w:ascii="Book Antiqua" w:hAnsi="Book Antiqua" w:cs="Arial"/>
          <w:b/>
        </w:rPr>
      </w:pPr>
      <w:r w:rsidRPr="00794835">
        <w:rPr>
          <w:rFonts w:ascii="Book Antiqua" w:hAnsi="Book Antiqua" w:cs="Arial"/>
          <w:b/>
        </w:rPr>
        <w:t>Introduction and Background</w:t>
      </w:r>
    </w:p>
    <w:p w:rsidR="005E5DFF" w:rsidRDefault="00794835" w:rsidP="005E5DFF">
      <w:pPr>
        <w:numPr>
          <w:ilvl w:val="0"/>
          <w:numId w:val="3"/>
        </w:numPr>
        <w:spacing w:before="240"/>
        <w:jc w:val="both"/>
        <w:rPr>
          <w:rFonts w:ascii="Book Antiqua" w:hAnsi="Book Antiqua" w:cs="Arial"/>
        </w:rPr>
      </w:pPr>
      <w:r>
        <w:rPr>
          <w:rFonts w:ascii="Book Antiqua" w:hAnsi="Book Antiqua" w:cs="Arial"/>
        </w:rPr>
        <w:t>The Appellant appeals against a decision of Judge Tobin (the judge) of the First-tier Tribunal (the FTT) promulgated on 20</w:t>
      </w:r>
      <w:r w:rsidRPr="00794835">
        <w:rPr>
          <w:rFonts w:ascii="Book Antiqua" w:hAnsi="Book Antiqua" w:cs="Arial"/>
          <w:vertAlign w:val="superscript"/>
        </w:rPr>
        <w:t>th</w:t>
      </w:r>
      <w:r>
        <w:rPr>
          <w:rFonts w:ascii="Book Antiqua" w:hAnsi="Book Antiqua" w:cs="Arial"/>
        </w:rPr>
        <w:t xml:space="preserve"> June 2017.  </w:t>
      </w:r>
    </w:p>
    <w:p w:rsidR="00794835" w:rsidRDefault="00794835" w:rsidP="005E5DFF">
      <w:pPr>
        <w:numPr>
          <w:ilvl w:val="0"/>
          <w:numId w:val="3"/>
        </w:numPr>
        <w:spacing w:before="240"/>
        <w:jc w:val="both"/>
        <w:rPr>
          <w:rFonts w:ascii="Book Antiqua" w:hAnsi="Book Antiqua" w:cs="Arial"/>
        </w:rPr>
      </w:pPr>
      <w:r>
        <w:rPr>
          <w:rFonts w:ascii="Book Antiqua" w:hAnsi="Book Antiqua" w:cs="Arial"/>
        </w:rPr>
        <w:lastRenderedPageBreak/>
        <w:t>The Appellant is a female Jamaican citizen born 8</w:t>
      </w:r>
      <w:r w:rsidRPr="00794835">
        <w:rPr>
          <w:rFonts w:ascii="Book Antiqua" w:hAnsi="Book Antiqua" w:cs="Arial"/>
          <w:vertAlign w:val="superscript"/>
        </w:rPr>
        <w:t>th</w:t>
      </w:r>
      <w:r>
        <w:rPr>
          <w:rFonts w:ascii="Book Antiqua" w:hAnsi="Book Antiqua" w:cs="Arial"/>
        </w:rPr>
        <w:t xml:space="preserve"> January 1968 who on 8</w:t>
      </w:r>
      <w:r w:rsidRPr="00794835">
        <w:rPr>
          <w:rFonts w:ascii="Book Antiqua" w:hAnsi="Book Antiqua" w:cs="Arial"/>
          <w:vertAlign w:val="superscript"/>
        </w:rPr>
        <w:t>th</w:t>
      </w:r>
      <w:r>
        <w:rPr>
          <w:rFonts w:ascii="Book Antiqua" w:hAnsi="Book Antiqua" w:cs="Arial"/>
        </w:rPr>
        <w:t xml:space="preserve"> February 2016 applied for a permanent residence card.  The application was refused on 9</w:t>
      </w:r>
      <w:r w:rsidRPr="00794835">
        <w:rPr>
          <w:rFonts w:ascii="Book Antiqua" w:hAnsi="Book Antiqua" w:cs="Arial"/>
          <w:vertAlign w:val="superscript"/>
        </w:rPr>
        <w:t>th</w:t>
      </w:r>
      <w:r>
        <w:rPr>
          <w:rFonts w:ascii="Book Antiqua" w:hAnsi="Book Antiqua" w:cs="Arial"/>
        </w:rPr>
        <w:t xml:space="preserve"> August 2016.  The appeal was heard by the FTT on 23</w:t>
      </w:r>
      <w:r w:rsidRPr="00794835">
        <w:rPr>
          <w:rFonts w:ascii="Book Antiqua" w:hAnsi="Book Antiqua" w:cs="Arial"/>
          <w:vertAlign w:val="superscript"/>
        </w:rPr>
        <w:t>rd</w:t>
      </w:r>
      <w:r>
        <w:rPr>
          <w:rFonts w:ascii="Book Antiqua" w:hAnsi="Book Antiqua" w:cs="Arial"/>
        </w:rPr>
        <w:t xml:space="preserve"> May 2017.  </w:t>
      </w:r>
    </w:p>
    <w:p w:rsidR="00794835" w:rsidRDefault="00794835" w:rsidP="005E5DFF">
      <w:pPr>
        <w:numPr>
          <w:ilvl w:val="0"/>
          <w:numId w:val="3"/>
        </w:numPr>
        <w:spacing w:before="240"/>
        <w:jc w:val="both"/>
        <w:rPr>
          <w:rFonts w:ascii="Book Antiqua" w:hAnsi="Book Antiqua" w:cs="Arial"/>
        </w:rPr>
      </w:pPr>
      <w:r>
        <w:rPr>
          <w:rFonts w:ascii="Book Antiqua" w:hAnsi="Book Antiqua" w:cs="Arial"/>
        </w:rPr>
        <w:t>The judge found that the only issue that needed to be decided in the appeal was whether the Appellant’s former husband was exercising EEA treaty rights at the date of divorce which was 5</w:t>
      </w:r>
      <w:r w:rsidRPr="00794835">
        <w:rPr>
          <w:rFonts w:ascii="Book Antiqua" w:hAnsi="Book Antiqua" w:cs="Arial"/>
          <w:vertAlign w:val="superscript"/>
        </w:rPr>
        <w:t>th</w:t>
      </w:r>
      <w:r>
        <w:rPr>
          <w:rFonts w:ascii="Book Antiqua" w:hAnsi="Book Antiqua" w:cs="Arial"/>
        </w:rPr>
        <w:t xml:space="preserve"> July 2016.  The</w:t>
      </w:r>
      <w:r w:rsidR="00693573">
        <w:rPr>
          <w:rFonts w:ascii="Book Antiqua" w:hAnsi="Book Antiqua" w:cs="Arial"/>
        </w:rPr>
        <w:t xml:space="preserve"> judge</w:t>
      </w:r>
      <w:r>
        <w:rPr>
          <w:rFonts w:ascii="Book Antiqua" w:hAnsi="Book Antiqua" w:cs="Arial"/>
        </w:rPr>
        <w:t xml:space="preserve"> found</w:t>
      </w:r>
      <w:r w:rsidR="00C3493B">
        <w:rPr>
          <w:rFonts w:ascii="Book Antiqua" w:hAnsi="Book Antiqua" w:cs="Arial"/>
        </w:rPr>
        <w:t xml:space="preserve"> it had not been</w:t>
      </w:r>
      <w:r w:rsidR="00F85E8A">
        <w:rPr>
          <w:rFonts w:ascii="Book Antiqua" w:hAnsi="Book Antiqua" w:cs="Arial"/>
        </w:rPr>
        <w:t xml:space="preserve"> proved that</w:t>
      </w:r>
      <w:r>
        <w:rPr>
          <w:rFonts w:ascii="Book Antiqua" w:hAnsi="Book Antiqua" w:cs="Arial"/>
        </w:rPr>
        <w:t xml:space="preserve"> the former husband was exercising treaty rights on 5</w:t>
      </w:r>
      <w:r w:rsidRPr="00794835">
        <w:rPr>
          <w:rFonts w:ascii="Book Antiqua" w:hAnsi="Book Antiqua" w:cs="Arial"/>
          <w:vertAlign w:val="superscript"/>
        </w:rPr>
        <w:t>th</w:t>
      </w:r>
      <w:r>
        <w:rPr>
          <w:rFonts w:ascii="Book Antiqua" w:hAnsi="Book Antiqua" w:cs="Arial"/>
        </w:rPr>
        <w:t xml:space="preserve"> July 2016 and therefore the appeal was dismissed.</w:t>
      </w:r>
    </w:p>
    <w:p w:rsidR="00794835" w:rsidRDefault="00794835" w:rsidP="005E5DFF">
      <w:pPr>
        <w:numPr>
          <w:ilvl w:val="0"/>
          <w:numId w:val="3"/>
        </w:numPr>
        <w:spacing w:before="240"/>
        <w:jc w:val="both"/>
        <w:rPr>
          <w:rFonts w:ascii="Book Antiqua" w:hAnsi="Book Antiqua" w:cs="Arial"/>
        </w:rPr>
      </w:pPr>
      <w:r>
        <w:rPr>
          <w:rFonts w:ascii="Book Antiqua" w:hAnsi="Book Antiqua" w:cs="Arial"/>
        </w:rPr>
        <w:t>The Appellant applied for permission to appeal to the Upper Tribunal.  She relied upon three grounds.  Permission to appeal was refused by Judge Grant-Hutchison of the FTT, who found the grounds disclosed no arguable error of law.</w:t>
      </w:r>
    </w:p>
    <w:p w:rsidR="00280D0E" w:rsidRDefault="00280D0E" w:rsidP="005E5DFF">
      <w:pPr>
        <w:numPr>
          <w:ilvl w:val="0"/>
          <w:numId w:val="3"/>
        </w:numPr>
        <w:spacing w:before="240"/>
        <w:jc w:val="both"/>
        <w:rPr>
          <w:rFonts w:ascii="Book Antiqua" w:hAnsi="Book Antiqua" w:cs="Arial"/>
        </w:rPr>
      </w:pPr>
      <w:r>
        <w:rPr>
          <w:rFonts w:ascii="Book Antiqua" w:hAnsi="Book Antiqua" w:cs="Arial"/>
        </w:rPr>
        <w:t>The Appellant renewed her application to the Upper Tribunal, again relying upon three grounds.  Permission to appeal was not granted in relation to the first two grounds, and I therefore make no further reference to them.  The third ground is set out below;</w:t>
      </w:r>
    </w:p>
    <w:p w:rsidR="00280D0E" w:rsidRPr="00301E37" w:rsidRDefault="00280D0E" w:rsidP="005468A0">
      <w:pPr>
        <w:spacing w:before="120"/>
        <w:ind w:left="1134"/>
        <w:jc w:val="both"/>
        <w:rPr>
          <w:rFonts w:ascii="Book Antiqua" w:hAnsi="Book Antiqua" w:cs="Arial"/>
        </w:rPr>
      </w:pPr>
      <w:r w:rsidRPr="00301E37">
        <w:rPr>
          <w:rFonts w:ascii="Book Antiqua" w:hAnsi="Book Antiqua" w:cs="Arial"/>
          <w:sz w:val="22"/>
          <w:szCs w:val="22"/>
        </w:rPr>
        <w:t xml:space="preserve">“The conclusion by the Immigration Judge that there is no requirement for the Respondent to assist the Appellant to establish her case is not sustainable in line with the case of </w:t>
      </w:r>
      <w:r w:rsidRPr="00301E37">
        <w:rPr>
          <w:rFonts w:ascii="Book Antiqua" w:hAnsi="Book Antiqua" w:cs="Arial"/>
          <w:sz w:val="22"/>
          <w:szCs w:val="22"/>
          <w:u w:val="single"/>
        </w:rPr>
        <w:t>Amos</w:t>
      </w:r>
      <w:r w:rsidRPr="00301E37">
        <w:rPr>
          <w:rFonts w:ascii="Book Antiqua" w:hAnsi="Book Antiqua" w:cs="Arial"/>
          <w:sz w:val="22"/>
          <w:szCs w:val="22"/>
        </w:rPr>
        <w:t xml:space="preserve"> and </w:t>
      </w:r>
      <w:r w:rsidRPr="00301E37">
        <w:rPr>
          <w:rFonts w:ascii="Book Antiqua" w:hAnsi="Book Antiqua" w:cs="Arial"/>
          <w:sz w:val="22"/>
          <w:szCs w:val="22"/>
          <w:u w:val="single"/>
        </w:rPr>
        <w:t>OA</w:t>
      </w:r>
      <w:r w:rsidRPr="00301E37">
        <w:rPr>
          <w:rFonts w:ascii="Book Antiqua" w:hAnsi="Book Antiqua" w:cs="Arial"/>
          <w:sz w:val="22"/>
          <w:szCs w:val="22"/>
        </w:rPr>
        <w:t xml:space="preserve"> [2010] UKAIT 00003.</w:t>
      </w:r>
    </w:p>
    <w:p w:rsidR="00280D0E" w:rsidRPr="00301E37" w:rsidRDefault="00280D0E" w:rsidP="005468A0">
      <w:pPr>
        <w:spacing w:before="120"/>
        <w:ind w:left="1134"/>
        <w:jc w:val="both"/>
        <w:rPr>
          <w:rFonts w:ascii="Book Antiqua" w:hAnsi="Book Antiqua" w:cs="Arial"/>
        </w:rPr>
      </w:pPr>
      <w:r w:rsidRPr="00301E37">
        <w:rPr>
          <w:rFonts w:ascii="Book Antiqua" w:hAnsi="Book Antiqua" w:cs="Arial"/>
          <w:sz w:val="22"/>
          <w:szCs w:val="22"/>
        </w:rPr>
        <w:t>The Appellant submits that in circumstances where the Respondent has access to information that the Appellant is not privileged to have the burden of proof shifts on to the Respondent who has to discharge that burden.</w:t>
      </w:r>
    </w:p>
    <w:p w:rsidR="00301E37" w:rsidRPr="00301E37" w:rsidRDefault="00280D0E" w:rsidP="005468A0">
      <w:pPr>
        <w:spacing w:before="120"/>
        <w:ind w:left="1134"/>
        <w:jc w:val="both"/>
        <w:rPr>
          <w:rFonts w:ascii="Book Antiqua" w:hAnsi="Book Antiqua" w:cs="Arial"/>
        </w:rPr>
      </w:pPr>
      <w:r w:rsidRPr="00301E37">
        <w:rPr>
          <w:rFonts w:ascii="Book Antiqua" w:hAnsi="Book Antiqua" w:cs="Arial"/>
          <w:sz w:val="22"/>
          <w:szCs w:val="22"/>
        </w:rPr>
        <w:t>The conclusion by the Immigration Judge that to require the Respondent to go beyond presenting her own case is irrational and is against the ratio of the court in the aforementioned cases</w:t>
      </w:r>
      <w:r w:rsidR="00301E37">
        <w:rPr>
          <w:rFonts w:ascii="Book Antiqua" w:hAnsi="Book Antiqua" w:cs="Arial"/>
          <w:sz w:val="22"/>
          <w:szCs w:val="22"/>
        </w:rPr>
        <w:t>.”</w:t>
      </w:r>
    </w:p>
    <w:p w:rsidR="00280D0E" w:rsidRPr="00B45E92" w:rsidRDefault="00280D0E" w:rsidP="00301E37">
      <w:pPr>
        <w:numPr>
          <w:ilvl w:val="0"/>
          <w:numId w:val="3"/>
        </w:numPr>
        <w:spacing w:before="240"/>
        <w:jc w:val="both"/>
        <w:rPr>
          <w:rFonts w:ascii="Book Antiqua" w:hAnsi="Book Antiqua" w:cs="Arial"/>
        </w:rPr>
      </w:pPr>
      <w:r w:rsidRPr="00B45E92">
        <w:rPr>
          <w:rFonts w:ascii="Book Antiqua" w:hAnsi="Book Antiqua" w:cs="Arial"/>
        </w:rPr>
        <w:t xml:space="preserve">Deputy Upper Tribunal Judge Saini found that the first two grounds </w:t>
      </w:r>
      <w:r w:rsidR="004C134C">
        <w:rPr>
          <w:rFonts w:ascii="Book Antiqua" w:hAnsi="Book Antiqua" w:cs="Arial"/>
        </w:rPr>
        <w:t>relied upon by the Appellant were</w:t>
      </w:r>
      <w:r w:rsidR="009E7C35">
        <w:rPr>
          <w:rFonts w:ascii="Book Antiqua" w:hAnsi="Book Antiqua" w:cs="Arial"/>
        </w:rPr>
        <w:t xml:space="preserve"> not arguable. </w:t>
      </w:r>
      <w:r w:rsidR="00680455">
        <w:rPr>
          <w:rFonts w:ascii="Book Antiqua" w:hAnsi="Book Antiqua" w:cs="Arial"/>
        </w:rPr>
        <w:t>I</w:t>
      </w:r>
      <w:r w:rsidRPr="00B45E92">
        <w:rPr>
          <w:rFonts w:ascii="Book Antiqua" w:hAnsi="Book Antiqua" w:cs="Arial"/>
        </w:rPr>
        <w:t xml:space="preserve"> set out below the </w:t>
      </w:r>
      <w:r w:rsidR="00AA2D70" w:rsidRPr="00B45E92">
        <w:rPr>
          <w:rFonts w:ascii="Book Antiqua" w:hAnsi="Book Antiqua" w:cs="Arial"/>
        </w:rPr>
        <w:t>grant of appeal in relation to G</w:t>
      </w:r>
      <w:r w:rsidRPr="00B45E92">
        <w:rPr>
          <w:rFonts w:ascii="Book Antiqua" w:hAnsi="Book Antiqua" w:cs="Arial"/>
        </w:rPr>
        <w:t>round 3;</w:t>
      </w:r>
    </w:p>
    <w:p w:rsidR="00280D0E" w:rsidRPr="00542403" w:rsidRDefault="00AC6B0F" w:rsidP="005468A0">
      <w:pPr>
        <w:spacing w:before="120"/>
        <w:ind w:left="1134" w:right="567"/>
        <w:jc w:val="both"/>
        <w:rPr>
          <w:rFonts w:ascii="Book Antiqua" w:hAnsi="Book Antiqua" w:cs="Arial"/>
          <w:sz w:val="22"/>
          <w:szCs w:val="22"/>
        </w:rPr>
      </w:pPr>
      <w:r>
        <w:rPr>
          <w:rFonts w:ascii="Book Antiqua" w:hAnsi="Book Antiqua" w:cs="Arial"/>
          <w:sz w:val="22"/>
          <w:szCs w:val="22"/>
        </w:rPr>
        <w:t>“</w:t>
      </w:r>
      <w:r w:rsidR="00A30C2A" w:rsidRPr="00542403">
        <w:rPr>
          <w:rFonts w:ascii="Book Antiqua" w:hAnsi="Book Antiqua" w:cs="Arial"/>
          <w:sz w:val="22"/>
          <w:szCs w:val="22"/>
        </w:rPr>
        <w:t xml:space="preserve">Ground 3 however is arguable as it is plain from the FTT’s decision that it was unaware that </w:t>
      </w:r>
      <w:r w:rsidR="003F203D" w:rsidRPr="00542403">
        <w:rPr>
          <w:rFonts w:ascii="Book Antiqua" w:hAnsi="Book Antiqua" w:cs="Arial"/>
          <w:sz w:val="22"/>
          <w:szCs w:val="22"/>
        </w:rPr>
        <w:t>it had the power to direct the R</w:t>
      </w:r>
      <w:r w:rsidR="00A30C2A" w:rsidRPr="00542403">
        <w:rPr>
          <w:rFonts w:ascii="Book Antiqua" w:hAnsi="Book Antiqua" w:cs="Arial"/>
          <w:sz w:val="22"/>
          <w:szCs w:val="22"/>
        </w:rPr>
        <w:t>espondent to obtain evidence of the former EEA spouses’ records with HMR</w:t>
      </w:r>
      <w:r w:rsidR="007A78BF" w:rsidRPr="00542403">
        <w:rPr>
          <w:rFonts w:ascii="Book Antiqua" w:hAnsi="Book Antiqua" w:cs="Arial"/>
          <w:sz w:val="22"/>
          <w:szCs w:val="22"/>
        </w:rPr>
        <w:t>C pursuant to her powers under s</w:t>
      </w:r>
      <w:r w:rsidR="00A30C2A" w:rsidRPr="00542403">
        <w:rPr>
          <w:rFonts w:ascii="Book Antiqua" w:hAnsi="Book Antiqua" w:cs="Arial"/>
          <w:sz w:val="22"/>
          <w:szCs w:val="22"/>
        </w:rPr>
        <w:t>ection 40 of the UK Borders Act 2007 concerning the ‘</w:t>
      </w:r>
      <w:r w:rsidR="009E7C35">
        <w:rPr>
          <w:rFonts w:ascii="Book Antiqua" w:hAnsi="Book Antiqua" w:cs="Arial"/>
          <w:sz w:val="22"/>
          <w:szCs w:val="22"/>
        </w:rPr>
        <w:t>supply of Revenue and C</w:t>
      </w:r>
      <w:r w:rsidR="00A30C2A" w:rsidRPr="00542403">
        <w:rPr>
          <w:rFonts w:ascii="Book Antiqua" w:hAnsi="Book Antiqua" w:cs="Arial"/>
          <w:sz w:val="22"/>
          <w:szCs w:val="22"/>
        </w:rPr>
        <w:t>ustoms information’</w:t>
      </w:r>
      <w:r w:rsidR="00790E20">
        <w:rPr>
          <w:rFonts w:ascii="Book Antiqua" w:hAnsi="Book Antiqua" w:cs="Arial"/>
          <w:sz w:val="22"/>
          <w:szCs w:val="22"/>
        </w:rPr>
        <w:t>.  I</w:t>
      </w:r>
      <w:r w:rsidR="00A30C2A" w:rsidRPr="00542403">
        <w:rPr>
          <w:rFonts w:ascii="Book Antiqua" w:hAnsi="Book Antiqua" w:cs="Arial"/>
          <w:sz w:val="22"/>
          <w:szCs w:val="22"/>
        </w:rPr>
        <w:t xml:space="preserve"> note that the Grounds of Appeal argue</w:t>
      </w:r>
      <w:r w:rsidR="00680455">
        <w:rPr>
          <w:rFonts w:ascii="Book Antiqua" w:hAnsi="Book Antiqua" w:cs="Arial"/>
          <w:sz w:val="22"/>
          <w:szCs w:val="22"/>
        </w:rPr>
        <w:t>d</w:t>
      </w:r>
      <w:r w:rsidR="00A30C2A" w:rsidRPr="00542403">
        <w:rPr>
          <w:rFonts w:ascii="Book Antiqua" w:hAnsi="Book Antiqua" w:cs="Arial"/>
          <w:sz w:val="22"/>
          <w:szCs w:val="22"/>
        </w:rPr>
        <w:t xml:space="preserve"> the Social Security case of </w:t>
      </w:r>
      <w:r w:rsidR="00A30C2A" w:rsidRPr="00790E20">
        <w:rPr>
          <w:rFonts w:ascii="Book Antiqua" w:hAnsi="Book Antiqua" w:cs="Arial"/>
          <w:sz w:val="22"/>
          <w:szCs w:val="22"/>
          <w:u w:val="single"/>
        </w:rPr>
        <w:t>Kerr</w:t>
      </w:r>
      <w:r w:rsidR="00A30C2A" w:rsidRPr="00542403">
        <w:rPr>
          <w:rFonts w:ascii="Book Antiqua" w:hAnsi="Book Antiqua" w:cs="Arial"/>
          <w:sz w:val="22"/>
          <w:szCs w:val="22"/>
        </w:rPr>
        <w:t xml:space="preserve"> which</w:t>
      </w:r>
      <w:r w:rsidR="00680455">
        <w:rPr>
          <w:rFonts w:ascii="Book Antiqua" w:hAnsi="Book Antiqua" w:cs="Arial"/>
          <w:sz w:val="22"/>
          <w:szCs w:val="22"/>
        </w:rPr>
        <w:t xml:space="preserve"> whilst</w:t>
      </w:r>
      <w:r w:rsidR="00A30C2A" w:rsidRPr="00542403">
        <w:rPr>
          <w:rFonts w:ascii="Book Antiqua" w:hAnsi="Book Antiqua" w:cs="Arial"/>
          <w:sz w:val="22"/>
          <w:szCs w:val="22"/>
        </w:rPr>
        <w:t xml:space="preserve"> not on point</w:t>
      </w:r>
      <w:r w:rsidR="00680455">
        <w:rPr>
          <w:rFonts w:ascii="Book Antiqua" w:hAnsi="Book Antiqua" w:cs="Arial"/>
          <w:sz w:val="22"/>
          <w:szCs w:val="22"/>
        </w:rPr>
        <w:t xml:space="preserve"> </w:t>
      </w:r>
      <w:r w:rsidR="00A30C2A" w:rsidRPr="00542403">
        <w:rPr>
          <w:rFonts w:ascii="Book Antiqua" w:hAnsi="Book Antiqua" w:cs="Arial"/>
          <w:sz w:val="22"/>
          <w:szCs w:val="22"/>
        </w:rPr>
        <w:t>shows the Appellant’s representatives formed the view th</w:t>
      </w:r>
      <w:r w:rsidR="00680455">
        <w:rPr>
          <w:rFonts w:ascii="Book Antiqua" w:hAnsi="Book Antiqua" w:cs="Arial"/>
          <w:sz w:val="22"/>
          <w:szCs w:val="22"/>
        </w:rPr>
        <w:t>at assistance</w:t>
      </w:r>
      <w:r w:rsidR="00A30C2A" w:rsidRPr="00542403">
        <w:rPr>
          <w:rFonts w:ascii="Book Antiqua" w:hAnsi="Book Antiqua" w:cs="Arial"/>
          <w:sz w:val="22"/>
          <w:szCs w:val="22"/>
        </w:rPr>
        <w:t xml:space="preserve"> should be forthcoming from the Respondent and the fact that the FTT was referred to </w:t>
      </w:r>
      <w:r w:rsidR="00A30C2A" w:rsidRPr="00542403">
        <w:rPr>
          <w:rFonts w:ascii="Book Antiqua" w:hAnsi="Book Antiqua" w:cs="Arial"/>
          <w:sz w:val="22"/>
          <w:szCs w:val="22"/>
          <w:u w:val="single"/>
        </w:rPr>
        <w:t>Amos v Secretary of State for the Home Department</w:t>
      </w:r>
      <w:r w:rsidR="00A30C2A" w:rsidRPr="00542403">
        <w:rPr>
          <w:rFonts w:ascii="Book Antiqua" w:hAnsi="Book Antiqua" w:cs="Arial"/>
          <w:sz w:val="22"/>
          <w:szCs w:val="22"/>
        </w:rPr>
        <w:t xml:space="preserve"> [2011] EWCA </w:t>
      </w:r>
      <w:proofErr w:type="spellStart"/>
      <w:r w:rsidR="00A30C2A" w:rsidRPr="00542403">
        <w:rPr>
          <w:rFonts w:ascii="Book Antiqua" w:hAnsi="Book Antiqua" w:cs="Arial"/>
          <w:sz w:val="22"/>
          <w:szCs w:val="22"/>
        </w:rPr>
        <w:t>Civ</w:t>
      </w:r>
      <w:proofErr w:type="spellEnd"/>
      <w:r w:rsidR="00A30C2A" w:rsidRPr="00542403">
        <w:rPr>
          <w:rFonts w:ascii="Book Antiqua" w:hAnsi="Book Antiqua" w:cs="Arial"/>
          <w:sz w:val="22"/>
          <w:szCs w:val="22"/>
        </w:rPr>
        <w:t xml:space="preserve"> 552 which mentions the ability to seek or give a direction at [45] satisfies me that the error is arguable.  I do of course note that the Appellant’s representative did not seemingly seek an ‘</w:t>
      </w:r>
      <w:r w:rsidR="00680455">
        <w:rPr>
          <w:rFonts w:ascii="Book Antiqua" w:hAnsi="Book Antiqua" w:cs="Arial"/>
          <w:sz w:val="22"/>
          <w:szCs w:val="22"/>
        </w:rPr>
        <w:t>Amos direction</w:t>
      </w:r>
      <w:r w:rsidR="00A30C2A" w:rsidRPr="00542403">
        <w:rPr>
          <w:rFonts w:ascii="Book Antiqua" w:hAnsi="Book Antiqua" w:cs="Arial"/>
          <w:sz w:val="22"/>
          <w:szCs w:val="22"/>
        </w:rPr>
        <w:t xml:space="preserve">’, but given that the Grounds of Appeal were framed as they were, it is obvious that had the representative been aware of such a direction, one might have been requested.  In any event, given that the judge did not consider making a direction of her own volition, nor indicate that she was aware that one could be made (but refused to do so) and given that there was only one issue in the appeal which the direction </w:t>
      </w:r>
      <w:r w:rsidR="00A30C2A" w:rsidRPr="00542403">
        <w:rPr>
          <w:rFonts w:ascii="Book Antiqua" w:hAnsi="Book Antiqua" w:cs="Arial"/>
          <w:sz w:val="22"/>
          <w:szCs w:val="22"/>
        </w:rPr>
        <w:lastRenderedPageBreak/>
        <w:t>would resolve one way or another, I am satisfied that permission should be granted on Ground 3 alone.’”</w:t>
      </w:r>
    </w:p>
    <w:p w:rsidR="00280D0E" w:rsidRDefault="000E3FF2" w:rsidP="005E5DFF">
      <w:pPr>
        <w:numPr>
          <w:ilvl w:val="0"/>
          <w:numId w:val="3"/>
        </w:numPr>
        <w:spacing w:before="240"/>
        <w:jc w:val="both"/>
        <w:rPr>
          <w:rFonts w:ascii="Book Antiqua" w:hAnsi="Book Antiqua" w:cs="Arial"/>
        </w:rPr>
      </w:pPr>
      <w:r>
        <w:rPr>
          <w:rFonts w:ascii="Book Antiqua" w:hAnsi="Book Antiqua" w:cs="Arial"/>
        </w:rPr>
        <w:t>Following the grant of permission directions were issued that the</w:t>
      </w:r>
      <w:r w:rsidR="00E05FAC">
        <w:rPr>
          <w:rFonts w:ascii="Book Antiqua" w:hAnsi="Book Antiqua" w:cs="Arial"/>
        </w:rPr>
        <w:t>re should be a hearing before the Upper Tribunal to asc</w:t>
      </w:r>
      <w:r w:rsidR="0063253A">
        <w:rPr>
          <w:rFonts w:ascii="Book Antiqua" w:hAnsi="Book Antiqua" w:cs="Arial"/>
        </w:rPr>
        <w:t>ertain whether the FTT had erred</w:t>
      </w:r>
      <w:r w:rsidR="00E05FAC">
        <w:rPr>
          <w:rFonts w:ascii="Book Antiqua" w:hAnsi="Book Antiqua" w:cs="Arial"/>
        </w:rPr>
        <w:t xml:space="preserve"> in law such that that the decision should be set aside.</w:t>
      </w:r>
    </w:p>
    <w:p w:rsidR="00E05FAC" w:rsidRPr="007A2C20" w:rsidRDefault="00E05FAC" w:rsidP="00E05FAC">
      <w:pPr>
        <w:spacing w:before="240"/>
        <w:jc w:val="both"/>
        <w:rPr>
          <w:rFonts w:ascii="Book Antiqua" w:hAnsi="Book Antiqua" w:cs="Arial"/>
          <w:b/>
        </w:rPr>
      </w:pPr>
      <w:r w:rsidRPr="007A2C20">
        <w:rPr>
          <w:rFonts w:ascii="Book Antiqua" w:hAnsi="Book Antiqua" w:cs="Arial"/>
          <w:b/>
        </w:rPr>
        <w:t>Submissions</w:t>
      </w:r>
    </w:p>
    <w:p w:rsidR="00E05FAC" w:rsidRDefault="007A2C20"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Osadebe</w:t>
      </w:r>
      <w:proofErr w:type="spellEnd"/>
      <w:r>
        <w:rPr>
          <w:rFonts w:ascii="Book Antiqua" w:hAnsi="Book Antiqua" w:cs="Arial"/>
        </w:rPr>
        <w:t xml:space="preserve"> relied upon written submissions dated 26</w:t>
      </w:r>
      <w:r w:rsidRPr="007A2C20">
        <w:rPr>
          <w:rFonts w:ascii="Book Antiqua" w:hAnsi="Book Antiqua" w:cs="Arial"/>
          <w:vertAlign w:val="superscript"/>
        </w:rPr>
        <w:t>th</w:t>
      </w:r>
      <w:r>
        <w:rPr>
          <w:rFonts w:ascii="Book Antiqua" w:hAnsi="Book Antiqua" w:cs="Arial"/>
        </w:rPr>
        <w:t xml:space="preserve"> April 2018.  He contended that he had sought an “</w:t>
      </w:r>
      <w:r w:rsidRPr="000D1CF4">
        <w:rPr>
          <w:rFonts w:ascii="Book Antiqua" w:hAnsi="Book Antiqua" w:cs="Arial"/>
          <w:u w:val="single"/>
        </w:rPr>
        <w:t>Amos</w:t>
      </w:r>
      <w:r>
        <w:rPr>
          <w:rFonts w:ascii="Book Antiqua" w:hAnsi="Book Antiqua" w:cs="Arial"/>
        </w:rPr>
        <w:t xml:space="preserve"> direction” from the judge to request the Respondent to investigate whether the Appellant’s husband was still exercising treaty rights in the UK.  It was submitted that it was arguable that the judge had erred in law for failing to issue that direction.  It was submitted that there was only one issue before the Tribunal, and the failure by the judge to make a direction to the Respondent of his own volition, or when prompted by the Appellant’s representative, amounted to an error of law. </w:t>
      </w:r>
    </w:p>
    <w:p w:rsidR="007A2C20" w:rsidRDefault="007A2C20" w:rsidP="005E5DFF">
      <w:pPr>
        <w:numPr>
          <w:ilvl w:val="0"/>
          <w:numId w:val="3"/>
        </w:numPr>
        <w:spacing w:before="240"/>
        <w:jc w:val="both"/>
        <w:rPr>
          <w:rFonts w:ascii="Book Antiqua" w:hAnsi="Book Antiqua" w:cs="Arial"/>
        </w:rPr>
      </w:pPr>
      <w:r>
        <w:rPr>
          <w:rFonts w:ascii="Book Antiqua" w:hAnsi="Book Antiqua" w:cs="Arial"/>
        </w:rPr>
        <w:t xml:space="preserve">In oral submissions Mr </w:t>
      </w:r>
      <w:proofErr w:type="spellStart"/>
      <w:r>
        <w:rPr>
          <w:rFonts w:ascii="Book Antiqua" w:hAnsi="Book Antiqua" w:cs="Arial"/>
        </w:rPr>
        <w:t>Osadebe</w:t>
      </w:r>
      <w:proofErr w:type="spellEnd"/>
      <w:r>
        <w:rPr>
          <w:rFonts w:ascii="Book Antiqua" w:hAnsi="Book Antiqua" w:cs="Arial"/>
        </w:rPr>
        <w:t xml:space="preserve"> conceded that he had not made reference to the decision in </w:t>
      </w:r>
      <w:r w:rsidRPr="00016943">
        <w:rPr>
          <w:rFonts w:ascii="Book Antiqua" w:hAnsi="Book Antiqua" w:cs="Arial"/>
          <w:u w:val="single"/>
        </w:rPr>
        <w:t>Amos</w:t>
      </w:r>
      <w:r>
        <w:rPr>
          <w:rFonts w:ascii="Book Antiqua" w:hAnsi="Book Antiqua" w:cs="Arial"/>
        </w:rPr>
        <w:t xml:space="preserve">, he had referred to the decision in </w:t>
      </w:r>
      <w:r w:rsidRPr="00AD68C1">
        <w:rPr>
          <w:rFonts w:ascii="Book Antiqua" w:hAnsi="Book Antiqua" w:cs="Arial"/>
          <w:u w:val="single"/>
        </w:rPr>
        <w:t>Kerr</w:t>
      </w:r>
      <w:r>
        <w:rPr>
          <w:rFonts w:ascii="Book Antiqua" w:hAnsi="Book Antiqua" w:cs="Arial"/>
        </w:rPr>
        <w:t xml:space="preserve">, and it was the Presenting Officer before the FTT who had referred to the decision in </w:t>
      </w:r>
      <w:r w:rsidRPr="00273446">
        <w:rPr>
          <w:rFonts w:ascii="Book Antiqua" w:hAnsi="Book Antiqua" w:cs="Arial"/>
          <w:u w:val="single"/>
        </w:rPr>
        <w:t>Amo</w:t>
      </w:r>
      <w:r w:rsidRPr="007A2C20">
        <w:rPr>
          <w:rFonts w:ascii="Book Antiqua" w:hAnsi="Book Antiqua" w:cs="Arial"/>
          <w:b/>
          <w:u w:val="single"/>
        </w:rPr>
        <w:t>s</w:t>
      </w:r>
      <w:r>
        <w:rPr>
          <w:rFonts w:ascii="Book Antiqua" w:hAnsi="Book Antiqua" w:cs="Arial"/>
        </w:rPr>
        <w:t>.</w:t>
      </w:r>
    </w:p>
    <w:p w:rsidR="007A2C20" w:rsidRDefault="007A2C20" w:rsidP="005E5DFF">
      <w:pPr>
        <w:numPr>
          <w:ilvl w:val="0"/>
          <w:numId w:val="3"/>
        </w:numPr>
        <w:spacing w:before="240"/>
        <w:jc w:val="both"/>
        <w:rPr>
          <w:rFonts w:ascii="Book Antiqua" w:hAnsi="Book Antiqua" w:cs="Arial"/>
        </w:rPr>
      </w:pPr>
      <w:r>
        <w:rPr>
          <w:rFonts w:ascii="Book Antiqua" w:hAnsi="Book Antiqua" w:cs="Arial"/>
        </w:rPr>
        <w:t xml:space="preserve">Mr Bates observed that the judge granting permission had erred in making reference to paragraph 45 of </w:t>
      </w:r>
      <w:r w:rsidRPr="00616F9F">
        <w:rPr>
          <w:rFonts w:ascii="Book Antiqua" w:hAnsi="Book Antiqua" w:cs="Arial"/>
          <w:u w:val="single"/>
        </w:rPr>
        <w:t>Amos</w:t>
      </w:r>
      <w:r>
        <w:rPr>
          <w:rFonts w:ascii="Book Antiqua" w:hAnsi="Book Antiqua" w:cs="Arial"/>
        </w:rPr>
        <w:t>, submitting that the appropriate paragraph was 40.  Mr Bates submitted that the judge had not been requested to make a direction.  Mr Bates had before him the notes of the Presenting Officer before the FTT, which did not indicate that there was any request for a direction to be made for the Respondent to seek information from HMRC, and therefore it was not the case that the judge had declined to make such a direction.  Mr Bates submitted that</w:t>
      </w:r>
      <w:r w:rsidR="008341FC">
        <w:rPr>
          <w:rFonts w:ascii="Book Antiqua" w:hAnsi="Book Antiqua" w:cs="Arial"/>
        </w:rPr>
        <w:t xml:space="preserve"> as</w:t>
      </w:r>
      <w:r>
        <w:rPr>
          <w:rFonts w:ascii="Book Antiqua" w:hAnsi="Book Antiqua" w:cs="Arial"/>
        </w:rPr>
        <w:t xml:space="preserve"> no direction had been requested, it was not an error of law for the judge not to make such a direction.</w:t>
      </w:r>
    </w:p>
    <w:p w:rsidR="007A2C20" w:rsidRDefault="007A2C20" w:rsidP="005E5DFF">
      <w:pPr>
        <w:numPr>
          <w:ilvl w:val="0"/>
          <w:numId w:val="3"/>
        </w:numPr>
        <w:spacing w:before="240"/>
        <w:jc w:val="both"/>
        <w:rPr>
          <w:rFonts w:ascii="Book Antiqua" w:hAnsi="Book Antiqua" w:cs="Arial"/>
        </w:rPr>
      </w:pPr>
      <w:r>
        <w:rPr>
          <w:rFonts w:ascii="Book Antiqua" w:hAnsi="Book Antiqua" w:cs="Arial"/>
        </w:rPr>
        <w:t xml:space="preserve">In response Mr </w:t>
      </w:r>
      <w:proofErr w:type="spellStart"/>
      <w:r>
        <w:rPr>
          <w:rFonts w:ascii="Book Antiqua" w:hAnsi="Book Antiqua" w:cs="Arial"/>
        </w:rPr>
        <w:t>Osadebe</w:t>
      </w:r>
      <w:proofErr w:type="spellEnd"/>
      <w:r>
        <w:rPr>
          <w:rFonts w:ascii="Book Antiqua" w:hAnsi="Book Antiqua" w:cs="Arial"/>
        </w:rPr>
        <w:t xml:space="preserve"> submitted that the judge could have made a direction of his own volition, and contended that there had been a request made for a direction.</w:t>
      </w:r>
    </w:p>
    <w:p w:rsidR="007A2C20" w:rsidRDefault="007A2C20"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  </w:t>
      </w:r>
    </w:p>
    <w:p w:rsidR="007A2C20" w:rsidRPr="007A2C20" w:rsidRDefault="007A2C20" w:rsidP="007A2C20">
      <w:pPr>
        <w:spacing w:before="240"/>
        <w:jc w:val="both"/>
        <w:rPr>
          <w:rFonts w:ascii="Book Antiqua" w:hAnsi="Book Antiqua" w:cs="Arial"/>
          <w:b/>
        </w:rPr>
      </w:pPr>
      <w:r w:rsidRPr="007A2C20">
        <w:rPr>
          <w:rFonts w:ascii="Book Antiqua" w:hAnsi="Book Antiqua" w:cs="Arial"/>
          <w:b/>
        </w:rPr>
        <w:t>My Conclusions and Reasons</w:t>
      </w:r>
    </w:p>
    <w:p w:rsidR="007A2C20" w:rsidRDefault="007A2C20" w:rsidP="005E5DFF">
      <w:pPr>
        <w:numPr>
          <w:ilvl w:val="0"/>
          <w:numId w:val="3"/>
        </w:numPr>
        <w:spacing w:before="240"/>
        <w:jc w:val="both"/>
        <w:rPr>
          <w:rFonts w:ascii="Book Antiqua" w:hAnsi="Book Antiqua" w:cs="Arial"/>
        </w:rPr>
      </w:pPr>
      <w:r>
        <w:rPr>
          <w:rFonts w:ascii="Book Antiqua" w:hAnsi="Book Antiqua" w:cs="Arial"/>
        </w:rPr>
        <w:t xml:space="preserve">The issue that I have to decide is whether the judge erred in law in not making </w:t>
      </w:r>
      <w:r w:rsidR="00CE4E1D">
        <w:rPr>
          <w:rFonts w:ascii="Book Antiqua" w:hAnsi="Book Antiqua" w:cs="Arial"/>
        </w:rPr>
        <w:t xml:space="preserve">a </w:t>
      </w:r>
      <w:r>
        <w:rPr>
          <w:rFonts w:ascii="Book Antiqua" w:hAnsi="Book Antiqua" w:cs="Arial"/>
        </w:rPr>
        <w:t>direction to the Secretary of State to request information from H</w:t>
      </w:r>
      <w:r w:rsidR="003E5A08">
        <w:rPr>
          <w:rFonts w:ascii="Book Antiqua" w:hAnsi="Book Antiqua" w:cs="Arial"/>
        </w:rPr>
        <w:t>MRC pursuant to s</w:t>
      </w:r>
      <w:r>
        <w:rPr>
          <w:rFonts w:ascii="Book Antiqua" w:hAnsi="Book Antiqua" w:cs="Arial"/>
        </w:rPr>
        <w:t xml:space="preserve">ection 40 of the UK Borders Act 2007.  It is common ground that the judge had the power to make such a direction. </w:t>
      </w:r>
    </w:p>
    <w:p w:rsidR="007A2C20" w:rsidRDefault="007A2C20" w:rsidP="005E5DFF">
      <w:pPr>
        <w:numPr>
          <w:ilvl w:val="0"/>
          <w:numId w:val="3"/>
        </w:numPr>
        <w:spacing w:before="240"/>
        <w:jc w:val="both"/>
        <w:rPr>
          <w:rFonts w:ascii="Book Antiqua" w:hAnsi="Book Antiqua" w:cs="Arial"/>
        </w:rPr>
      </w:pPr>
      <w:r>
        <w:rPr>
          <w:rFonts w:ascii="Book Antiqua" w:hAnsi="Book Antiqua" w:cs="Arial"/>
        </w:rPr>
        <w:t>It is also common ground that no request for a direction was made to the Tribunal prior to the hearing.  There was reference in the Grounds of Appeal</w:t>
      </w:r>
      <w:r w:rsidR="00E6068E">
        <w:rPr>
          <w:rFonts w:ascii="Book Antiqua" w:hAnsi="Book Antiqua" w:cs="Arial"/>
        </w:rPr>
        <w:t xml:space="preserve"> lodged with </w:t>
      </w:r>
      <w:r>
        <w:rPr>
          <w:rFonts w:ascii="Book Antiqua" w:hAnsi="Book Antiqua" w:cs="Arial"/>
        </w:rPr>
        <w:t xml:space="preserve">the FTT to the decision in </w:t>
      </w:r>
      <w:r w:rsidRPr="009A7648">
        <w:rPr>
          <w:rFonts w:ascii="Book Antiqua" w:hAnsi="Book Antiqua" w:cs="Arial"/>
          <w:u w:val="single"/>
        </w:rPr>
        <w:t>Kerr v Department for Social Development</w:t>
      </w:r>
      <w:r w:rsidRPr="007A2C20">
        <w:rPr>
          <w:rFonts w:ascii="Book Antiqua" w:hAnsi="Book Antiqua" w:cs="Arial"/>
        </w:rPr>
        <w:t xml:space="preserve"> [2004] UKHL 23</w:t>
      </w:r>
      <w:r>
        <w:rPr>
          <w:rFonts w:ascii="Book Antiqua" w:hAnsi="Book Antiqua" w:cs="Arial"/>
        </w:rPr>
        <w:t xml:space="preserve"> but no reference to the decision in </w:t>
      </w:r>
      <w:r w:rsidRPr="009A7648">
        <w:rPr>
          <w:rFonts w:ascii="Book Antiqua" w:hAnsi="Book Antiqua" w:cs="Arial"/>
          <w:u w:val="single"/>
        </w:rPr>
        <w:t>Amos</w:t>
      </w:r>
      <w:r>
        <w:rPr>
          <w:rFonts w:ascii="Book Antiqua" w:hAnsi="Book Antiqua" w:cs="Arial"/>
        </w:rPr>
        <w:t>.</w:t>
      </w:r>
    </w:p>
    <w:p w:rsidR="007A2C20" w:rsidRDefault="006B4DC2" w:rsidP="005E5DFF">
      <w:pPr>
        <w:numPr>
          <w:ilvl w:val="0"/>
          <w:numId w:val="3"/>
        </w:numPr>
        <w:spacing w:before="240"/>
        <w:jc w:val="both"/>
        <w:rPr>
          <w:rFonts w:ascii="Book Antiqua" w:hAnsi="Book Antiqua" w:cs="Arial"/>
        </w:rPr>
      </w:pPr>
      <w:r>
        <w:rPr>
          <w:rFonts w:ascii="Book Antiqua" w:hAnsi="Book Antiqua" w:cs="Arial"/>
        </w:rPr>
        <w:lastRenderedPageBreak/>
        <w:t>It was not suggested in the grounds seeking permission to appeal to the Upper Tribunal that there had been a request for such a direction made at the FTT hearing.  I find that if such a request had been made at the hearing and refused, this would have been raised in the grounds seeking permission to appeal to the Upper Tribunal.</w:t>
      </w:r>
    </w:p>
    <w:p w:rsidR="006B4DC2" w:rsidRDefault="006B4DC2" w:rsidP="005E5DFF">
      <w:pPr>
        <w:numPr>
          <w:ilvl w:val="0"/>
          <w:numId w:val="3"/>
        </w:numPr>
        <w:spacing w:before="240"/>
        <w:jc w:val="both"/>
        <w:rPr>
          <w:rFonts w:ascii="Book Antiqua" w:hAnsi="Book Antiqua" w:cs="Arial"/>
        </w:rPr>
      </w:pPr>
      <w:r>
        <w:rPr>
          <w:rFonts w:ascii="Book Antiqua" w:hAnsi="Book Antiqua" w:cs="Arial"/>
        </w:rPr>
        <w:t xml:space="preserve">I have considered the Record of Proceedings kept by the judge which is extremely brief, but does not indicate that any request for a direction was made at the hearing.  I accept that the notes made by the Presenting Officer before the FTT do not indicate that any request was made by the Appellant’s representative for a direction that the </w:t>
      </w:r>
      <w:r w:rsidR="007F0534">
        <w:rPr>
          <w:rFonts w:ascii="Book Antiqua" w:hAnsi="Book Antiqua" w:cs="Arial"/>
        </w:rPr>
        <w:t>R</w:t>
      </w:r>
      <w:r>
        <w:rPr>
          <w:rFonts w:ascii="Book Antiqua" w:hAnsi="Book Antiqua" w:cs="Arial"/>
        </w:rPr>
        <w:t>espondent seek information from HMRC in relation to whether or not the Appellant’s former spouse was exercising treaty rights at the date of divorce.</w:t>
      </w:r>
    </w:p>
    <w:p w:rsidR="006B4DC2" w:rsidRDefault="006B4DC2" w:rsidP="005E5DFF">
      <w:pPr>
        <w:numPr>
          <w:ilvl w:val="0"/>
          <w:numId w:val="3"/>
        </w:numPr>
        <w:spacing w:before="240"/>
        <w:jc w:val="both"/>
        <w:rPr>
          <w:rFonts w:ascii="Book Antiqua" w:hAnsi="Book Antiqua" w:cs="Arial"/>
        </w:rPr>
      </w:pPr>
      <w:r>
        <w:rPr>
          <w:rFonts w:ascii="Book Antiqua" w:hAnsi="Book Antiqua" w:cs="Arial"/>
        </w:rPr>
        <w:t xml:space="preserve">The grant of permission to appeal indicates that the Appellant’s representative did not “seemingly seek an </w:t>
      </w:r>
      <w:r w:rsidRPr="00152321">
        <w:rPr>
          <w:rFonts w:ascii="Book Antiqua" w:hAnsi="Book Antiqua" w:cs="Arial"/>
          <w:u w:val="single"/>
        </w:rPr>
        <w:t>Amos</w:t>
      </w:r>
      <w:r>
        <w:rPr>
          <w:rFonts w:ascii="Book Antiqua" w:hAnsi="Book Antiqua" w:cs="Arial"/>
        </w:rPr>
        <w:t xml:space="preserve"> direction”.</w:t>
      </w:r>
    </w:p>
    <w:p w:rsidR="006B4DC2" w:rsidRDefault="006B4DC2" w:rsidP="005E5DFF">
      <w:pPr>
        <w:numPr>
          <w:ilvl w:val="0"/>
          <w:numId w:val="3"/>
        </w:numPr>
        <w:spacing w:before="240"/>
        <w:jc w:val="both"/>
        <w:rPr>
          <w:rFonts w:ascii="Book Antiqua" w:hAnsi="Book Antiqua" w:cs="Arial"/>
        </w:rPr>
      </w:pPr>
      <w:r>
        <w:rPr>
          <w:rFonts w:ascii="Book Antiqua" w:hAnsi="Book Antiqua" w:cs="Arial"/>
        </w:rPr>
        <w:t xml:space="preserve">The first time that it is contended that such a request for a direction was made is in the written submissions presented by Mr </w:t>
      </w:r>
      <w:proofErr w:type="spellStart"/>
      <w:r>
        <w:rPr>
          <w:rFonts w:ascii="Book Antiqua" w:hAnsi="Book Antiqua" w:cs="Arial"/>
        </w:rPr>
        <w:t>Osadebe</w:t>
      </w:r>
      <w:proofErr w:type="spellEnd"/>
      <w:r>
        <w:rPr>
          <w:rFonts w:ascii="Book Antiqua" w:hAnsi="Book Antiqua" w:cs="Arial"/>
        </w:rPr>
        <w:t xml:space="preserve"> at the Upper Tribunal hearing.  Mr </w:t>
      </w:r>
      <w:proofErr w:type="spellStart"/>
      <w:r>
        <w:rPr>
          <w:rFonts w:ascii="Book Antiqua" w:hAnsi="Book Antiqua" w:cs="Arial"/>
        </w:rPr>
        <w:t>Osadebe</w:t>
      </w:r>
      <w:proofErr w:type="spellEnd"/>
      <w:r>
        <w:rPr>
          <w:rFonts w:ascii="Book Antiqua" w:hAnsi="Book Antiqua" w:cs="Arial"/>
        </w:rPr>
        <w:t xml:space="preserve"> however accepted that he was not in fact aware of the decision in </w:t>
      </w:r>
      <w:r w:rsidRPr="005F053D">
        <w:rPr>
          <w:rFonts w:ascii="Book Antiqua" w:hAnsi="Book Antiqua" w:cs="Arial"/>
          <w:u w:val="single"/>
        </w:rPr>
        <w:t>Amos</w:t>
      </w:r>
      <w:r w:rsidRPr="005F053D">
        <w:rPr>
          <w:rFonts w:ascii="Book Antiqua" w:hAnsi="Book Antiqua" w:cs="Arial"/>
        </w:rPr>
        <w:t xml:space="preserve"> </w:t>
      </w:r>
      <w:r>
        <w:rPr>
          <w:rFonts w:ascii="Book Antiqua" w:hAnsi="Book Antiqua" w:cs="Arial"/>
        </w:rPr>
        <w:t xml:space="preserve">prior to the FTT hearing, or even at the hearing, and it was the Presenting Officer at the FTT hearing who referred to that decision.  This accords with what is recorded by the judge at paragraph 11. </w:t>
      </w:r>
    </w:p>
    <w:p w:rsidR="006B4DC2" w:rsidRDefault="006B4DC2" w:rsidP="005E5DFF">
      <w:pPr>
        <w:numPr>
          <w:ilvl w:val="0"/>
          <w:numId w:val="3"/>
        </w:numPr>
        <w:spacing w:before="240"/>
        <w:jc w:val="both"/>
        <w:rPr>
          <w:rFonts w:ascii="Book Antiqua" w:hAnsi="Book Antiqua" w:cs="Arial"/>
        </w:rPr>
      </w:pPr>
      <w:r>
        <w:rPr>
          <w:rFonts w:ascii="Book Antiqua" w:hAnsi="Book Antiqua" w:cs="Arial"/>
        </w:rPr>
        <w:t xml:space="preserve">At paragraph 34 of </w:t>
      </w:r>
      <w:r w:rsidRPr="00DC6552">
        <w:rPr>
          <w:rFonts w:ascii="Book Antiqua" w:hAnsi="Book Antiqua" w:cs="Arial"/>
          <w:u w:val="single"/>
        </w:rPr>
        <w:t>Amos</w:t>
      </w:r>
      <w:r>
        <w:rPr>
          <w:rFonts w:ascii="Book Antiqua" w:hAnsi="Book Antiqua" w:cs="Arial"/>
        </w:rPr>
        <w:t xml:space="preserve"> Lord Justice Stanley </w:t>
      </w:r>
      <w:proofErr w:type="spellStart"/>
      <w:r>
        <w:rPr>
          <w:rFonts w:ascii="Book Antiqua" w:hAnsi="Book Antiqua" w:cs="Arial"/>
        </w:rPr>
        <w:t>Burnton</w:t>
      </w:r>
      <w:proofErr w:type="spellEnd"/>
      <w:r>
        <w:rPr>
          <w:rFonts w:ascii="Book Antiqua" w:hAnsi="Book Antiqua" w:cs="Arial"/>
        </w:rPr>
        <w:t xml:space="preserve"> rejects the contention by the Appellant in that case that the Secretary of State was required to assist her to establish her case.  The issue considered by the Court of Appeal was the same issue as was considered by the FTT, whether a former spouse was working at the date of divorce.  It wa</w:t>
      </w:r>
      <w:r w:rsidR="00260B25">
        <w:rPr>
          <w:rFonts w:ascii="Book Antiqua" w:hAnsi="Book Antiqua" w:cs="Arial"/>
        </w:rPr>
        <w:t>s held in paragraph 34 that</w:t>
      </w:r>
      <w:r w:rsidR="00BE2211">
        <w:rPr>
          <w:rFonts w:ascii="Book Antiqua" w:hAnsi="Book Antiqua" w:cs="Arial"/>
        </w:rPr>
        <w:t xml:space="preserve"> the</w:t>
      </w:r>
      <w:r w:rsidR="00260B25">
        <w:rPr>
          <w:rFonts w:ascii="Book Antiqua" w:hAnsi="Book Antiqua" w:cs="Arial"/>
        </w:rPr>
        <w:t xml:space="preserve"> </w:t>
      </w:r>
      <w:r>
        <w:rPr>
          <w:rFonts w:ascii="Book Antiqua" w:hAnsi="Book Antiqua" w:cs="Arial"/>
        </w:rPr>
        <w:t xml:space="preserve">procedure in appeals before the FTT </w:t>
      </w:r>
      <w:r w:rsidR="00BE2211">
        <w:rPr>
          <w:rFonts w:ascii="Book Antiqua" w:hAnsi="Book Antiqua" w:cs="Arial"/>
        </w:rPr>
        <w:t>is</w:t>
      </w:r>
      <w:r>
        <w:rPr>
          <w:rFonts w:ascii="Book Antiqua" w:hAnsi="Book Antiqua" w:cs="Arial"/>
        </w:rPr>
        <w:t xml:space="preserve"> essentially adversarial and there was no requirement for the Secretary of State to take steps to prove that her own decision was wrong.</w:t>
      </w:r>
    </w:p>
    <w:p w:rsidR="006B4DC2" w:rsidRDefault="006B4DC2" w:rsidP="005E5DFF">
      <w:pPr>
        <w:numPr>
          <w:ilvl w:val="0"/>
          <w:numId w:val="3"/>
        </w:numPr>
        <w:spacing w:before="240"/>
        <w:jc w:val="both"/>
        <w:rPr>
          <w:rFonts w:ascii="Book Antiqua" w:hAnsi="Book Antiqua" w:cs="Arial"/>
        </w:rPr>
      </w:pPr>
      <w:r>
        <w:rPr>
          <w:rFonts w:ascii="Book Antiqua" w:hAnsi="Book Antiqua" w:cs="Arial"/>
        </w:rPr>
        <w:t xml:space="preserve">At paragraph 41 Lord Justice Stanley </w:t>
      </w:r>
      <w:proofErr w:type="spellStart"/>
      <w:r>
        <w:rPr>
          <w:rFonts w:ascii="Book Antiqua" w:hAnsi="Book Antiqua" w:cs="Arial"/>
        </w:rPr>
        <w:t>Burnton</w:t>
      </w:r>
      <w:proofErr w:type="spellEnd"/>
      <w:r>
        <w:rPr>
          <w:rFonts w:ascii="Book Antiqua" w:hAnsi="Book Antiqua" w:cs="Arial"/>
        </w:rPr>
        <w:t xml:space="preserve"> observed that the Appellant submitted that the decision in </w:t>
      </w:r>
      <w:r w:rsidRPr="006144D6">
        <w:rPr>
          <w:rFonts w:ascii="Book Antiqua" w:hAnsi="Book Antiqua" w:cs="Arial"/>
          <w:u w:val="single"/>
        </w:rPr>
        <w:t>Kerr</w:t>
      </w:r>
      <w:r>
        <w:rPr>
          <w:rFonts w:ascii="Book Antiqua" w:hAnsi="Book Antiqua" w:cs="Arial"/>
        </w:rPr>
        <w:t xml:space="preserve"> was authority for the proposition that it was for the Home Secretary to produce the documentation available to Her Majesty’s Revenue and Customs that would establish that her former husband had worked, and stated “I am unable to accept</w:t>
      </w:r>
      <w:r w:rsidR="00EF3320">
        <w:rPr>
          <w:rFonts w:ascii="Book Antiqua" w:hAnsi="Book Antiqua" w:cs="Arial"/>
        </w:rPr>
        <w:t xml:space="preserve"> this</w:t>
      </w:r>
      <w:r>
        <w:rPr>
          <w:rFonts w:ascii="Book Antiqua" w:hAnsi="Book Antiqua" w:cs="Arial"/>
        </w:rPr>
        <w:t xml:space="preserve"> submission.”</w:t>
      </w:r>
      <w:r w:rsidR="00080769">
        <w:rPr>
          <w:rFonts w:ascii="Book Antiqua" w:hAnsi="Book Antiqua" w:cs="Arial"/>
        </w:rPr>
        <w:t xml:space="preserve">  At p</w:t>
      </w:r>
      <w:r w:rsidR="00A65AB7">
        <w:rPr>
          <w:rFonts w:ascii="Book Antiqua" w:hAnsi="Book Antiqua" w:cs="Arial"/>
        </w:rPr>
        <w:t xml:space="preserve">aragraph 40 of </w:t>
      </w:r>
      <w:r w:rsidR="00A65AB7" w:rsidRPr="00D121C1">
        <w:rPr>
          <w:rFonts w:ascii="Book Antiqua" w:hAnsi="Book Antiqua" w:cs="Arial"/>
          <w:u w:val="single"/>
        </w:rPr>
        <w:t>Amos</w:t>
      </w:r>
      <w:r w:rsidR="00A65AB7">
        <w:rPr>
          <w:rFonts w:ascii="Book Antiqua" w:hAnsi="Book Antiqua" w:cs="Arial"/>
        </w:rPr>
        <w:t xml:space="preserve"> it was observed that the Appellant in that case had not sought a direction requiring the Secretary of State to provide any information necessary for the determination of her appeal, and had made no relevant application to the Tribunal.  It was stated “As Maurice K LJ pointed out in the course of argument, in these circumstances it is impossible to identify any error of law on the part of the Tribunal in this respect.”</w:t>
      </w:r>
    </w:p>
    <w:p w:rsidR="00A65AB7" w:rsidRDefault="00A65AB7" w:rsidP="005E5DFF">
      <w:pPr>
        <w:numPr>
          <w:ilvl w:val="0"/>
          <w:numId w:val="3"/>
        </w:numPr>
        <w:spacing w:before="240"/>
        <w:jc w:val="both"/>
        <w:rPr>
          <w:rFonts w:ascii="Book Antiqua" w:hAnsi="Book Antiqua" w:cs="Arial"/>
        </w:rPr>
      </w:pPr>
      <w:r>
        <w:rPr>
          <w:rFonts w:ascii="Book Antiqua" w:hAnsi="Book Antiqua" w:cs="Arial"/>
        </w:rPr>
        <w:t xml:space="preserve">I conclude that if the judge was not requested to make a direction to the Respondent, to obtain information from HMRC, the judge committed no error of law in not making such a direction of his own volition.  I am unable to accept that there was in fact a request made to the judge for such a direction.  I make this finding on the basis that in my view the Appellant’s representatives were unaware such a direction could be requested.  If the Appellant’s solicitors had been aware of this, then an application </w:t>
      </w:r>
      <w:r>
        <w:rPr>
          <w:rFonts w:ascii="Book Antiqua" w:hAnsi="Book Antiqua" w:cs="Arial"/>
        </w:rPr>
        <w:lastRenderedPageBreak/>
        <w:t xml:space="preserve">could have been made for such a direction prior to the hearing.  Mr </w:t>
      </w:r>
      <w:proofErr w:type="spellStart"/>
      <w:r>
        <w:rPr>
          <w:rFonts w:ascii="Book Antiqua" w:hAnsi="Book Antiqua" w:cs="Arial"/>
        </w:rPr>
        <w:t>Osadebe</w:t>
      </w:r>
      <w:proofErr w:type="spellEnd"/>
      <w:r>
        <w:rPr>
          <w:rFonts w:ascii="Book Antiqua" w:hAnsi="Book Antiqua" w:cs="Arial"/>
        </w:rPr>
        <w:t xml:space="preserve"> was unaware of the decision in </w:t>
      </w:r>
      <w:r w:rsidRPr="00E33FE9">
        <w:rPr>
          <w:rFonts w:ascii="Book Antiqua" w:hAnsi="Book Antiqua" w:cs="Arial"/>
          <w:u w:val="single"/>
        </w:rPr>
        <w:t>Amos</w:t>
      </w:r>
      <w:r>
        <w:rPr>
          <w:rFonts w:ascii="Book Antiqua" w:hAnsi="Book Antiqua" w:cs="Arial"/>
        </w:rPr>
        <w:t xml:space="preserve"> prior to the FTT hearing, and at the FTT hearing.  The brief Record of Proceedings</w:t>
      </w:r>
      <w:r w:rsidR="00DE686F">
        <w:rPr>
          <w:rFonts w:ascii="Book Antiqua" w:hAnsi="Book Antiqua" w:cs="Arial"/>
        </w:rPr>
        <w:t xml:space="preserve"> prepared</w:t>
      </w:r>
      <w:r>
        <w:rPr>
          <w:rFonts w:ascii="Book Antiqua" w:hAnsi="Book Antiqua" w:cs="Arial"/>
        </w:rPr>
        <w:t xml:space="preserve"> by the judge, makes no reference to any direction being requested, and this accords with the notes made by the Presenting Officer before the FTT, which also records that no request for a direction was made.  In addition, I note that there was no reference in the grounds seeking permission to appeal to the Upper Tribunal, to the judge being requested to make a direction</w:t>
      </w:r>
      <w:r w:rsidR="00DE686F">
        <w:rPr>
          <w:rFonts w:ascii="Book Antiqua" w:hAnsi="Book Antiqua" w:cs="Arial"/>
        </w:rPr>
        <w:t xml:space="preserve"> but</w:t>
      </w:r>
      <w:r>
        <w:rPr>
          <w:rFonts w:ascii="Book Antiqua" w:hAnsi="Book Antiqua" w:cs="Arial"/>
        </w:rPr>
        <w:t xml:space="preserve"> refusing to do so.  </w:t>
      </w:r>
    </w:p>
    <w:p w:rsidR="00A65AB7" w:rsidRDefault="00A65AB7" w:rsidP="005E5DFF">
      <w:pPr>
        <w:numPr>
          <w:ilvl w:val="0"/>
          <w:numId w:val="3"/>
        </w:numPr>
        <w:spacing w:before="240"/>
        <w:jc w:val="both"/>
        <w:rPr>
          <w:rFonts w:ascii="Book Antiqua" w:hAnsi="Book Antiqua" w:cs="Arial"/>
        </w:rPr>
      </w:pPr>
      <w:r>
        <w:rPr>
          <w:rFonts w:ascii="Book Antiqua" w:hAnsi="Book Antiqua" w:cs="Arial"/>
        </w:rPr>
        <w:t xml:space="preserve">I therefore conclude that the judge was not asked to make a direction to the Secretary of State to seek information from HMRC, therefore, in my view, did not err in law in not making such a direction of his own volition when not asked to do so.  </w:t>
      </w:r>
    </w:p>
    <w:p w:rsidR="00A65AB7" w:rsidRPr="00F5664C" w:rsidRDefault="00A65AB7" w:rsidP="005E5DFF">
      <w:pPr>
        <w:numPr>
          <w:ilvl w:val="0"/>
          <w:numId w:val="3"/>
        </w:numPr>
        <w:spacing w:before="240"/>
        <w:jc w:val="both"/>
        <w:rPr>
          <w:rFonts w:ascii="Book Antiqua" w:hAnsi="Book Antiqua" w:cs="Arial"/>
        </w:rPr>
      </w:pPr>
      <w:r>
        <w:rPr>
          <w:rFonts w:ascii="Book Antiqua" w:hAnsi="Book Antiqua" w:cs="Arial"/>
        </w:rPr>
        <w:t>I therefore find no material error of law in the decision of the FTT, and the decision stands.</w:t>
      </w: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r w:rsidRPr="00F13D39">
        <w:rPr>
          <w:rFonts w:ascii="Book Antiqua" w:hAnsi="Book Antiqua" w:cs="Arial"/>
        </w:rPr>
        <w:t xml:space="preserve">The </w:t>
      </w:r>
      <w:r w:rsidR="00A65AB7">
        <w:rPr>
          <w:rFonts w:ascii="Book Antiqua" w:hAnsi="Book Antiqua" w:cs="Arial"/>
        </w:rPr>
        <w:t xml:space="preserve">decision of the FTT does not involve a material error of law.  I do not set aside the decision.  The appeal is dismissed.  </w:t>
      </w:r>
    </w:p>
    <w:p w:rsidR="00A65AB7" w:rsidRDefault="00A65AB7" w:rsidP="00F13D39">
      <w:pPr>
        <w:jc w:val="both"/>
        <w:rPr>
          <w:rFonts w:ascii="Book Antiqua" w:hAnsi="Book Antiqua" w:cs="Arial"/>
        </w:rPr>
      </w:pPr>
    </w:p>
    <w:p w:rsidR="00A65AB7" w:rsidRPr="00F13D39" w:rsidRDefault="00A65AB7" w:rsidP="00F13D39">
      <w:pPr>
        <w:jc w:val="both"/>
        <w:rPr>
          <w:rFonts w:ascii="Book Antiqua" w:hAnsi="Book Antiqua" w:cs="Arial"/>
        </w:rPr>
      </w:pPr>
      <w:r>
        <w:rPr>
          <w:rFonts w:ascii="Book Antiqua" w:hAnsi="Book Antiqua" w:cs="Arial"/>
        </w:rPr>
        <w:t>There has been no application for anonymity and I see no need to make an anonymity direction.</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No anonymity direction is made.</w:t>
      </w:r>
    </w:p>
    <w:p w:rsidR="00F13D39" w:rsidRPr="00F13D39" w:rsidRDefault="00F13D39" w:rsidP="00F13D39">
      <w:pPr>
        <w:jc w:val="both"/>
        <w:rPr>
          <w:rFonts w:ascii="Book Antiqua" w:hAnsi="Book Antiqua" w:cs="Arial"/>
        </w:rPr>
      </w:pPr>
    </w:p>
    <w:p w:rsidR="005468A0" w:rsidRDefault="005468A0"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A65AB7">
        <w:rPr>
          <w:rFonts w:ascii="Book Antiqua" w:hAnsi="Book Antiqua" w:cs="Arial"/>
        </w:rPr>
        <w:t xml:space="preserve"> 4</w:t>
      </w:r>
      <w:r w:rsidR="00A65AB7" w:rsidRPr="00A65AB7">
        <w:rPr>
          <w:rFonts w:ascii="Book Antiqua" w:hAnsi="Book Antiqua" w:cs="Arial"/>
          <w:vertAlign w:val="superscript"/>
        </w:rPr>
        <w:t>th</w:t>
      </w:r>
      <w:r w:rsidR="00A65AB7">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5468A0" w:rsidRDefault="005468A0" w:rsidP="000369F5">
      <w:pPr>
        <w:tabs>
          <w:tab w:val="left" w:pos="2520"/>
        </w:tabs>
        <w:jc w:val="both"/>
        <w:rPr>
          <w:rFonts w:ascii="Book Antiqua" w:hAnsi="Book Antiqua" w:cs="Arial"/>
        </w:rPr>
      </w:pPr>
    </w:p>
    <w:p w:rsidR="005468A0" w:rsidRDefault="005468A0"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F13D39" w:rsidRDefault="00A65AB7" w:rsidP="00F13D39">
      <w:pPr>
        <w:jc w:val="both"/>
        <w:rPr>
          <w:rFonts w:ascii="Book Antiqua" w:hAnsi="Book Antiqua" w:cs="Arial"/>
        </w:rPr>
      </w:pPr>
      <w:r>
        <w:rPr>
          <w:rFonts w:ascii="Book Antiqua" w:hAnsi="Book Antiqua" w:cs="Arial"/>
        </w:rPr>
        <w:t>The appeal is dismissed.  There is no fee award.</w:t>
      </w:r>
    </w:p>
    <w:p w:rsidR="00F13D39" w:rsidRDefault="00F13D39" w:rsidP="00F13D39">
      <w:pPr>
        <w:jc w:val="both"/>
        <w:rPr>
          <w:rFonts w:ascii="Book Antiqua" w:hAnsi="Book Antiqua" w:cs="Arial"/>
        </w:rPr>
      </w:pPr>
    </w:p>
    <w:p w:rsidR="005468A0" w:rsidRDefault="005468A0"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A65AB7">
        <w:rPr>
          <w:rFonts w:ascii="Book Antiqua" w:hAnsi="Book Antiqua" w:cs="Arial"/>
        </w:rPr>
        <w:t xml:space="preserve"> 4</w:t>
      </w:r>
      <w:r w:rsidR="00A65AB7" w:rsidRPr="00A65AB7">
        <w:rPr>
          <w:rFonts w:ascii="Book Antiqua" w:hAnsi="Book Antiqua" w:cs="Arial"/>
          <w:vertAlign w:val="superscript"/>
        </w:rPr>
        <w:t>th</w:t>
      </w:r>
      <w:r w:rsidR="00A65AB7">
        <w:rPr>
          <w:rFonts w:ascii="Book Antiqua" w:hAnsi="Book Antiqua" w:cs="Arial"/>
        </w:rPr>
        <w:t xml:space="preserve"> May 2018</w:t>
      </w:r>
    </w:p>
    <w:p w:rsidR="00F13D39" w:rsidRPr="00F5664C" w:rsidRDefault="00F13D39" w:rsidP="00F13D39">
      <w:pPr>
        <w:tabs>
          <w:tab w:val="left" w:pos="2520"/>
        </w:tabs>
        <w:jc w:val="both"/>
        <w:rPr>
          <w:rFonts w:ascii="Book Antiqua" w:hAnsi="Book Antiqua" w:cs="Arial"/>
        </w:rPr>
      </w:pPr>
    </w:p>
    <w:p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C321B5" w:rsidRPr="00F5664C" w:rsidSect="00776E97">
      <w:headerReference w:type="even" r:id="rId8"/>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5C5" w:rsidRDefault="00A905C5">
      <w:r>
        <w:separator/>
      </w:r>
    </w:p>
  </w:endnote>
  <w:endnote w:type="continuationSeparator" w:id="0">
    <w:p w:rsidR="00A905C5" w:rsidRDefault="00A9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468A0">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C5" w:rsidRDefault="00A905C5">
      <w:r>
        <w:separator/>
      </w:r>
    </w:p>
  </w:footnote>
  <w:footnote w:type="continuationSeparator" w:id="0">
    <w:p w:rsidR="00A905C5" w:rsidRDefault="00A90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A03" w:rsidRDefault="00AF5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794835">
      <w:rPr>
        <w:rFonts w:ascii="Book Antiqua" w:hAnsi="Book Antiqua" w:cs="Arial"/>
        <w:sz w:val="16"/>
        <w:szCs w:val="16"/>
      </w:rPr>
      <w:t>EA/10257/2016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35"/>
    <w:rsid w:val="00000621"/>
    <w:rsid w:val="000036C2"/>
    <w:rsid w:val="00016943"/>
    <w:rsid w:val="00030C00"/>
    <w:rsid w:val="00033D3D"/>
    <w:rsid w:val="000369F5"/>
    <w:rsid w:val="00047F27"/>
    <w:rsid w:val="00071A7E"/>
    <w:rsid w:val="000746C0"/>
    <w:rsid w:val="00074D1D"/>
    <w:rsid w:val="00080769"/>
    <w:rsid w:val="00092580"/>
    <w:rsid w:val="00094889"/>
    <w:rsid w:val="000D01C9"/>
    <w:rsid w:val="000D1CF4"/>
    <w:rsid w:val="000D5D94"/>
    <w:rsid w:val="000E0CD7"/>
    <w:rsid w:val="000E3FF2"/>
    <w:rsid w:val="00114F8B"/>
    <w:rsid w:val="001165A7"/>
    <w:rsid w:val="00151BB7"/>
    <w:rsid w:val="00152321"/>
    <w:rsid w:val="00155775"/>
    <w:rsid w:val="00167D3A"/>
    <w:rsid w:val="001A1E2C"/>
    <w:rsid w:val="001F2716"/>
    <w:rsid w:val="0020133A"/>
    <w:rsid w:val="00207617"/>
    <w:rsid w:val="00244BC9"/>
    <w:rsid w:val="00254451"/>
    <w:rsid w:val="00255071"/>
    <w:rsid w:val="00260B25"/>
    <w:rsid w:val="00273446"/>
    <w:rsid w:val="00280D0E"/>
    <w:rsid w:val="00283659"/>
    <w:rsid w:val="002C4E73"/>
    <w:rsid w:val="002D68BF"/>
    <w:rsid w:val="00301E37"/>
    <w:rsid w:val="003351DF"/>
    <w:rsid w:val="00336CBF"/>
    <w:rsid w:val="00352127"/>
    <w:rsid w:val="003546C8"/>
    <w:rsid w:val="0038601C"/>
    <w:rsid w:val="003A7CF2"/>
    <w:rsid w:val="003C49CE"/>
    <w:rsid w:val="003C5CE5"/>
    <w:rsid w:val="003D0DAC"/>
    <w:rsid w:val="003E267B"/>
    <w:rsid w:val="003E5A08"/>
    <w:rsid w:val="003E7CD1"/>
    <w:rsid w:val="003F203D"/>
    <w:rsid w:val="00402B9E"/>
    <w:rsid w:val="00423932"/>
    <w:rsid w:val="004249CB"/>
    <w:rsid w:val="0044127D"/>
    <w:rsid w:val="004448DB"/>
    <w:rsid w:val="00446C9A"/>
    <w:rsid w:val="00465F8E"/>
    <w:rsid w:val="00477193"/>
    <w:rsid w:val="0048206D"/>
    <w:rsid w:val="004A1848"/>
    <w:rsid w:val="004C134C"/>
    <w:rsid w:val="004F41FB"/>
    <w:rsid w:val="00507FEC"/>
    <w:rsid w:val="00510F0E"/>
    <w:rsid w:val="00542403"/>
    <w:rsid w:val="005468A0"/>
    <w:rsid w:val="005479E1"/>
    <w:rsid w:val="005570FD"/>
    <w:rsid w:val="005575EA"/>
    <w:rsid w:val="0057790C"/>
    <w:rsid w:val="00593795"/>
    <w:rsid w:val="005A75FF"/>
    <w:rsid w:val="005B7789"/>
    <w:rsid w:val="005E5DFF"/>
    <w:rsid w:val="005F053D"/>
    <w:rsid w:val="005F7DB4"/>
    <w:rsid w:val="006144D6"/>
    <w:rsid w:val="00616F9F"/>
    <w:rsid w:val="0063253A"/>
    <w:rsid w:val="0065791C"/>
    <w:rsid w:val="00680455"/>
    <w:rsid w:val="00690B8A"/>
    <w:rsid w:val="00693573"/>
    <w:rsid w:val="006B4DC2"/>
    <w:rsid w:val="006D1DFA"/>
    <w:rsid w:val="006D506B"/>
    <w:rsid w:val="006E3C90"/>
    <w:rsid w:val="00704B61"/>
    <w:rsid w:val="00707DB1"/>
    <w:rsid w:val="007353BB"/>
    <w:rsid w:val="00742A8D"/>
    <w:rsid w:val="00752359"/>
    <w:rsid w:val="007552A9"/>
    <w:rsid w:val="00761858"/>
    <w:rsid w:val="00767D59"/>
    <w:rsid w:val="00776E97"/>
    <w:rsid w:val="00780FD7"/>
    <w:rsid w:val="00790E20"/>
    <w:rsid w:val="007912AD"/>
    <w:rsid w:val="00794835"/>
    <w:rsid w:val="007A1F28"/>
    <w:rsid w:val="007A2C20"/>
    <w:rsid w:val="007A78BF"/>
    <w:rsid w:val="007B0824"/>
    <w:rsid w:val="007C0CD9"/>
    <w:rsid w:val="007C2397"/>
    <w:rsid w:val="007F0534"/>
    <w:rsid w:val="0081541B"/>
    <w:rsid w:val="008303B8"/>
    <w:rsid w:val="00833DCE"/>
    <w:rsid w:val="008341FC"/>
    <w:rsid w:val="00842418"/>
    <w:rsid w:val="008634DB"/>
    <w:rsid w:val="00871D34"/>
    <w:rsid w:val="00887842"/>
    <w:rsid w:val="008901DD"/>
    <w:rsid w:val="008B270C"/>
    <w:rsid w:val="008C2ED5"/>
    <w:rsid w:val="008C3D3D"/>
    <w:rsid w:val="008D4131"/>
    <w:rsid w:val="008D5128"/>
    <w:rsid w:val="008F1932"/>
    <w:rsid w:val="008F294D"/>
    <w:rsid w:val="00921062"/>
    <w:rsid w:val="0092618D"/>
    <w:rsid w:val="0093083E"/>
    <w:rsid w:val="00966ECF"/>
    <w:rsid w:val="009727A3"/>
    <w:rsid w:val="00987774"/>
    <w:rsid w:val="009A11E8"/>
    <w:rsid w:val="009A7648"/>
    <w:rsid w:val="009D0C2C"/>
    <w:rsid w:val="009E4E62"/>
    <w:rsid w:val="009E7C35"/>
    <w:rsid w:val="009F5220"/>
    <w:rsid w:val="009F7C4D"/>
    <w:rsid w:val="00A123EF"/>
    <w:rsid w:val="00A15234"/>
    <w:rsid w:val="00A201AB"/>
    <w:rsid w:val="00A30C2A"/>
    <w:rsid w:val="00A31C8B"/>
    <w:rsid w:val="00A65AB7"/>
    <w:rsid w:val="00A75965"/>
    <w:rsid w:val="00A845DC"/>
    <w:rsid w:val="00A905C5"/>
    <w:rsid w:val="00A90B68"/>
    <w:rsid w:val="00A90C98"/>
    <w:rsid w:val="00A97AEE"/>
    <w:rsid w:val="00AA2D70"/>
    <w:rsid w:val="00AC5CF6"/>
    <w:rsid w:val="00AC6B0F"/>
    <w:rsid w:val="00AD68C1"/>
    <w:rsid w:val="00AF5A03"/>
    <w:rsid w:val="00B144FA"/>
    <w:rsid w:val="00B16F58"/>
    <w:rsid w:val="00B30648"/>
    <w:rsid w:val="00B337AA"/>
    <w:rsid w:val="00B3524D"/>
    <w:rsid w:val="00B40F69"/>
    <w:rsid w:val="00B45E92"/>
    <w:rsid w:val="00B4659E"/>
    <w:rsid w:val="00B46616"/>
    <w:rsid w:val="00B610E3"/>
    <w:rsid w:val="00B61205"/>
    <w:rsid w:val="00B617C4"/>
    <w:rsid w:val="00B626FA"/>
    <w:rsid w:val="00B7040A"/>
    <w:rsid w:val="00B96FA0"/>
    <w:rsid w:val="00BD4196"/>
    <w:rsid w:val="00BE2211"/>
    <w:rsid w:val="00BE31CE"/>
    <w:rsid w:val="00BF22CA"/>
    <w:rsid w:val="00C26032"/>
    <w:rsid w:val="00C265B0"/>
    <w:rsid w:val="00C321B5"/>
    <w:rsid w:val="00C345E1"/>
    <w:rsid w:val="00C3493B"/>
    <w:rsid w:val="00C977BA"/>
    <w:rsid w:val="00CB6E35"/>
    <w:rsid w:val="00CE1A46"/>
    <w:rsid w:val="00CE26B2"/>
    <w:rsid w:val="00CE3A2F"/>
    <w:rsid w:val="00CE4E1D"/>
    <w:rsid w:val="00CF253F"/>
    <w:rsid w:val="00CF56B4"/>
    <w:rsid w:val="00D121C1"/>
    <w:rsid w:val="00D20F09"/>
    <w:rsid w:val="00D22636"/>
    <w:rsid w:val="00D40FD9"/>
    <w:rsid w:val="00D45764"/>
    <w:rsid w:val="00D45A31"/>
    <w:rsid w:val="00D53769"/>
    <w:rsid w:val="00D65912"/>
    <w:rsid w:val="00D85C13"/>
    <w:rsid w:val="00D91BE3"/>
    <w:rsid w:val="00D94AFC"/>
    <w:rsid w:val="00DA3113"/>
    <w:rsid w:val="00DB70AE"/>
    <w:rsid w:val="00DB7231"/>
    <w:rsid w:val="00DC1C00"/>
    <w:rsid w:val="00DC6552"/>
    <w:rsid w:val="00DD5071"/>
    <w:rsid w:val="00DD5C39"/>
    <w:rsid w:val="00DE26AF"/>
    <w:rsid w:val="00DE686F"/>
    <w:rsid w:val="00DE7DB7"/>
    <w:rsid w:val="00E00A0A"/>
    <w:rsid w:val="00E05FAC"/>
    <w:rsid w:val="00E07F57"/>
    <w:rsid w:val="00E1040E"/>
    <w:rsid w:val="00E33FE9"/>
    <w:rsid w:val="00E50BCE"/>
    <w:rsid w:val="00E6068E"/>
    <w:rsid w:val="00E61292"/>
    <w:rsid w:val="00E6689F"/>
    <w:rsid w:val="00E76309"/>
    <w:rsid w:val="00E77C4D"/>
    <w:rsid w:val="00E81D01"/>
    <w:rsid w:val="00E86CA9"/>
    <w:rsid w:val="00EC3DB1"/>
    <w:rsid w:val="00EE45D8"/>
    <w:rsid w:val="00EF3320"/>
    <w:rsid w:val="00F004CD"/>
    <w:rsid w:val="00F13D39"/>
    <w:rsid w:val="00F22A22"/>
    <w:rsid w:val="00F22EDA"/>
    <w:rsid w:val="00F3224D"/>
    <w:rsid w:val="00F33E0E"/>
    <w:rsid w:val="00F5664C"/>
    <w:rsid w:val="00F85E8A"/>
    <w:rsid w:val="00FA2560"/>
    <w:rsid w:val="00FB0CFD"/>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D1CB747"/>
  <w15:chartTrackingRefBased/>
  <w15:docId w15:val="{C990E683-9C61-4AD1-BFBC-49B10C86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1974</Words>
  <Characters>9235</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H-     -V1</vt:lpstr>
    </vt:vector>
  </TitlesOfParts>
  <Company>Court Service</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-V1</dc:title>
  <dc:subject/>
  <dc:creator/>
  <cp:keywords/>
  <dc:description/>
  <cp:lastModifiedBy>Dalziel, Robert</cp:lastModifiedBy>
  <cp:revision>3</cp:revision>
  <cp:lastPrinted>2018-05-15T13:19:00Z</cp:lastPrinted>
  <dcterms:created xsi:type="dcterms:W3CDTF">2018-05-15T15:46:00Z</dcterms:created>
  <dcterms:modified xsi:type="dcterms:W3CDTF">2018-06-01T13:31:00Z</dcterms:modified>
</cp:coreProperties>
</file>