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F80452" w:rsidRDefault="00A23A6F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F80452">
        <w:rPr>
          <w:noProof/>
          <w:sz w:val="16"/>
          <w:szCs w:val="16"/>
        </w:rPr>
        <w:drawing>
          <wp:inline distT="0" distB="0" distL="0" distR="0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F80452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6B64B9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6B64B9" w:rsidRPr="006B64B9">
        <w:rPr>
          <w:rFonts w:ascii="Book Antiqua" w:hAnsi="Book Antiqua" w:cs="Arial"/>
          <w:caps/>
          <w:color w:val="000000"/>
        </w:rPr>
        <w:t>EA/</w:t>
      </w:r>
      <w:r w:rsidR="0089758E">
        <w:rPr>
          <w:rFonts w:ascii="Book Antiqua" w:hAnsi="Book Antiqua" w:cs="Arial"/>
          <w:caps/>
          <w:color w:val="000000"/>
        </w:rPr>
        <w:t>10300/2016</w:t>
      </w:r>
      <w:bookmarkEnd w:id="0"/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371147" w:rsidTr="00371147">
        <w:tc>
          <w:tcPr>
            <w:tcW w:w="6048" w:type="dxa"/>
            <w:shd w:val="clear" w:color="auto" w:fill="auto"/>
          </w:tcPr>
          <w:p w:rsidR="00D22636" w:rsidRPr="00371147" w:rsidRDefault="00D22636" w:rsidP="00371147">
            <w:pPr>
              <w:jc w:val="both"/>
              <w:rPr>
                <w:rFonts w:ascii="Book Antiqua" w:hAnsi="Book Antiqua" w:cs="Arial"/>
                <w:b/>
              </w:rPr>
            </w:pPr>
            <w:r w:rsidRPr="00371147">
              <w:rPr>
                <w:rFonts w:ascii="Book Antiqua" w:hAnsi="Book Antiqua" w:cs="Arial"/>
                <w:b/>
              </w:rPr>
              <w:t xml:space="preserve">Heard at </w:t>
            </w:r>
            <w:r w:rsidR="006B64B9" w:rsidRPr="00371147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371147" w:rsidRDefault="00D949B7" w:rsidP="00371147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371147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371147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371147" w:rsidTr="00371147">
        <w:tc>
          <w:tcPr>
            <w:tcW w:w="6048" w:type="dxa"/>
            <w:shd w:val="clear" w:color="auto" w:fill="auto"/>
          </w:tcPr>
          <w:p w:rsidR="00D22636" w:rsidRPr="00371147" w:rsidRDefault="00D22636" w:rsidP="00371147">
            <w:pPr>
              <w:jc w:val="both"/>
              <w:rPr>
                <w:rFonts w:ascii="Book Antiqua" w:hAnsi="Book Antiqua" w:cs="Arial"/>
                <w:b/>
              </w:rPr>
            </w:pPr>
            <w:r w:rsidRPr="00371147">
              <w:rPr>
                <w:rFonts w:ascii="Book Antiqua" w:hAnsi="Book Antiqua" w:cs="Arial"/>
                <w:b/>
              </w:rPr>
              <w:t xml:space="preserve">On </w:t>
            </w:r>
            <w:r w:rsidR="0089758E" w:rsidRPr="00371147">
              <w:rPr>
                <w:rFonts w:ascii="Book Antiqua" w:hAnsi="Book Antiqua" w:cs="Arial"/>
                <w:b/>
              </w:rPr>
              <w:t>16</w:t>
            </w:r>
            <w:r w:rsidR="0089758E" w:rsidRPr="00371147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89758E" w:rsidRPr="00371147">
              <w:rPr>
                <w:rFonts w:ascii="Book Antiqua" w:hAnsi="Book Antiqua" w:cs="Arial"/>
                <w:b/>
              </w:rPr>
              <w:t xml:space="preserve"> July</w:t>
            </w:r>
            <w:r w:rsidR="006B64B9" w:rsidRPr="00371147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3960" w:type="dxa"/>
            <w:shd w:val="clear" w:color="auto" w:fill="auto"/>
          </w:tcPr>
          <w:p w:rsidR="00D22636" w:rsidRPr="00371147" w:rsidRDefault="00A23A6F" w:rsidP="0037114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</w:t>
            </w:r>
            <w:r w:rsidRPr="00A23A6F">
              <w:rPr>
                <w:rFonts w:ascii="Book Antiqua" w:hAnsi="Book Antiqua" w:cs="Arial"/>
                <w:b/>
                <w:vertAlign w:val="superscript"/>
              </w:rPr>
              <w:t>nd</w:t>
            </w:r>
            <w:r>
              <w:rPr>
                <w:rFonts w:ascii="Book Antiqua" w:hAnsi="Book Antiqua" w:cs="Arial"/>
                <w:b/>
              </w:rPr>
              <w:t xml:space="preserve"> August 2018 </w:t>
            </w:r>
          </w:p>
        </w:tc>
      </w:tr>
      <w:tr w:rsidR="00D22636" w:rsidRPr="00371147" w:rsidTr="00371147">
        <w:tc>
          <w:tcPr>
            <w:tcW w:w="6048" w:type="dxa"/>
            <w:shd w:val="clear" w:color="auto" w:fill="auto"/>
          </w:tcPr>
          <w:p w:rsidR="00D22636" w:rsidRPr="00371147" w:rsidRDefault="00D22636" w:rsidP="0037114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371147" w:rsidRDefault="00D22636" w:rsidP="00371147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4A2D15" w:rsidRPr="001C5703" w:rsidRDefault="000C40FF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SAINI</w:t>
      </w: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F80452" w:rsidRDefault="00F80452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6B64B9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MD </w:t>
      </w:r>
      <w:r w:rsidR="0089758E">
        <w:rPr>
          <w:rFonts w:ascii="Book Antiqua" w:hAnsi="Book Antiqua" w:cs="Arial"/>
          <w:b/>
          <w:caps/>
        </w:rPr>
        <w:t>aurang zeb</w:t>
      </w:r>
    </w:p>
    <w:p w:rsidR="00704B61" w:rsidRPr="00F80452" w:rsidRDefault="00D949B7" w:rsidP="00A15234">
      <w:pPr>
        <w:jc w:val="center"/>
        <w:rPr>
          <w:rFonts w:ascii="Book Antiqua" w:hAnsi="Book Antiqua" w:cs="Arial"/>
          <w:b/>
          <w:sz w:val="22"/>
        </w:rPr>
      </w:pPr>
      <w:r w:rsidRPr="00F80452">
        <w:rPr>
          <w:rFonts w:ascii="Book Antiqua" w:hAnsi="Book Antiqua" w:cs="Arial"/>
          <w:b/>
          <w:caps/>
          <w:sz w:val="22"/>
        </w:rPr>
        <w:t xml:space="preserve">(ANONYMITY DIRECTION </w:t>
      </w:r>
      <w:bookmarkStart w:id="1" w:name="Text21"/>
      <w:r w:rsidR="008223B4" w:rsidRPr="00F80452">
        <w:rPr>
          <w:rFonts w:ascii="Book Antiqua" w:hAnsi="Book Antiqua" w:cs="Arial"/>
          <w:b/>
          <w:caps/>
          <w:sz w:val="22"/>
        </w:rPr>
        <w:fldChar w:fldCharType="begin">
          <w:ffData>
            <w:name w:val="Text21"/>
            <w:enabled/>
            <w:calcOnExit w:val="0"/>
            <w:textInput>
              <w:default w:val="NOT MADE"/>
            </w:textInput>
          </w:ffData>
        </w:fldChar>
      </w:r>
      <w:r w:rsidR="008223B4" w:rsidRPr="00F80452">
        <w:rPr>
          <w:rFonts w:ascii="Book Antiqua" w:hAnsi="Book Antiqua" w:cs="Arial"/>
          <w:b/>
          <w:caps/>
          <w:sz w:val="22"/>
        </w:rPr>
        <w:instrText xml:space="preserve"> FORMTEXT </w:instrText>
      </w:r>
      <w:r w:rsidR="008223B4" w:rsidRPr="00F80452">
        <w:rPr>
          <w:rFonts w:ascii="Book Antiqua" w:hAnsi="Book Antiqua" w:cs="Arial"/>
          <w:b/>
          <w:caps/>
          <w:sz w:val="22"/>
        </w:rPr>
      </w:r>
      <w:r w:rsidR="008223B4" w:rsidRPr="00F80452">
        <w:rPr>
          <w:rFonts w:ascii="Book Antiqua" w:hAnsi="Book Antiqua" w:cs="Arial"/>
          <w:b/>
          <w:caps/>
          <w:sz w:val="22"/>
        </w:rPr>
        <w:fldChar w:fldCharType="separate"/>
      </w:r>
      <w:r w:rsidR="008223B4" w:rsidRPr="00F80452">
        <w:rPr>
          <w:rFonts w:ascii="Book Antiqua" w:hAnsi="Book Antiqua" w:cs="Arial"/>
          <w:b/>
          <w:caps/>
          <w:noProof/>
          <w:sz w:val="22"/>
        </w:rPr>
        <w:t>NOT MADE</w:t>
      </w:r>
      <w:r w:rsidR="008223B4" w:rsidRPr="00F80452">
        <w:rPr>
          <w:rFonts w:ascii="Book Antiqua" w:hAnsi="Book Antiqua" w:cs="Arial"/>
          <w:b/>
          <w:caps/>
          <w:sz w:val="22"/>
        </w:rPr>
        <w:fldChar w:fldCharType="end"/>
      </w:r>
      <w:bookmarkEnd w:id="1"/>
      <w:r w:rsidRPr="00F80452">
        <w:rPr>
          <w:rFonts w:ascii="Book Antiqua" w:hAnsi="Book Antiqua" w:cs="Arial"/>
          <w:b/>
          <w:caps/>
          <w:sz w:val="22"/>
        </w:rPr>
        <w:t>)</w:t>
      </w:r>
    </w:p>
    <w:p w:rsidR="00704B61" w:rsidRPr="009B7433" w:rsidRDefault="00A14386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2"/>
    </w:p>
    <w:p w:rsidR="00DD5071" w:rsidRPr="009B7433" w:rsidRDefault="00A14386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F80452">
      <w:pPr>
        <w:tabs>
          <w:tab w:val="left" w:pos="2552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 xml:space="preserve">For the </w:t>
      </w:r>
      <w:r w:rsidR="00A14386">
        <w:rPr>
          <w:rFonts w:ascii="Book Antiqua" w:hAnsi="Book Antiqua" w:cs="Arial"/>
        </w:rPr>
        <w:t>Appellant</w:t>
      </w:r>
      <w:r w:rsidRPr="009B7433">
        <w:rPr>
          <w:rFonts w:ascii="Book Antiqua" w:hAnsi="Book Antiqua" w:cs="Arial"/>
        </w:rPr>
        <w:t>:</w:t>
      </w:r>
      <w:r w:rsidRPr="009B7433">
        <w:rPr>
          <w:rFonts w:ascii="Book Antiqua" w:hAnsi="Book Antiqua" w:cs="Arial"/>
        </w:rPr>
        <w:tab/>
      </w:r>
      <w:r w:rsidR="0089758E">
        <w:rPr>
          <w:rFonts w:ascii="Book Antiqua" w:hAnsi="Book Antiqua" w:cs="Arial"/>
        </w:rPr>
        <w:t>No appearance or representation</w:t>
      </w:r>
    </w:p>
    <w:p w:rsidR="00DE7DB7" w:rsidRPr="009B7433" w:rsidRDefault="00DE7DB7" w:rsidP="00F80452">
      <w:pPr>
        <w:tabs>
          <w:tab w:val="left" w:pos="2552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 xml:space="preserve">For the </w:t>
      </w:r>
      <w:r w:rsidR="00A14386">
        <w:rPr>
          <w:rFonts w:ascii="Book Antiqua" w:hAnsi="Book Antiqua" w:cs="Arial"/>
        </w:rPr>
        <w:t>Respondent</w:t>
      </w:r>
      <w:r w:rsidRPr="009B7433">
        <w:rPr>
          <w:rFonts w:ascii="Book Antiqua" w:hAnsi="Book Antiqua" w:cs="Arial"/>
        </w:rPr>
        <w:t>:</w:t>
      </w:r>
      <w:r w:rsidRPr="009B7433">
        <w:rPr>
          <w:rFonts w:ascii="Book Antiqua" w:hAnsi="Book Antiqua" w:cs="Arial"/>
        </w:rPr>
        <w:tab/>
      </w:r>
      <w:r w:rsidR="00175D6F">
        <w:rPr>
          <w:rFonts w:ascii="Book Antiqua" w:hAnsi="Book Antiqua" w:cs="Arial"/>
        </w:rPr>
        <w:t>M</w:t>
      </w:r>
      <w:r w:rsidR="0089758E">
        <w:rPr>
          <w:rFonts w:ascii="Book Antiqua" w:hAnsi="Book Antiqua" w:cs="Arial"/>
        </w:rPr>
        <w:t xml:space="preserve">s A Everett, Home Office Presenting Officer </w:t>
      </w: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9B7433" w:rsidRDefault="00DE7DB7" w:rsidP="000A0743">
      <w:pPr>
        <w:jc w:val="center"/>
        <w:rPr>
          <w:rFonts w:ascii="Book Antiqua" w:hAnsi="Book Antiqua" w:cs="Arial"/>
        </w:rPr>
      </w:pPr>
    </w:p>
    <w:p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D6230D" w:rsidRDefault="004031BA" w:rsidP="00D6230D">
      <w:pPr>
        <w:pStyle w:val="p"/>
      </w:pPr>
      <w:r w:rsidRPr="00C31856">
        <w:t xml:space="preserve">The </w:t>
      </w:r>
      <w:r w:rsidR="00A14386">
        <w:t>Appellant</w:t>
      </w:r>
      <w:r w:rsidR="0089758E">
        <w:t xml:space="preserve"> appeals against the decision of First-tier Tribunal Judge Hussain dismissing his appeal against a refusal of his application for a residence card as the spouse of an EEA national on the basis of the </w:t>
      </w:r>
      <w:r w:rsidR="00A14386">
        <w:t>Appellant</w:t>
      </w:r>
      <w:r w:rsidR="0089758E">
        <w:t xml:space="preserve">’s non-compliance with Rule 19 of the Tribunal Procedure (First-tier Tribunal) (Immigration and Asylum Chamber) Rules 2014 specifically at Rule 19, subparagraph 5.  The </w:t>
      </w:r>
      <w:r w:rsidR="00A14386">
        <w:t>Appellant</w:t>
      </w:r>
      <w:r w:rsidR="0089758E">
        <w:t xml:space="preserve"> appealed against that decision and was granted permission to appeal by First-tier Tribunal Judge </w:t>
      </w:r>
      <w:proofErr w:type="spellStart"/>
      <w:r w:rsidR="0089758E">
        <w:t>Birrell</w:t>
      </w:r>
      <w:proofErr w:type="spellEnd"/>
      <w:r w:rsidR="0089758E">
        <w:t xml:space="preserve"> in the following terms:</w:t>
      </w:r>
    </w:p>
    <w:p w:rsidR="0089758E" w:rsidRPr="00F80452" w:rsidRDefault="0089758E" w:rsidP="00F80452">
      <w:pPr>
        <w:pStyle w:val="p"/>
        <w:numPr>
          <w:ilvl w:val="0"/>
          <w:numId w:val="0"/>
        </w:numPr>
        <w:spacing w:before="120"/>
        <w:ind w:left="1134" w:right="567"/>
        <w:rPr>
          <w:sz w:val="22"/>
        </w:rPr>
      </w:pPr>
      <w:r w:rsidRPr="00F80452">
        <w:rPr>
          <w:sz w:val="22"/>
        </w:rPr>
        <w:lastRenderedPageBreak/>
        <w:t xml:space="preserve">“The </w:t>
      </w:r>
      <w:r w:rsidR="00A14386" w:rsidRPr="00F80452">
        <w:rPr>
          <w:sz w:val="22"/>
        </w:rPr>
        <w:t>Appellant</w:t>
      </w:r>
      <w:r w:rsidRPr="00F80452">
        <w:rPr>
          <w:sz w:val="22"/>
        </w:rPr>
        <w:t xml:space="preserve"> is unrepresented and the grounds in general terms disagree with the conclusion drawn by the Judge.  Particularly as the </w:t>
      </w:r>
      <w:r w:rsidR="00A14386" w:rsidRPr="00F80452">
        <w:rPr>
          <w:sz w:val="22"/>
        </w:rPr>
        <w:t>Appellant</w:t>
      </w:r>
      <w:r w:rsidRPr="00F80452">
        <w:rPr>
          <w:sz w:val="22"/>
        </w:rPr>
        <w:t xml:space="preserve"> is unrepresented I have read the decision very carefully to see if there is an obvious error of law.  The Judge dismissed the case in essence because the </w:t>
      </w:r>
      <w:r w:rsidR="00A14386" w:rsidRPr="00F80452">
        <w:rPr>
          <w:sz w:val="22"/>
        </w:rPr>
        <w:t>Appellant</w:t>
      </w:r>
      <w:r w:rsidRPr="00F80452">
        <w:rPr>
          <w:sz w:val="22"/>
        </w:rPr>
        <w:t xml:space="preserve"> did not provide with the appeal a copy of the reasons for refusal letter dated 9 August 2016, the decision being appealed.  Nor was it contained within the </w:t>
      </w:r>
      <w:r w:rsidR="00A14386" w:rsidRPr="00F80452">
        <w:rPr>
          <w:sz w:val="22"/>
        </w:rPr>
        <w:t>Respondent</w:t>
      </w:r>
      <w:r w:rsidRPr="00F80452">
        <w:rPr>
          <w:sz w:val="22"/>
        </w:rPr>
        <w:t xml:space="preserve">’s bundle.  The Tribunal obtained a copy of the Notice of Decision but this in fact contained insufficient information according to the Judge at paragraph 8 to make findings of fact.  Given that the </w:t>
      </w:r>
      <w:r w:rsidR="00A14386" w:rsidRPr="00F80452">
        <w:rPr>
          <w:sz w:val="22"/>
        </w:rPr>
        <w:t>Appellant</w:t>
      </w:r>
      <w:r w:rsidR="00B52643" w:rsidRPr="00F80452">
        <w:rPr>
          <w:sz w:val="22"/>
        </w:rPr>
        <w:t>’</w:t>
      </w:r>
      <w:r w:rsidRPr="00F80452">
        <w:rPr>
          <w:sz w:val="22"/>
        </w:rPr>
        <w:t xml:space="preserve">s notice of appeal was accepted by HMCTS in Leicester and a file opened for the </w:t>
      </w:r>
      <w:r w:rsidR="00A14386" w:rsidRPr="00F80452">
        <w:rPr>
          <w:sz w:val="22"/>
        </w:rPr>
        <w:t>Appellant</w:t>
      </w:r>
      <w:r w:rsidRPr="00F80452">
        <w:rPr>
          <w:sz w:val="22"/>
        </w:rPr>
        <w:t xml:space="preserve"> it was unfair to later take the point under Rule 19 that he had failed to provide a copy of the reasons for refusal without putting the </w:t>
      </w:r>
      <w:r w:rsidR="00A14386" w:rsidRPr="00F80452">
        <w:rPr>
          <w:sz w:val="22"/>
        </w:rPr>
        <w:t>Appellant</w:t>
      </w:r>
      <w:r w:rsidRPr="00F80452">
        <w:rPr>
          <w:sz w:val="22"/>
        </w:rPr>
        <w:t xml:space="preserve"> on notice and giving him the opportunity to address the issue.  The grounds disclose an arguable error of law.”</w:t>
      </w:r>
    </w:p>
    <w:p w:rsidR="00BA0E7C" w:rsidRDefault="002E7A4F" w:rsidP="00D6230D">
      <w:pPr>
        <w:pStyle w:val="p"/>
      </w:pPr>
      <w:r>
        <w:t xml:space="preserve">The </w:t>
      </w:r>
      <w:r w:rsidR="00A14386">
        <w:t>Appellant</w:t>
      </w:r>
      <w:r>
        <w:t xml:space="preserve"> did not attend the hearing and was not legally represented.  I have made efforts through the clerk to contact the </w:t>
      </w:r>
      <w:r w:rsidR="00A14386">
        <w:t>Appellant</w:t>
      </w:r>
      <w:r>
        <w:t xml:space="preserve"> </w:t>
      </w:r>
      <w:r w:rsidR="00386914">
        <w:t xml:space="preserve">in the hope of discovering whether </w:t>
      </w:r>
      <w:r>
        <w:t>he did not want to attend the hearing today</w:t>
      </w:r>
      <w:r w:rsidR="00BA0E7C">
        <w:t xml:space="preserve">.  However, we do not appear to have a contact telephone number for the </w:t>
      </w:r>
      <w:r w:rsidR="00A14386">
        <w:t>Appellant</w:t>
      </w:r>
      <w:r w:rsidR="00BA0E7C">
        <w:t xml:space="preserve"> and given that the notice of hearing has been sent to the </w:t>
      </w:r>
      <w:r w:rsidR="00A14386">
        <w:t>Appellant</w:t>
      </w:r>
      <w:r w:rsidR="00386914">
        <w:t>’s address</w:t>
      </w:r>
      <w:r w:rsidR="00BA0E7C">
        <w:t xml:space="preserve"> and there is every indication that he would have been notified of the date of this hearing, since receipt of the notice of 18</w:t>
      </w:r>
      <w:r w:rsidR="00BA0E7C" w:rsidRPr="00BA0E7C">
        <w:rPr>
          <w:vertAlign w:val="superscript"/>
        </w:rPr>
        <w:t>th</w:t>
      </w:r>
      <w:r w:rsidR="00BA0E7C">
        <w:t xml:space="preserve"> </w:t>
      </w:r>
      <w:r w:rsidR="00622E58">
        <w:t>June 2018</w:t>
      </w:r>
      <w:r w:rsidR="0023008E">
        <w:t>,</w:t>
      </w:r>
      <w:r w:rsidR="00622E58">
        <w:t xml:space="preserve"> I have decided to proc</w:t>
      </w:r>
      <w:r w:rsidR="00BA0E7C">
        <w:t xml:space="preserve">eed in the interests of justice and expediency.  </w:t>
      </w:r>
    </w:p>
    <w:p w:rsidR="00BA0E7C" w:rsidRDefault="00BA0E7C" w:rsidP="00BA0E7C">
      <w:pPr>
        <w:pStyle w:val="p"/>
        <w:numPr>
          <w:ilvl w:val="0"/>
          <w:numId w:val="0"/>
        </w:numPr>
      </w:pPr>
      <w:r>
        <w:rPr>
          <w:b/>
          <w:u w:val="single"/>
        </w:rPr>
        <w:t>Error of Law</w:t>
      </w:r>
    </w:p>
    <w:p w:rsidR="0089758E" w:rsidRDefault="00BA0E7C" w:rsidP="00D6230D">
      <w:pPr>
        <w:pStyle w:val="p"/>
      </w:pPr>
      <w:r>
        <w:t>I am grateful to Ms Everett for her concise and pragmatic submissions on behalf of the Secretary of State.  In light of the grant of permission and my own views</w:t>
      </w:r>
      <w:r w:rsidR="0023008E">
        <w:t>,</w:t>
      </w:r>
      <w:r>
        <w:t xml:space="preserve"> I do find that there is an error of law in the judge’s decision in that the judge too readily dismissed the appeal on the basis of Rule 19, subparagraph 5</w:t>
      </w:r>
      <w:r w:rsidR="004F269E">
        <w:t xml:space="preserve"> of the First-tier Tribunal Procedure Rules</w:t>
      </w:r>
      <w:r>
        <w:t xml:space="preserve">, in that whilst the </w:t>
      </w:r>
      <w:r w:rsidR="00A14386">
        <w:t>Appellant</w:t>
      </w:r>
      <w:r>
        <w:t xml:space="preserve"> must provide certain documents with the Notice of Appeal and the appeal form</w:t>
      </w:r>
      <w:r w:rsidR="004F269E">
        <w:t>,</w:t>
      </w:r>
      <w:r>
        <w:t xml:space="preserve"> he did provide a copy of the refusal to issue a residence card and the notice of immigration decision even of itself but appears to have failed to provide the reasons underlying that decision.  </w:t>
      </w:r>
      <w:r w:rsidR="004F269E">
        <w:t>I pause to observe,</w:t>
      </w:r>
      <w:r>
        <w:t xml:space="preserve"> in theory</w:t>
      </w:r>
      <w:r w:rsidR="004F269E">
        <w:t>,</w:t>
      </w:r>
      <w:r>
        <w:t xml:space="preserve"> there is a document which would form the basis for the appeal in its technical form</w:t>
      </w:r>
      <w:r w:rsidR="004F269E">
        <w:t xml:space="preserve"> albeit that document does not contain the Secretary of State’s reasons</w:t>
      </w:r>
      <w:r>
        <w:t xml:space="preserve">.  However, given that the </w:t>
      </w:r>
      <w:r w:rsidR="00A14386">
        <w:t>Appellant</w:t>
      </w:r>
      <w:r>
        <w:t xml:space="preserve"> was not notified by HMCTS staff prior to the date of the hearing on the papers that the Tribunal had not received the reasons for refusing to grant a residence card and given that Rule 19 of the First-tier Tribunal</w:t>
      </w:r>
      <w:r w:rsidR="004F269E">
        <w:t xml:space="preserve"> Procedure Rules appears under C</w:t>
      </w:r>
      <w:r>
        <w:t>hapter 1</w:t>
      </w:r>
      <w:r w:rsidR="004F269E">
        <w:t xml:space="preserve"> of the Rules,</w:t>
      </w:r>
      <w:r>
        <w:t xml:space="preserve"> which is</w:t>
      </w:r>
      <w:r w:rsidR="00B02BC3">
        <w:t xml:space="preserve"> entitled “</w:t>
      </w:r>
      <w:r w:rsidR="00B02BC3" w:rsidRPr="004F269E">
        <w:rPr>
          <w:i/>
        </w:rPr>
        <w:t>Before the hearing</w:t>
      </w:r>
      <w:r w:rsidR="00B02BC3">
        <w:t>”, i</w:t>
      </w:r>
      <w:r>
        <w:t>n my view</w:t>
      </w:r>
      <w:r w:rsidR="004F269E">
        <w:t>,</w:t>
      </w:r>
      <w:r>
        <w:t xml:space="preserve"> these are matters which should have taken place prior to the hearing on the papers and given those </w:t>
      </w:r>
      <w:r w:rsidR="004F269E">
        <w:t xml:space="preserve">various </w:t>
      </w:r>
      <w:r>
        <w:t xml:space="preserve">factors, in my view it was unfair to dismiss the appeal without </w:t>
      </w:r>
      <w:r w:rsidR="004F269E">
        <w:t xml:space="preserve">first </w:t>
      </w:r>
      <w:r>
        <w:t xml:space="preserve">giving the </w:t>
      </w:r>
      <w:r w:rsidR="00A14386">
        <w:t>Appellant</w:t>
      </w:r>
      <w:r>
        <w:t xml:space="preserve"> the opportunity to </w:t>
      </w:r>
      <w:r w:rsidR="004F269E">
        <w:t xml:space="preserve">rectify his omission and </w:t>
      </w:r>
      <w:r>
        <w:t>provide the reasons for refusal prior to the hearing proceeding</w:t>
      </w:r>
      <w:r w:rsidR="004F269E">
        <w:t>.</w:t>
      </w:r>
      <w:r>
        <w:t xml:space="preserve"> </w:t>
      </w:r>
      <w:r w:rsidR="004F269E">
        <w:t xml:space="preserve"> O</w:t>
      </w:r>
      <w:r>
        <w:t xml:space="preserve">n that basis the judge should have called out for the refusal letter from the </w:t>
      </w:r>
      <w:r w:rsidR="00A14386">
        <w:t>Appellant</w:t>
      </w:r>
      <w:r>
        <w:t xml:space="preserve"> and adjourned the hearing on the papers to allow for that to take place</w:t>
      </w:r>
      <w:r w:rsidR="004F269E">
        <w:t xml:space="preserve"> (particularly if the Respondent had failed to serve a Bundle which would normally contain this document)</w:t>
      </w:r>
      <w:r>
        <w:t xml:space="preserve">.  </w:t>
      </w:r>
    </w:p>
    <w:p w:rsidR="004F269E" w:rsidRDefault="00BA0E7C" w:rsidP="00D6230D">
      <w:pPr>
        <w:pStyle w:val="p"/>
      </w:pPr>
      <w:r>
        <w:lastRenderedPageBreak/>
        <w:t>In respect of the relevant authorities that support this position</w:t>
      </w:r>
      <w:r w:rsidR="00A14386">
        <w:t xml:space="preserve"> and</w:t>
      </w:r>
      <w:r>
        <w:t xml:space="preserve"> the deprivation of a fair hearing, </w:t>
      </w:r>
      <w:r w:rsidR="00A14386">
        <w:t xml:space="preserve">I make my decision in light of the Court of Appeal authority in </w:t>
      </w:r>
      <w:r w:rsidR="00A14386" w:rsidRPr="004F269E">
        <w:rPr>
          <w:i/>
        </w:rPr>
        <w:t>SH (Afghanistan) v Secretary of State for the Home Department</w:t>
      </w:r>
      <w:r w:rsidR="00A14386">
        <w:t xml:space="preserve"> [2011] EWCA </w:t>
      </w:r>
      <w:proofErr w:type="spellStart"/>
      <w:r w:rsidR="00A14386">
        <w:t>Civ</w:t>
      </w:r>
      <w:proofErr w:type="spellEnd"/>
      <w:r w:rsidR="00A14386">
        <w:t xml:space="preserve"> 1284.  </w:t>
      </w:r>
    </w:p>
    <w:p w:rsidR="006932F5" w:rsidRDefault="00A14386" w:rsidP="00D6230D">
      <w:pPr>
        <w:pStyle w:val="p"/>
      </w:pPr>
      <w:r>
        <w:t xml:space="preserve">In light of the above findings I set aside the decision in its entirety. </w:t>
      </w:r>
    </w:p>
    <w:p w:rsidR="004F269E" w:rsidRPr="006932F5" w:rsidRDefault="006932F5" w:rsidP="006932F5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D949B7">
        <w:rPr>
          <w:rFonts w:ascii="Book Antiqua" w:hAnsi="Book Antiqua" w:cs="Arial"/>
          <w:b/>
          <w:u w:val="single"/>
        </w:rPr>
        <w:t>Notice of Decision</w:t>
      </w:r>
      <w:r w:rsidR="00A14386">
        <w:t xml:space="preserve"> </w:t>
      </w:r>
    </w:p>
    <w:p w:rsidR="004F269E" w:rsidRDefault="00A14386" w:rsidP="00D6230D">
      <w:pPr>
        <w:pStyle w:val="p"/>
      </w:pPr>
      <w:r>
        <w:t xml:space="preserve">The appeal to the Upper Tribunal is allowed.  </w:t>
      </w:r>
    </w:p>
    <w:p w:rsidR="00BA0E7C" w:rsidRDefault="00A14386" w:rsidP="00D6230D">
      <w:pPr>
        <w:pStyle w:val="p"/>
      </w:pPr>
      <w:r>
        <w:t xml:space="preserve">The appeal is to be remitted to be heard by a differently constituted bench on the papers.  </w:t>
      </w:r>
    </w:p>
    <w:p w:rsidR="00B01329" w:rsidRDefault="00B01329" w:rsidP="00D6230D">
      <w:pPr>
        <w:pStyle w:val="p"/>
      </w:pPr>
      <w:r>
        <w:t>No anonymity decision made.</w:t>
      </w:r>
    </w:p>
    <w:p w:rsidR="00A14386" w:rsidRDefault="00A14386" w:rsidP="00A14386">
      <w:pPr>
        <w:pStyle w:val="p"/>
        <w:numPr>
          <w:ilvl w:val="0"/>
          <w:numId w:val="0"/>
        </w:numPr>
      </w:pPr>
      <w:r>
        <w:rPr>
          <w:b/>
          <w:u w:val="single"/>
        </w:rPr>
        <w:t>Directions</w:t>
      </w:r>
    </w:p>
    <w:p w:rsidR="004F269E" w:rsidRDefault="00A14386" w:rsidP="00D6230D">
      <w:pPr>
        <w:pStyle w:val="p"/>
      </w:pPr>
      <w:r>
        <w:t xml:space="preserve">Standard directions are to be issued for a remitted paper hearing.  </w:t>
      </w:r>
    </w:p>
    <w:p w:rsidR="004F269E" w:rsidRDefault="00A14386" w:rsidP="00D6230D">
      <w:pPr>
        <w:pStyle w:val="p"/>
      </w:pPr>
      <w:r>
        <w:t>The paper hearing is t</w:t>
      </w:r>
      <w:r w:rsidR="00272D37">
        <w:t xml:space="preserve">o be remitted to Hatton Cross (unless the Appellant requests an oral hearing and pays the </w:t>
      </w:r>
      <w:r w:rsidR="00F80452">
        <w:t>extra</w:t>
      </w:r>
      <w:r w:rsidR="00272D37">
        <w:t xml:space="preserve"> fee for this purpose).</w:t>
      </w:r>
    </w:p>
    <w:p w:rsidR="00A14386" w:rsidRDefault="00A14386" w:rsidP="00D6230D">
      <w:pPr>
        <w:pStyle w:val="p"/>
      </w:pPr>
      <w:r>
        <w:t xml:space="preserve">I direct that the Appellant provide a copy of the reasons for refusal of the grant of a residence card no later than </w:t>
      </w:r>
      <w:r w:rsidR="00272D37">
        <w:t xml:space="preserve">fourteen </w:t>
      </w:r>
      <w:r>
        <w:t>days before the remitted hearing before the First-tier Tribunal.</w:t>
      </w:r>
    </w:p>
    <w:p w:rsidR="00A14386" w:rsidRDefault="00A14386" w:rsidP="00D6230D">
      <w:pPr>
        <w:pStyle w:val="p"/>
      </w:pPr>
      <w:r>
        <w:t xml:space="preserve">I further direct that should the Appellant fail to do </w:t>
      </w:r>
      <w:proofErr w:type="gramStart"/>
      <w:r>
        <w:t>so</w:t>
      </w:r>
      <w:r w:rsidR="006932F5">
        <w:t>,</w:t>
      </w:r>
      <w:proofErr w:type="gramEnd"/>
      <w:r>
        <w:t xml:space="preserve"> the Respondent should attempt to assist the Tribunal </w:t>
      </w:r>
      <w:r w:rsidR="006932F5">
        <w:t xml:space="preserve">and provide </w:t>
      </w:r>
      <w:r>
        <w:t xml:space="preserve">this </w:t>
      </w:r>
      <w:r w:rsidR="006932F5">
        <w:t xml:space="preserve">document </w:t>
      </w:r>
      <w:r w:rsidR="00272D37">
        <w:t xml:space="preserve">no later than </w:t>
      </w:r>
      <w:r w:rsidR="00F80452">
        <w:t>seven</w:t>
      </w:r>
      <w:r w:rsidR="00272D37">
        <w:t xml:space="preserve"> days before the remitted hearing (</w:t>
      </w:r>
      <w:r>
        <w:t xml:space="preserve">which should not be a great </w:t>
      </w:r>
      <w:r w:rsidR="006932F5">
        <w:t xml:space="preserve">imposition </w:t>
      </w:r>
      <w:r>
        <w:t xml:space="preserve">given that the Respondent </w:t>
      </w:r>
      <w:r w:rsidR="006932F5">
        <w:t>would surely have a copy of the decision that he drafted</w:t>
      </w:r>
      <w:r w:rsidR="00272D37">
        <w:t>)</w:t>
      </w:r>
      <w:r>
        <w:t xml:space="preserve">.  </w:t>
      </w:r>
    </w:p>
    <w:p w:rsidR="009F5220" w:rsidRPr="009B7433" w:rsidRDefault="009F5220" w:rsidP="000A0743">
      <w:pPr>
        <w:jc w:val="both"/>
        <w:rPr>
          <w:rFonts w:ascii="Book Antiqua" w:hAnsi="Book Antiqua" w:cs="Arial"/>
        </w:rPr>
      </w:pPr>
    </w:p>
    <w:p w:rsidR="00D949B7" w:rsidRPr="009B7433" w:rsidRDefault="00D949B7" w:rsidP="000A0743">
      <w:pPr>
        <w:jc w:val="both"/>
        <w:rPr>
          <w:rFonts w:ascii="Book Antiqua" w:hAnsi="Book Antiqua" w:cs="Arial"/>
        </w:rPr>
      </w:pPr>
    </w:p>
    <w:p w:rsidR="001F2716" w:rsidRPr="009B7433" w:rsidRDefault="00780F86" w:rsidP="000A0743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="001F2716" w:rsidRPr="009B7433">
        <w:rPr>
          <w:rFonts w:ascii="Book Antiqua" w:hAnsi="Book Antiqua" w:cs="Arial"/>
        </w:rPr>
        <w:t>Date</w:t>
      </w:r>
      <w:r w:rsidR="00A23A6F">
        <w:rPr>
          <w:rFonts w:ascii="Book Antiqua" w:hAnsi="Book Antiqua" w:cs="Arial"/>
        </w:rPr>
        <w:t>: 27.07.2018</w:t>
      </w:r>
    </w:p>
    <w:p w:rsidR="001F2716" w:rsidRPr="009B7433" w:rsidRDefault="001F2716" w:rsidP="000A0743">
      <w:pPr>
        <w:jc w:val="both"/>
        <w:rPr>
          <w:rFonts w:ascii="Book Antiqua" w:hAnsi="Book Antiqua" w:cs="Arial"/>
        </w:rPr>
      </w:pPr>
    </w:p>
    <w:p w:rsidR="004A2D15" w:rsidRPr="001C5703" w:rsidRDefault="000C40FF" w:rsidP="004A2D15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Judge Saini</w:t>
      </w:r>
    </w:p>
    <w:p w:rsidR="00B95326" w:rsidRDefault="008A6059" w:rsidP="000A0743">
      <w:pPr>
        <w:jc w:val="both"/>
        <w:rPr>
          <w:rFonts w:ascii="Book Antiqua" w:hAnsi="Book Antiqua" w:cs="Arial"/>
          <w:color w:val="000000"/>
        </w:rPr>
      </w:pPr>
      <w:r w:rsidRPr="009B7433">
        <w:rPr>
          <w:rFonts w:ascii="Book Antiqua" w:hAnsi="Book Antiqua" w:cs="Arial"/>
          <w:color w:val="000000"/>
        </w:rPr>
        <w:t xml:space="preserve"> </w:t>
      </w:r>
    </w:p>
    <w:p w:rsidR="000A0743" w:rsidRDefault="000A0743" w:rsidP="00D949B7">
      <w:pPr>
        <w:jc w:val="both"/>
        <w:rPr>
          <w:rFonts w:ascii="Book Antiqua" w:hAnsi="Book Antiqua" w:cs="Arial"/>
          <w:b/>
          <w:u w:val="single"/>
        </w:rPr>
      </w:pPr>
    </w:p>
    <w:p w:rsidR="00B95326" w:rsidRPr="009B7433" w:rsidRDefault="00B95326" w:rsidP="00B95326">
      <w:pPr>
        <w:rPr>
          <w:rFonts w:ascii="Book Antiqua" w:hAnsi="Book Antiqua" w:cs="Arial"/>
        </w:rPr>
      </w:pPr>
    </w:p>
    <w:p w:rsidR="00B95326" w:rsidRPr="009B7433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9B7433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D5D" w:rsidRDefault="00700D5D">
      <w:r>
        <w:separator/>
      </w:r>
    </w:p>
  </w:endnote>
  <w:endnote w:type="continuationSeparator" w:id="0">
    <w:p w:rsidR="00700D5D" w:rsidRDefault="0070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9E" w:rsidRPr="009B7433" w:rsidRDefault="004F269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E40D90">
      <w:rPr>
        <w:rStyle w:val="PageNumber"/>
        <w:rFonts w:ascii="Book Antiqua" w:hAnsi="Book Antiqua" w:cs="Arial"/>
        <w:noProof/>
        <w:sz w:val="16"/>
        <w:szCs w:val="16"/>
      </w:rPr>
      <w:t>3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9E" w:rsidRPr="009B7433" w:rsidRDefault="004F269E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D5D" w:rsidRDefault="00700D5D">
      <w:r>
        <w:separator/>
      </w:r>
    </w:p>
  </w:footnote>
  <w:footnote w:type="continuationSeparator" w:id="0">
    <w:p w:rsidR="00700D5D" w:rsidRDefault="00700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9E" w:rsidRPr="006B64B9" w:rsidRDefault="004F269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Pr="006B64B9">
      <w:rPr>
        <w:rFonts w:ascii="Book Antiqua" w:hAnsi="Book Antiqua" w:cs="Arial"/>
        <w:sz w:val="16"/>
        <w:szCs w:val="16"/>
      </w:rPr>
      <w:t>EA/</w:t>
    </w:r>
    <w:r>
      <w:rPr>
        <w:rFonts w:ascii="Book Antiqua" w:hAnsi="Book Antiqua" w:cs="Arial"/>
        <w:sz w:val="16"/>
        <w:szCs w:val="16"/>
      </w:rPr>
      <w:t>10300</w:t>
    </w:r>
    <w:r w:rsidRPr="006B64B9">
      <w:rPr>
        <w:rFonts w:ascii="Book Antiqua" w:hAnsi="Book Antiqua" w:cs="Arial"/>
        <w:sz w:val="16"/>
        <w:szCs w:val="16"/>
      </w:rPr>
      <w:t>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69E" w:rsidRPr="009B7433" w:rsidRDefault="004F269E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6F7B"/>
    <w:multiLevelType w:val="multilevel"/>
    <w:tmpl w:val="FAD66C0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AA5AC474"/>
    <w:lvl w:ilvl="0">
      <w:start w:val="1"/>
      <w:numFmt w:val="decimal"/>
      <w:pStyle w:val="p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p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9D"/>
    <w:rsid w:val="00000621"/>
    <w:rsid w:val="000036C2"/>
    <w:rsid w:val="00016C1A"/>
    <w:rsid w:val="00033588"/>
    <w:rsid w:val="00033D3D"/>
    <w:rsid w:val="0004776F"/>
    <w:rsid w:val="000515CD"/>
    <w:rsid w:val="00052895"/>
    <w:rsid w:val="00062F02"/>
    <w:rsid w:val="00071A7E"/>
    <w:rsid w:val="000746C0"/>
    <w:rsid w:val="00074D1D"/>
    <w:rsid w:val="00092580"/>
    <w:rsid w:val="00093D4D"/>
    <w:rsid w:val="000A0743"/>
    <w:rsid w:val="000B39DA"/>
    <w:rsid w:val="000C40FF"/>
    <w:rsid w:val="000D5D94"/>
    <w:rsid w:val="000D6193"/>
    <w:rsid w:val="000F1A0E"/>
    <w:rsid w:val="001146D9"/>
    <w:rsid w:val="001165A7"/>
    <w:rsid w:val="00126E42"/>
    <w:rsid w:val="0016508E"/>
    <w:rsid w:val="00167D3A"/>
    <w:rsid w:val="00173F50"/>
    <w:rsid w:val="00175D6F"/>
    <w:rsid w:val="00185986"/>
    <w:rsid w:val="001A3082"/>
    <w:rsid w:val="001A65F7"/>
    <w:rsid w:val="001B186A"/>
    <w:rsid w:val="001B2F75"/>
    <w:rsid w:val="001C6F5F"/>
    <w:rsid w:val="001D6167"/>
    <w:rsid w:val="001F2716"/>
    <w:rsid w:val="001F3AC0"/>
    <w:rsid w:val="00207617"/>
    <w:rsid w:val="0023008E"/>
    <w:rsid w:val="0023134B"/>
    <w:rsid w:val="00272D37"/>
    <w:rsid w:val="00283659"/>
    <w:rsid w:val="002A7DFF"/>
    <w:rsid w:val="002C6BD4"/>
    <w:rsid w:val="002D68BF"/>
    <w:rsid w:val="002E4541"/>
    <w:rsid w:val="002E569B"/>
    <w:rsid w:val="002E6CC7"/>
    <w:rsid w:val="002E7A4F"/>
    <w:rsid w:val="002F6B98"/>
    <w:rsid w:val="00336CBF"/>
    <w:rsid w:val="00343FE3"/>
    <w:rsid w:val="003546C8"/>
    <w:rsid w:val="00365CA4"/>
    <w:rsid w:val="00371147"/>
    <w:rsid w:val="003741BF"/>
    <w:rsid w:val="0037777D"/>
    <w:rsid w:val="003825D4"/>
    <w:rsid w:val="00386914"/>
    <w:rsid w:val="003A7CF2"/>
    <w:rsid w:val="003C5CE5"/>
    <w:rsid w:val="003D25F1"/>
    <w:rsid w:val="003D6FAD"/>
    <w:rsid w:val="003E267B"/>
    <w:rsid w:val="003E7CD1"/>
    <w:rsid w:val="00402B9E"/>
    <w:rsid w:val="004031BA"/>
    <w:rsid w:val="004249CB"/>
    <w:rsid w:val="0044127D"/>
    <w:rsid w:val="004448DB"/>
    <w:rsid w:val="00446C9A"/>
    <w:rsid w:val="00452F2B"/>
    <w:rsid w:val="00457A96"/>
    <w:rsid w:val="00477193"/>
    <w:rsid w:val="004A1848"/>
    <w:rsid w:val="004A2D15"/>
    <w:rsid w:val="004A534C"/>
    <w:rsid w:val="004A6F4A"/>
    <w:rsid w:val="004B70D7"/>
    <w:rsid w:val="004D6B45"/>
    <w:rsid w:val="004E09A6"/>
    <w:rsid w:val="004E4717"/>
    <w:rsid w:val="004E6DA7"/>
    <w:rsid w:val="004F2676"/>
    <w:rsid w:val="004F269E"/>
    <w:rsid w:val="00502673"/>
    <w:rsid w:val="00507FEC"/>
    <w:rsid w:val="00510F0E"/>
    <w:rsid w:val="00525318"/>
    <w:rsid w:val="005479E1"/>
    <w:rsid w:val="00553028"/>
    <w:rsid w:val="00553E0A"/>
    <w:rsid w:val="005570FD"/>
    <w:rsid w:val="005575EA"/>
    <w:rsid w:val="0057790C"/>
    <w:rsid w:val="00585136"/>
    <w:rsid w:val="00593795"/>
    <w:rsid w:val="005A75FF"/>
    <w:rsid w:val="005D10AB"/>
    <w:rsid w:val="005D356D"/>
    <w:rsid w:val="00601D8F"/>
    <w:rsid w:val="00605582"/>
    <w:rsid w:val="00611F34"/>
    <w:rsid w:val="00621FE8"/>
    <w:rsid w:val="00622E58"/>
    <w:rsid w:val="006434B6"/>
    <w:rsid w:val="00653E97"/>
    <w:rsid w:val="006667DB"/>
    <w:rsid w:val="00684A74"/>
    <w:rsid w:val="0068620A"/>
    <w:rsid w:val="00690B8A"/>
    <w:rsid w:val="006932F5"/>
    <w:rsid w:val="006B64B9"/>
    <w:rsid w:val="006F2CF1"/>
    <w:rsid w:val="00700D5D"/>
    <w:rsid w:val="00701A1E"/>
    <w:rsid w:val="00701A7A"/>
    <w:rsid w:val="007038ED"/>
    <w:rsid w:val="00703BC3"/>
    <w:rsid w:val="00704B61"/>
    <w:rsid w:val="00715A64"/>
    <w:rsid w:val="00733DF3"/>
    <w:rsid w:val="00740C1F"/>
    <w:rsid w:val="007552A9"/>
    <w:rsid w:val="0075658A"/>
    <w:rsid w:val="00761858"/>
    <w:rsid w:val="00767D59"/>
    <w:rsid w:val="00776750"/>
    <w:rsid w:val="00776E97"/>
    <w:rsid w:val="00780F86"/>
    <w:rsid w:val="007845C5"/>
    <w:rsid w:val="007912AD"/>
    <w:rsid w:val="007B0824"/>
    <w:rsid w:val="007B5D3C"/>
    <w:rsid w:val="007B7BFD"/>
    <w:rsid w:val="007E521A"/>
    <w:rsid w:val="00801C76"/>
    <w:rsid w:val="00815011"/>
    <w:rsid w:val="00821B72"/>
    <w:rsid w:val="0082229E"/>
    <w:rsid w:val="008223B4"/>
    <w:rsid w:val="00823EF2"/>
    <w:rsid w:val="00824C58"/>
    <w:rsid w:val="008303B8"/>
    <w:rsid w:val="00833DCE"/>
    <w:rsid w:val="00833E86"/>
    <w:rsid w:val="00871D34"/>
    <w:rsid w:val="00877927"/>
    <w:rsid w:val="008800A7"/>
    <w:rsid w:val="0089758E"/>
    <w:rsid w:val="008A25EC"/>
    <w:rsid w:val="008A6059"/>
    <w:rsid w:val="008B270C"/>
    <w:rsid w:val="008B5078"/>
    <w:rsid w:val="008C3D3D"/>
    <w:rsid w:val="008D4131"/>
    <w:rsid w:val="008F0248"/>
    <w:rsid w:val="008F1932"/>
    <w:rsid w:val="0090148C"/>
    <w:rsid w:val="0090151B"/>
    <w:rsid w:val="00902E88"/>
    <w:rsid w:val="009042A9"/>
    <w:rsid w:val="00921062"/>
    <w:rsid w:val="009722BC"/>
    <w:rsid w:val="009727A3"/>
    <w:rsid w:val="00987774"/>
    <w:rsid w:val="009A11E8"/>
    <w:rsid w:val="009B7433"/>
    <w:rsid w:val="009C57C8"/>
    <w:rsid w:val="009C7E47"/>
    <w:rsid w:val="009D348A"/>
    <w:rsid w:val="009F5220"/>
    <w:rsid w:val="00A07919"/>
    <w:rsid w:val="00A14386"/>
    <w:rsid w:val="00A15234"/>
    <w:rsid w:val="00A172F5"/>
    <w:rsid w:val="00A201AB"/>
    <w:rsid w:val="00A23A6F"/>
    <w:rsid w:val="00A31C8B"/>
    <w:rsid w:val="00A509FA"/>
    <w:rsid w:val="00A74B2D"/>
    <w:rsid w:val="00A845DC"/>
    <w:rsid w:val="00A8473D"/>
    <w:rsid w:val="00B01329"/>
    <w:rsid w:val="00B02BC3"/>
    <w:rsid w:val="00B17AAB"/>
    <w:rsid w:val="00B26AA2"/>
    <w:rsid w:val="00B3524D"/>
    <w:rsid w:val="00B40F69"/>
    <w:rsid w:val="00B46616"/>
    <w:rsid w:val="00B52643"/>
    <w:rsid w:val="00B528BB"/>
    <w:rsid w:val="00B7040A"/>
    <w:rsid w:val="00B83391"/>
    <w:rsid w:val="00B948B7"/>
    <w:rsid w:val="00B95326"/>
    <w:rsid w:val="00BA0E7C"/>
    <w:rsid w:val="00BA5A6E"/>
    <w:rsid w:val="00BB3281"/>
    <w:rsid w:val="00BC10BE"/>
    <w:rsid w:val="00BD4196"/>
    <w:rsid w:val="00BE5A31"/>
    <w:rsid w:val="00BE5EDA"/>
    <w:rsid w:val="00BF22CA"/>
    <w:rsid w:val="00BF23BB"/>
    <w:rsid w:val="00BF28CC"/>
    <w:rsid w:val="00C15F5F"/>
    <w:rsid w:val="00C26032"/>
    <w:rsid w:val="00C31856"/>
    <w:rsid w:val="00C31F11"/>
    <w:rsid w:val="00C345E1"/>
    <w:rsid w:val="00C43BFD"/>
    <w:rsid w:val="00C6048A"/>
    <w:rsid w:val="00C72E26"/>
    <w:rsid w:val="00CB6E35"/>
    <w:rsid w:val="00CE09B1"/>
    <w:rsid w:val="00CE1A46"/>
    <w:rsid w:val="00D05EA6"/>
    <w:rsid w:val="00D20757"/>
    <w:rsid w:val="00D2249D"/>
    <w:rsid w:val="00D22636"/>
    <w:rsid w:val="00D40FD9"/>
    <w:rsid w:val="00D53769"/>
    <w:rsid w:val="00D6230D"/>
    <w:rsid w:val="00D6602D"/>
    <w:rsid w:val="00D8224B"/>
    <w:rsid w:val="00D82818"/>
    <w:rsid w:val="00D8510D"/>
    <w:rsid w:val="00D85C13"/>
    <w:rsid w:val="00D9111A"/>
    <w:rsid w:val="00D91BE3"/>
    <w:rsid w:val="00D949B7"/>
    <w:rsid w:val="00D94AFC"/>
    <w:rsid w:val="00DB70AE"/>
    <w:rsid w:val="00DD5071"/>
    <w:rsid w:val="00DD5C39"/>
    <w:rsid w:val="00DE4088"/>
    <w:rsid w:val="00DE7DB7"/>
    <w:rsid w:val="00E00A0A"/>
    <w:rsid w:val="00E066DE"/>
    <w:rsid w:val="00E07178"/>
    <w:rsid w:val="00E07F57"/>
    <w:rsid w:val="00E10DCB"/>
    <w:rsid w:val="00E30683"/>
    <w:rsid w:val="00E36BA1"/>
    <w:rsid w:val="00E40D90"/>
    <w:rsid w:val="00E42107"/>
    <w:rsid w:val="00E453D8"/>
    <w:rsid w:val="00E50BCE"/>
    <w:rsid w:val="00E574BF"/>
    <w:rsid w:val="00E57734"/>
    <w:rsid w:val="00E61292"/>
    <w:rsid w:val="00E77C4D"/>
    <w:rsid w:val="00E81D01"/>
    <w:rsid w:val="00EB485A"/>
    <w:rsid w:val="00EE45D8"/>
    <w:rsid w:val="00F22EDA"/>
    <w:rsid w:val="00F470D6"/>
    <w:rsid w:val="00F54168"/>
    <w:rsid w:val="00F5589A"/>
    <w:rsid w:val="00F6540B"/>
    <w:rsid w:val="00F80452"/>
    <w:rsid w:val="00FA3649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7C3E3301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p">
    <w:name w:val="p"/>
    <w:basedOn w:val="Normal"/>
    <w:rsid w:val="00C31856"/>
    <w:pPr>
      <w:numPr>
        <w:numId w:val="1"/>
      </w:numPr>
      <w:spacing w:before="240"/>
      <w:jc w:val="both"/>
    </w:pPr>
    <w:rPr>
      <w:rFonts w:ascii="Book Antiqua" w:hAnsi="Book Antiqua" w:cs="Courier New"/>
    </w:rPr>
  </w:style>
  <w:style w:type="paragraph" w:customStyle="1" w:styleId="h">
    <w:name w:val="h"/>
    <w:basedOn w:val="Normal"/>
    <w:rsid w:val="00C31856"/>
    <w:pPr>
      <w:spacing w:before="240"/>
      <w:jc w:val="both"/>
    </w:pPr>
    <w:rPr>
      <w:rFonts w:ascii="Book Antiqua" w:hAnsi="Book Antiqua" w:cs="Arial"/>
      <w:b/>
      <w:u w:val="single"/>
    </w:rPr>
  </w:style>
  <w:style w:type="paragraph" w:customStyle="1" w:styleId="q">
    <w:name w:val="q"/>
    <w:basedOn w:val="Normal"/>
    <w:rsid w:val="00C31856"/>
    <w:pPr>
      <w:spacing w:before="240"/>
      <w:ind w:left="1134"/>
      <w:jc w:val="both"/>
    </w:pPr>
    <w:rPr>
      <w:rFonts w:ascii="Book Antiqua" w:hAnsi="Book Antiqua" w:cs="Arial"/>
    </w:rPr>
  </w:style>
  <w:style w:type="paragraph" w:customStyle="1" w:styleId="qn">
    <w:name w:val="qn"/>
    <w:basedOn w:val="Normal"/>
    <w:rsid w:val="00877927"/>
    <w:pPr>
      <w:spacing w:before="240"/>
      <w:ind w:left="1701" w:hanging="567"/>
      <w:jc w:val="both"/>
    </w:pPr>
    <w:rPr>
      <w:rFonts w:ascii="Book Antiqua" w:hAnsi="Book Antiqua" w:cs="Arial"/>
    </w:rPr>
  </w:style>
  <w:style w:type="paragraph" w:customStyle="1" w:styleId="subp">
    <w:name w:val="subp"/>
    <w:basedOn w:val="Normal"/>
    <w:rsid w:val="00C31856"/>
    <w:pPr>
      <w:numPr>
        <w:ilvl w:val="1"/>
        <w:numId w:val="4"/>
      </w:numPr>
      <w:spacing w:before="240"/>
      <w:jc w:val="both"/>
    </w:pPr>
    <w:rPr>
      <w:rFonts w:ascii="Book Antiqua" w:hAnsi="Book Antiqua" w:cs="Arial"/>
    </w:rPr>
  </w:style>
  <w:style w:type="paragraph" w:customStyle="1" w:styleId="subNumbered">
    <w:name w:val="subNumbered"/>
    <w:basedOn w:val="subp"/>
    <w:rsid w:val="00877927"/>
    <w:pPr>
      <w:numPr>
        <w:ilvl w:val="0"/>
        <w:numId w:val="0"/>
      </w:numPr>
      <w:tabs>
        <w:tab w:val="num" w:pos="567"/>
      </w:tabs>
      <w:ind w:left="567" w:hanging="567"/>
    </w:pPr>
  </w:style>
  <w:style w:type="paragraph" w:customStyle="1" w:styleId="t">
    <w:name w:val="t"/>
    <w:basedOn w:val="Normal"/>
    <w:rsid w:val="00D6230D"/>
    <w:pPr>
      <w:jc w:val="both"/>
    </w:pPr>
    <w:rPr>
      <w:rFonts w:ascii="Book Antiqua" w:hAnsi="Book Antiqu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2018-08-17T14:20:00Z</dcterms:created>
  <dcterms:modified xsi:type="dcterms:W3CDTF">2018-08-17T14:20:00Z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