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8578D0" w:rsidRDefault="00D94AFC">
      <w:pPr>
        <w:rPr>
          <w:rFonts w:ascii="Arial" w:hAnsi="Arial" w:cs="Arial"/>
          <w:color w:val="000000"/>
        </w:rPr>
      </w:pPr>
    </w:p>
    <w:p w:rsidR="00F97703" w:rsidRPr="008578D0" w:rsidRDefault="00082D15" w:rsidP="00F97703">
      <w:pPr>
        <w:jc w:val="center"/>
        <w:rPr>
          <w:rFonts w:ascii="Arial" w:hAnsi="Arial" w:cs="Arial"/>
          <w:color w:val="000000"/>
        </w:rPr>
      </w:pPr>
      <w:r w:rsidRPr="008578D0">
        <w:rPr>
          <w:rFonts w:ascii="Arial" w:hAnsi="Arial" w:cs="Arial"/>
          <w:noProof/>
        </w:rPr>
        <w:drawing>
          <wp:inline distT="0" distB="0" distL="0" distR="0" wp14:anchorId="3BB4BB07" wp14:editId="3BB4BB08">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8578D0" w:rsidRDefault="00BB39BE" w:rsidP="00DA4D91">
      <w:pPr>
        <w:tabs>
          <w:tab w:val="right" w:pos="9720"/>
        </w:tabs>
        <w:ind w:right="-82"/>
        <w:outlineLvl w:val="0"/>
        <w:rPr>
          <w:rFonts w:ascii="Arial" w:hAnsi="Arial" w:cs="Arial"/>
          <w:b/>
          <w:color w:val="000000"/>
        </w:rPr>
      </w:pPr>
      <w:r w:rsidRPr="008578D0">
        <w:rPr>
          <w:rFonts w:ascii="Arial" w:hAnsi="Arial" w:cs="Arial"/>
          <w:b/>
          <w:color w:val="000000"/>
        </w:rPr>
        <w:t>Upper</w:t>
      </w:r>
      <w:r w:rsidR="00F97703" w:rsidRPr="008578D0">
        <w:rPr>
          <w:rFonts w:ascii="Arial" w:hAnsi="Arial" w:cs="Arial"/>
          <w:b/>
          <w:color w:val="000000"/>
        </w:rPr>
        <w:t xml:space="preserve"> Tribunal </w:t>
      </w:r>
    </w:p>
    <w:p w:rsidR="00874C7E" w:rsidRPr="008578D0" w:rsidRDefault="00F97703" w:rsidP="00780F86">
      <w:pPr>
        <w:tabs>
          <w:tab w:val="right" w:pos="9720"/>
        </w:tabs>
        <w:ind w:right="-82"/>
        <w:rPr>
          <w:rFonts w:ascii="Arial" w:hAnsi="Arial" w:cs="Arial"/>
          <w:color w:val="000000"/>
        </w:rPr>
      </w:pPr>
      <w:r w:rsidRPr="008578D0">
        <w:rPr>
          <w:rFonts w:ascii="Arial" w:hAnsi="Arial" w:cs="Arial"/>
          <w:b/>
          <w:color w:val="000000"/>
        </w:rPr>
        <w:t xml:space="preserve">(Immigration and Asylum </w:t>
      </w:r>
      <w:proofErr w:type="gramStart"/>
      <w:r w:rsidRPr="008578D0">
        <w:rPr>
          <w:rFonts w:ascii="Arial" w:hAnsi="Arial" w:cs="Arial"/>
          <w:b/>
          <w:color w:val="000000"/>
        </w:rPr>
        <w:t>Chamber)</w:t>
      </w:r>
      <w:r w:rsidR="001371F0">
        <w:rPr>
          <w:rFonts w:ascii="Arial" w:hAnsi="Arial" w:cs="Arial"/>
          <w:b/>
          <w:color w:val="000000"/>
        </w:rPr>
        <w:t xml:space="preserve">   </w:t>
      </w:r>
      <w:proofErr w:type="gramEnd"/>
      <w:r w:rsidR="001371F0">
        <w:rPr>
          <w:rFonts w:ascii="Arial" w:hAnsi="Arial" w:cs="Arial"/>
          <w:b/>
          <w:color w:val="000000"/>
        </w:rPr>
        <w:t xml:space="preserve">                     </w:t>
      </w:r>
      <w:r w:rsidR="00B3524D" w:rsidRPr="001371F0">
        <w:rPr>
          <w:rFonts w:ascii="Arial" w:hAnsi="Arial" w:cs="Arial"/>
          <w:b/>
          <w:color w:val="000000"/>
        </w:rPr>
        <w:t>Appeal Number</w:t>
      </w:r>
      <w:r w:rsidR="00D53769" w:rsidRPr="001371F0">
        <w:rPr>
          <w:rFonts w:ascii="Arial" w:hAnsi="Arial" w:cs="Arial"/>
          <w:b/>
          <w:color w:val="000000"/>
        </w:rPr>
        <w:t>:</w:t>
      </w:r>
      <w:r w:rsidR="00B3524D" w:rsidRPr="001371F0">
        <w:rPr>
          <w:rFonts w:ascii="Arial" w:hAnsi="Arial" w:cs="Arial"/>
          <w:b/>
          <w:color w:val="000000"/>
        </w:rPr>
        <w:t xml:space="preserve"> </w:t>
      </w:r>
      <w:r w:rsidR="00446952" w:rsidRPr="001371F0">
        <w:rPr>
          <w:rFonts w:ascii="Arial" w:hAnsi="Arial" w:cs="Arial"/>
          <w:b/>
          <w:color w:val="000000"/>
        </w:rPr>
        <w:t>EA/10658/2016</w:t>
      </w:r>
    </w:p>
    <w:p w:rsidR="00C345E1" w:rsidRPr="008578D0" w:rsidRDefault="00C345E1" w:rsidP="00C345E1">
      <w:pPr>
        <w:jc w:val="center"/>
        <w:rPr>
          <w:rFonts w:ascii="Arial" w:hAnsi="Arial" w:cs="Arial"/>
          <w:color w:val="000000"/>
        </w:rPr>
      </w:pPr>
    </w:p>
    <w:p w:rsidR="00C345E1" w:rsidRPr="008578D0" w:rsidRDefault="00C345E1" w:rsidP="00DA4D91">
      <w:pPr>
        <w:jc w:val="center"/>
        <w:outlineLvl w:val="0"/>
        <w:rPr>
          <w:rFonts w:ascii="Arial" w:hAnsi="Arial" w:cs="Arial"/>
          <w:b/>
          <w:color w:val="000000"/>
          <w:u w:val="single"/>
        </w:rPr>
      </w:pPr>
      <w:r w:rsidRPr="008578D0">
        <w:rPr>
          <w:rFonts w:ascii="Arial" w:hAnsi="Arial" w:cs="Arial"/>
          <w:b/>
          <w:color w:val="000000"/>
          <w:u w:val="single"/>
        </w:rPr>
        <w:t>THE IMMIGRATION ACTS</w:t>
      </w:r>
    </w:p>
    <w:p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29"/>
        <w:gridCol w:w="4109"/>
      </w:tblGrid>
      <w:tr w:rsidR="00D22636" w:rsidRPr="00FD50E5" w:rsidTr="001371F0">
        <w:tc>
          <w:tcPr>
            <w:tcW w:w="5529" w:type="dxa"/>
            <w:shd w:val="clear" w:color="auto" w:fill="auto"/>
          </w:tcPr>
          <w:p w:rsidR="00D22636" w:rsidRPr="00FD50E5" w:rsidRDefault="00844156" w:rsidP="00673E8F">
            <w:pPr>
              <w:jc w:val="both"/>
              <w:rPr>
                <w:rFonts w:ascii="Arial" w:hAnsi="Arial" w:cs="Arial"/>
                <w:b/>
              </w:rPr>
            </w:pPr>
            <w:r w:rsidRPr="00FD50E5">
              <w:rPr>
                <w:rFonts w:ascii="Arial" w:hAnsi="Arial" w:cs="Arial"/>
                <w:b/>
              </w:rPr>
              <w:t>Heard</w:t>
            </w:r>
            <w:r w:rsidR="00870267" w:rsidRPr="00FD50E5">
              <w:rPr>
                <w:rFonts w:ascii="Arial" w:hAnsi="Arial" w:cs="Arial"/>
                <w:b/>
              </w:rPr>
              <w:t xml:space="preserve"> at </w:t>
            </w:r>
            <w:r w:rsidR="00673E8F">
              <w:rPr>
                <w:rFonts w:ascii="Arial" w:hAnsi="Arial" w:cs="Arial"/>
                <w:b/>
              </w:rPr>
              <w:t>Field House</w:t>
            </w:r>
            <w:r w:rsidR="00874C7E" w:rsidRPr="00FD50E5">
              <w:rPr>
                <w:rFonts w:ascii="Arial" w:hAnsi="Arial" w:cs="Arial"/>
                <w:b/>
              </w:rPr>
              <w:t xml:space="preserve"> </w:t>
            </w:r>
          </w:p>
        </w:tc>
        <w:tc>
          <w:tcPr>
            <w:tcW w:w="4109" w:type="dxa"/>
            <w:shd w:val="clear" w:color="auto" w:fill="auto"/>
          </w:tcPr>
          <w:p w:rsidR="00D22636" w:rsidRPr="00FD50E5" w:rsidRDefault="001371F0" w:rsidP="00FD50E5">
            <w:pPr>
              <w:jc w:val="both"/>
              <w:rPr>
                <w:rFonts w:ascii="Arial" w:hAnsi="Arial" w:cs="Arial"/>
                <w:b/>
                <w:color w:val="000000"/>
              </w:rPr>
            </w:pPr>
            <w:r>
              <w:rPr>
                <w:rFonts w:ascii="Arial" w:hAnsi="Arial" w:cs="Arial"/>
                <w:b/>
                <w:color w:val="000000"/>
              </w:rPr>
              <w:t xml:space="preserve"> </w:t>
            </w:r>
            <w:r w:rsidR="00283659" w:rsidRPr="00FD50E5">
              <w:rPr>
                <w:rFonts w:ascii="Arial" w:hAnsi="Arial" w:cs="Arial"/>
                <w:b/>
                <w:color w:val="000000"/>
              </w:rPr>
              <w:t>Determination Promulgated</w:t>
            </w:r>
          </w:p>
        </w:tc>
      </w:tr>
      <w:tr w:rsidR="00D22636" w:rsidRPr="00FD50E5" w:rsidTr="001371F0">
        <w:tc>
          <w:tcPr>
            <w:tcW w:w="5529" w:type="dxa"/>
            <w:shd w:val="clear" w:color="auto" w:fill="auto"/>
          </w:tcPr>
          <w:p w:rsidR="00D22636" w:rsidRPr="00FD50E5" w:rsidRDefault="00D22636" w:rsidP="00B300CE">
            <w:pPr>
              <w:jc w:val="both"/>
              <w:rPr>
                <w:rFonts w:ascii="Arial" w:hAnsi="Arial" w:cs="Arial"/>
                <w:b/>
              </w:rPr>
            </w:pPr>
            <w:r w:rsidRPr="00FD50E5">
              <w:rPr>
                <w:rFonts w:ascii="Arial" w:hAnsi="Arial" w:cs="Arial"/>
                <w:b/>
              </w:rPr>
              <w:t>On</w:t>
            </w:r>
            <w:r w:rsidR="00A905CD" w:rsidRPr="00FD50E5">
              <w:rPr>
                <w:rFonts w:ascii="Arial" w:hAnsi="Arial" w:cs="Arial"/>
                <w:b/>
              </w:rPr>
              <w:t xml:space="preserve"> </w:t>
            </w:r>
            <w:r w:rsidR="00446952">
              <w:rPr>
                <w:rFonts w:ascii="Arial" w:hAnsi="Arial" w:cs="Arial"/>
                <w:b/>
              </w:rPr>
              <w:t>11</w:t>
            </w:r>
            <w:r w:rsidR="00446952" w:rsidRPr="00446952">
              <w:rPr>
                <w:rFonts w:ascii="Arial" w:hAnsi="Arial" w:cs="Arial"/>
                <w:b/>
                <w:vertAlign w:val="superscript"/>
              </w:rPr>
              <w:t>th</w:t>
            </w:r>
            <w:r w:rsidR="00446952">
              <w:rPr>
                <w:rFonts w:ascii="Arial" w:hAnsi="Arial" w:cs="Arial"/>
                <w:b/>
              </w:rPr>
              <w:t xml:space="preserve"> May 2018</w:t>
            </w:r>
          </w:p>
        </w:tc>
        <w:tc>
          <w:tcPr>
            <w:tcW w:w="4109" w:type="dxa"/>
            <w:shd w:val="clear" w:color="auto" w:fill="auto"/>
          </w:tcPr>
          <w:p w:rsidR="00D22636" w:rsidRPr="00FD50E5" w:rsidRDefault="001371F0" w:rsidP="00FD50E5">
            <w:pPr>
              <w:jc w:val="both"/>
              <w:rPr>
                <w:rFonts w:ascii="Arial" w:hAnsi="Arial" w:cs="Arial"/>
                <w:b/>
              </w:rPr>
            </w:pPr>
            <w:r>
              <w:rPr>
                <w:rFonts w:ascii="Arial" w:hAnsi="Arial" w:cs="Arial"/>
                <w:b/>
              </w:rPr>
              <w:t xml:space="preserve"> </w:t>
            </w:r>
            <w:r w:rsidR="000400CF" w:rsidRPr="000400CF">
              <w:rPr>
                <w:rFonts w:ascii="Arial" w:hAnsi="Arial" w:cs="Arial"/>
                <w:b/>
              </w:rPr>
              <w:t>On 1</w:t>
            </w:r>
            <w:r w:rsidR="000400CF">
              <w:rPr>
                <w:rFonts w:ascii="Arial" w:hAnsi="Arial" w:cs="Arial"/>
                <w:b/>
              </w:rPr>
              <w:t>7</w:t>
            </w:r>
            <w:r w:rsidR="000400CF" w:rsidRPr="000400CF">
              <w:rPr>
                <w:rFonts w:ascii="Arial" w:hAnsi="Arial" w:cs="Arial"/>
                <w:b/>
              </w:rPr>
              <w:t>th May 2018</w:t>
            </w:r>
          </w:p>
        </w:tc>
      </w:tr>
      <w:tr w:rsidR="00D22636" w:rsidRPr="00FD50E5" w:rsidTr="001371F0">
        <w:tc>
          <w:tcPr>
            <w:tcW w:w="5529" w:type="dxa"/>
            <w:shd w:val="clear" w:color="auto" w:fill="auto"/>
          </w:tcPr>
          <w:p w:rsidR="00D22636" w:rsidRPr="00FD50E5" w:rsidRDefault="00D22636" w:rsidP="00FD50E5">
            <w:pPr>
              <w:jc w:val="both"/>
              <w:rPr>
                <w:rFonts w:ascii="Arial" w:hAnsi="Arial" w:cs="Arial"/>
                <w:b/>
              </w:rPr>
            </w:pPr>
          </w:p>
        </w:tc>
        <w:tc>
          <w:tcPr>
            <w:tcW w:w="4109" w:type="dxa"/>
            <w:shd w:val="clear" w:color="auto" w:fill="auto"/>
          </w:tcPr>
          <w:p w:rsidR="00D22636" w:rsidRPr="00FD50E5" w:rsidRDefault="00D22636" w:rsidP="00FD50E5">
            <w:pPr>
              <w:jc w:val="both"/>
              <w:rPr>
                <w:rFonts w:ascii="Arial" w:hAnsi="Arial" w:cs="Arial"/>
                <w:b/>
              </w:rPr>
            </w:pPr>
          </w:p>
        </w:tc>
      </w:tr>
    </w:tbl>
    <w:p w:rsidR="00A15234" w:rsidRPr="008578D0" w:rsidRDefault="00A15234" w:rsidP="00A15234">
      <w:pPr>
        <w:jc w:val="center"/>
        <w:rPr>
          <w:rFonts w:ascii="Arial" w:hAnsi="Arial" w:cs="Arial"/>
        </w:rPr>
      </w:pPr>
    </w:p>
    <w:p w:rsidR="00A15234" w:rsidRPr="008578D0" w:rsidRDefault="00A15234" w:rsidP="00A15234">
      <w:pPr>
        <w:jc w:val="center"/>
        <w:rPr>
          <w:rFonts w:ascii="Arial" w:hAnsi="Arial" w:cs="Arial"/>
        </w:rPr>
      </w:pPr>
    </w:p>
    <w:p w:rsidR="00A15234" w:rsidRPr="008578D0" w:rsidRDefault="00207617" w:rsidP="00DA4D91">
      <w:pPr>
        <w:jc w:val="center"/>
        <w:outlineLvl w:val="0"/>
        <w:rPr>
          <w:rFonts w:ascii="Arial" w:hAnsi="Arial" w:cs="Arial"/>
          <w:b/>
        </w:rPr>
      </w:pPr>
      <w:r w:rsidRPr="008578D0">
        <w:rPr>
          <w:rFonts w:ascii="Arial" w:hAnsi="Arial" w:cs="Arial"/>
          <w:b/>
        </w:rPr>
        <w:t>Befo</w:t>
      </w:r>
      <w:r w:rsidR="00A15234" w:rsidRPr="008578D0">
        <w:rPr>
          <w:rFonts w:ascii="Arial" w:hAnsi="Arial" w:cs="Arial"/>
          <w:b/>
        </w:rPr>
        <w:t>re</w:t>
      </w:r>
    </w:p>
    <w:p w:rsidR="00721E7A" w:rsidRPr="008578D0" w:rsidRDefault="00721E7A" w:rsidP="00A15234">
      <w:pPr>
        <w:jc w:val="center"/>
        <w:rPr>
          <w:rFonts w:ascii="Arial" w:hAnsi="Arial" w:cs="Arial"/>
          <w:b/>
        </w:rPr>
      </w:pPr>
    </w:p>
    <w:p w:rsidR="00D20757" w:rsidRPr="008578D0" w:rsidRDefault="00D8561E" w:rsidP="00A15234">
      <w:pPr>
        <w:jc w:val="center"/>
        <w:rPr>
          <w:rFonts w:ascii="Arial" w:hAnsi="Arial" w:cs="Arial"/>
          <w:b/>
        </w:rPr>
      </w:pPr>
      <w:r w:rsidRPr="008578D0">
        <w:rPr>
          <w:rFonts w:ascii="Arial" w:hAnsi="Arial" w:cs="Arial"/>
          <w:b/>
        </w:rPr>
        <w:t>UPPER TRIBUNAL JUDGE COKER</w:t>
      </w:r>
    </w:p>
    <w:p w:rsidR="00D8561E" w:rsidRPr="008578D0" w:rsidRDefault="00D8561E" w:rsidP="00DA4D91">
      <w:pPr>
        <w:jc w:val="center"/>
        <w:outlineLvl w:val="0"/>
        <w:rPr>
          <w:rFonts w:ascii="Arial" w:hAnsi="Arial" w:cs="Arial"/>
          <w:b/>
        </w:rPr>
      </w:pPr>
    </w:p>
    <w:p w:rsidR="00A845DC" w:rsidRPr="008578D0" w:rsidRDefault="00A845DC" w:rsidP="00DA4D91">
      <w:pPr>
        <w:jc w:val="center"/>
        <w:outlineLvl w:val="0"/>
        <w:rPr>
          <w:rFonts w:ascii="Arial" w:hAnsi="Arial" w:cs="Arial"/>
          <w:b/>
        </w:rPr>
      </w:pPr>
      <w:r w:rsidRPr="008578D0">
        <w:rPr>
          <w:rFonts w:ascii="Arial" w:hAnsi="Arial" w:cs="Arial"/>
          <w:b/>
        </w:rPr>
        <w:t>Between</w:t>
      </w:r>
    </w:p>
    <w:p w:rsidR="00A845DC" w:rsidRPr="008578D0" w:rsidRDefault="00A845DC" w:rsidP="00A15234">
      <w:pPr>
        <w:jc w:val="center"/>
        <w:rPr>
          <w:rFonts w:ascii="Arial" w:hAnsi="Arial" w:cs="Arial"/>
          <w:b/>
        </w:rPr>
      </w:pPr>
    </w:p>
    <w:p w:rsidR="00172D1A" w:rsidRPr="008578D0" w:rsidRDefault="00446952" w:rsidP="00446952">
      <w:pPr>
        <w:jc w:val="center"/>
        <w:rPr>
          <w:rFonts w:ascii="Arial" w:hAnsi="Arial" w:cs="Arial"/>
          <w:b/>
        </w:rPr>
      </w:pPr>
      <w:r>
        <w:rPr>
          <w:rFonts w:ascii="Arial" w:hAnsi="Arial" w:cs="Arial"/>
          <w:b/>
        </w:rPr>
        <w:t>THELMA OMOWUNMI ATOBATELE</w:t>
      </w:r>
    </w:p>
    <w:p w:rsidR="00704B61" w:rsidRPr="008578D0" w:rsidRDefault="00704B61" w:rsidP="00DA4D91">
      <w:pPr>
        <w:jc w:val="right"/>
        <w:outlineLvl w:val="0"/>
        <w:rPr>
          <w:rFonts w:ascii="Arial" w:hAnsi="Arial" w:cs="Arial"/>
          <w:u w:val="single"/>
        </w:rPr>
      </w:pPr>
      <w:r w:rsidRPr="008578D0">
        <w:rPr>
          <w:rFonts w:ascii="Arial" w:hAnsi="Arial" w:cs="Arial"/>
          <w:u w:val="single"/>
        </w:rPr>
        <w:t>Appellant</w:t>
      </w:r>
    </w:p>
    <w:p w:rsidR="00704B61" w:rsidRPr="008578D0" w:rsidRDefault="00172D1A" w:rsidP="00704B61">
      <w:pPr>
        <w:jc w:val="center"/>
        <w:rPr>
          <w:rFonts w:ascii="Arial" w:hAnsi="Arial" w:cs="Arial"/>
          <w:b/>
        </w:rPr>
      </w:pPr>
      <w:r w:rsidRPr="008578D0">
        <w:rPr>
          <w:rFonts w:ascii="Arial" w:hAnsi="Arial" w:cs="Arial"/>
          <w:b/>
        </w:rPr>
        <w:t>A</w:t>
      </w:r>
      <w:r w:rsidR="00DD5071" w:rsidRPr="008578D0">
        <w:rPr>
          <w:rFonts w:ascii="Arial" w:hAnsi="Arial" w:cs="Arial"/>
          <w:b/>
        </w:rPr>
        <w:t>nd</w:t>
      </w:r>
    </w:p>
    <w:p w:rsidR="00172D1A" w:rsidRPr="008578D0" w:rsidRDefault="00172D1A" w:rsidP="00704B61">
      <w:pPr>
        <w:jc w:val="center"/>
        <w:rPr>
          <w:rFonts w:ascii="Arial" w:hAnsi="Arial" w:cs="Arial"/>
          <w:b/>
        </w:rPr>
      </w:pPr>
    </w:p>
    <w:p w:rsidR="00172D1A" w:rsidRPr="008578D0" w:rsidRDefault="00852DCE" w:rsidP="00704B61">
      <w:pPr>
        <w:jc w:val="center"/>
        <w:rPr>
          <w:rFonts w:ascii="Arial" w:hAnsi="Arial" w:cs="Arial"/>
          <w:b/>
        </w:rPr>
      </w:pPr>
      <w:r w:rsidRPr="008578D0">
        <w:rPr>
          <w:rFonts w:ascii="Arial" w:hAnsi="Arial" w:cs="Arial"/>
          <w:b/>
        </w:rPr>
        <w:t>SECRETARY OF STATE FOR THE HOME DEPARTMENT</w:t>
      </w:r>
    </w:p>
    <w:p w:rsidR="00DD5071" w:rsidRPr="008578D0" w:rsidRDefault="00DD5071" w:rsidP="00DA4D91">
      <w:pPr>
        <w:jc w:val="right"/>
        <w:outlineLvl w:val="0"/>
        <w:rPr>
          <w:rFonts w:ascii="Arial" w:hAnsi="Arial" w:cs="Arial"/>
          <w:u w:val="single"/>
        </w:rPr>
      </w:pPr>
      <w:r w:rsidRPr="008578D0">
        <w:rPr>
          <w:rFonts w:ascii="Arial" w:hAnsi="Arial" w:cs="Arial"/>
          <w:u w:val="single"/>
        </w:rPr>
        <w:t>Respondent</w:t>
      </w:r>
    </w:p>
    <w:p w:rsidR="00DD5071" w:rsidRPr="008578D0" w:rsidRDefault="00DD5071" w:rsidP="00DD5071">
      <w:pPr>
        <w:rPr>
          <w:rFonts w:ascii="Arial" w:hAnsi="Arial" w:cs="Arial"/>
          <w:u w:val="single"/>
        </w:rPr>
      </w:pPr>
    </w:p>
    <w:p w:rsidR="00DD5071" w:rsidRPr="008578D0" w:rsidRDefault="00DE7DB7" w:rsidP="00DA4D91">
      <w:pPr>
        <w:outlineLvl w:val="0"/>
        <w:rPr>
          <w:rFonts w:ascii="Arial" w:hAnsi="Arial" w:cs="Arial"/>
        </w:rPr>
      </w:pPr>
      <w:r w:rsidRPr="008578D0">
        <w:rPr>
          <w:rFonts w:ascii="Arial" w:hAnsi="Arial" w:cs="Arial"/>
          <w:b/>
          <w:u w:val="single"/>
        </w:rPr>
        <w:t>Representation</w:t>
      </w:r>
      <w:r w:rsidRPr="008578D0">
        <w:rPr>
          <w:rFonts w:ascii="Arial" w:hAnsi="Arial" w:cs="Arial"/>
          <w:b/>
        </w:rPr>
        <w:t>:</w:t>
      </w:r>
    </w:p>
    <w:p w:rsidR="00DE7DB7" w:rsidRPr="008578D0" w:rsidRDefault="00DE7DB7" w:rsidP="00DD5071">
      <w:pPr>
        <w:rPr>
          <w:rFonts w:ascii="Arial" w:hAnsi="Arial" w:cs="Arial"/>
        </w:rPr>
      </w:pPr>
    </w:p>
    <w:p w:rsidR="00DE7DB7" w:rsidRPr="008578D0" w:rsidRDefault="00DE7DB7" w:rsidP="00DA4D91">
      <w:pPr>
        <w:tabs>
          <w:tab w:val="left" w:pos="2520"/>
        </w:tabs>
        <w:outlineLvl w:val="0"/>
        <w:rPr>
          <w:rFonts w:ascii="Arial" w:hAnsi="Arial" w:cs="Arial"/>
        </w:rPr>
      </w:pPr>
      <w:r w:rsidRPr="008578D0">
        <w:rPr>
          <w:rFonts w:ascii="Arial" w:hAnsi="Arial" w:cs="Arial"/>
        </w:rPr>
        <w:t>For the Appellant:</w:t>
      </w:r>
      <w:r w:rsidRPr="008578D0">
        <w:rPr>
          <w:rFonts w:ascii="Arial" w:hAnsi="Arial" w:cs="Arial"/>
        </w:rPr>
        <w:tab/>
      </w:r>
      <w:r w:rsidR="00D463AA">
        <w:rPr>
          <w:rFonts w:ascii="Arial" w:hAnsi="Arial" w:cs="Arial"/>
        </w:rPr>
        <w:t>M</w:t>
      </w:r>
      <w:r w:rsidR="00B300CE">
        <w:rPr>
          <w:rFonts w:ascii="Arial" w:hAnsi="Arial" w:cs="Arial"/>
        </w:rPr>
        <w:t xml:space="preserve">r </w:t>
      </w:r>
      <w:r w:rsidR="00446952">
        <w:rPr>
          <w:rFonts w:ascii="Arial" w:hAnsi="Arial" w:cs="Arial"/>
        </w:rPr>
        <w:t xml:space="preserve">A. </w:t>
      </w:r>
      <w:proofErr w:type="spellStart"/>
      <w:r w:rsidR="00446952">
        <w:rPr>
          <w:rFonts w:ascii="Arial" w:hAnsi="Arial" w:cs="Arial"/>
        </w:rPr>
        <w:t>Adewole</w:t>
      </w:r>
      <w:proofErr w:type="spellEnd"/>
      <w:r w:rsidR="00446952">
        <w:rPr>
          <w:rFonts w:ascii="Arial" w:hAnsi="Arial" w:cs="Arial"/>
        </w:rPr>
        <w:t xml:space="preserve"> of A &amp; A solicitors</w:t>
      </w:r>
    </w:p>
    <w:p w:rsidR="00DE7DB7" w:rsidRPr="008578D0" w:rsidRDefault="00DE7DB7" w:rsidP="00DE7DB7">
      <w:pPr>
        <w:tabs>
          <w:tab w:val="left" w:pos="2520"/>
        </w:tabs>
        <w:rPr>
          <w:rFonts w:ascii="Arial" w:hAnsi="Arial" w:cs="Arial"/>
        </w:rPr>
      </w:pPr>
      <w:r w:rsidRPr="008578D0">
        <w:rPr>
          <w:rFonts w:ascii="Arial" w:hAnsi="Arial" w:cs="Arial"/>
        </w:rPr>
        <w:t>For the Respondent:</w:t>
      </w:r>
      <w:r w:rsidRPr="008578D0">
        <w:rPr>
          <w:rFonts w:ascii="Arial" w:hAnsi="Arial" w:cs="Arial"/>
        </w:rPr>
        <w:tab/>
      </w:r>
      <w:r w:rsidR="004F77C5" w:rsidRPr="008578D0">
        <w:rPr>
          <w:rFonts w:ascii="Arial" w:hAnsi="Arial" w:cs="Arial"/>
        </w:rPr>
        <w:t>M</w:t>
      </w:r>
      <w:r w:rsidR="00126036">
        <w:rPr>
          <w:rFonts w:ascii="Arial" w:hAnsi="Arial" w:cs="Arial"/>
        </w:rPr>
        <w:t xml:space="preserve">r </w:t>
      </w:r>
      <w:r w:rsidR="00446952">
        <w:rPr>
          <w:rFonts w:ascii="Arial" w:hAnsi="Arial" w:cs="Arial"/>
        </w:rPr>
        <w:t>T Melvin</w:t>
      </w:r>
      <w:r w:rsidR="00852DCE" w:rsidRPr="008578D0">
        <w:rPr>
          <w:rFonts w:ascii="Arial" w:hAnsi="Arial" w:cs="Arial"/>
        </w:rPr>
        <w:t xml:space="preserve">, Senior Home Office Presenting Officer </w:t>
      </w:r>
    </w:p>
    <w:p w:rsidR="00DE7DB7" w:rsidRDefault="00DE7DB7" w:rsidP="00402B9E">
      <w:pPr>
        <w:tabs>
          <w:tab w:val="left" w:pos="2520"/>
        </w:tabs>
        <w:jc w:val="center"/>
        <w:rPr>
          <w:rFonts w:ascii="Arial" w:hAnsi="Arial" w:cs="Arial"/>
        </w:rPr>
      </w:pPr>
    </w:p>
    <w:p w:rsidR="00D463AA" w:rsidRPr="008578D0" w:rsidRDefault="00D463AA" w:rsidP="00402B9E">
      <w:pPr>
        <w:tabs>
          <w:tab w:val="left" w:pos="2520"/>
        </w:tabs>
        <w:jc w:val="center"/>
        <w:rPr>
          <w:rFonts w:ascii="Arial" w:hAnsi="Arial" w:cs="Arial"/>
        </w:rPr>
      </w:pPr>
    </w:p>
    <w:p w:rsidR="00DE7DB7" w:rsidRDefault="00402B9E" w:rsidP="00DA4D91">
      <w:pPr>
        <w:tabs>
          <w:tab w:val="left" w:pos="2520"/>
        </w:tabs>
        <w:jc w:val="center"/>
        <w:outlineLvl w:val="0"/>
        <w:rPr>
          <w:rFonts w:ascii="Arial" w:hAnsi="Arial" w:cs="Arial"/>
          <w:b/>
          <w:u w:val="single"/>
        </w:rPr>
      </w:pPr>
      <w:r w:rsidRPr="008578D0">
        <w:rPr>
          <w:rFonts w:ascii="Arial" w:hAnsi="Arial" w:cs="Arial"/>
          <w:b/>
          <w:u w:val="single"/>
        </w:rPr>
        <w:t>DETERMINATION AND REASONS</w:t>
      </w:r>
    </w:p>
    <w:p w:rsidR="00673E8F" w:rsidRPr="008578D0" w:rsidRDefault="00673E8F" w:rsidP="00DA4D91">
      <w:pPr>
        <w:tabs>
          <w:tab w:val="left" w:pos="2520"/>
        </w:tabs>
        <w:jc w:val="center"/>
        <w:outlineLvl w:val="0"/>
        <w:rPr>
          <w:rFonts w:ascii="Arial" w:hAnsi="Arial" w:cs="Arial"/>
        </w:rPr>
      </w:pPr>
    </w:p>
    <w:p w:rsidR="00AB6C32" w:rsidRPr="008578D0" w:rsidRDefault="00AB6C32" w:rsidP="00AB6C32">
      <w:pPr>
        <w:pStyle w:val="ListParagraph"/>
        <w:contextualSpacing/>
        <w:jc w:val="both"/>
        <w:rPr>
          <w:rFonts w:ascii="Arial" w:hAnsi="Arial" w:cs="Arial"/>
        </w:rPr>
      </w:pPr>
    </w:p>
    <w:p w:rsidR="00FC032C" w:rsidRDefault="00446952" w:rsidP="00AB6C32">
      <w:pPr>
        <w:pStyle w:val="ListParagraph"/>
        <w:numPr>
          <w:ilvl w:val="0"/>
          <w:numId w:val="28"/>
        </w:numPr>
        <w:contextualSpacing/>
        <w:jc w:val="both"/>
        <w:rPr>
          <w:rFonts w:ascii="Arial" w:hAnsi="Arial" w:cs="Arial"/>
        </w:rPr>
      </w:pPr>
      <w:r>
        <w:rPr>
          <w:rFonts w:ascii="Arial" w:hAnsi="Arial" w:cs="Arial"/>
        </w:rPr>
        <w:t xml:space="preserve">First-tier Tribunal judge Traynor dismissed Ms </w:t>
      </w:r>
      <w:proofErr w:type="spellStart"/>
      <w:r>
        <w:rPr>
          <w:rFonts w:ascii="Arial" w:hAnsi="Arial" w:cs="Arial"/>
        </w:rPr>
        <w:t>Atobatele’s</w:t>
      </w:r>
      <w:proofErr w:type="spellEnd"/>
      <w:r>
        <w:rPr>
          <w:rFonts w:ascii="Arial" w:hAnsi="Arial" w:cs="Arial"/>
        </w:rPr>
        <w:t xml:space="preserve"> appeal against </w:t>
      </w:r>
      <w:r w:rsidR="005843DA">
        <w:rPr>
          <w:rFonts w:ascii="Arial" w:hAnsi="Arial" w:cs="Arial"/>
        </w:rPr>
        <w:t>t</w:t>
      </w:r>
      <w:r>
        <w:rPr>
          <w:rFonts w:ascii="Arial" w:hAnsi="Arial" w:cs="Arial"/>
        </w:rPr>
        <w:t xml:space="preserve">he refusal of the respondent to issue her with a </w:t>
      </w:r>
      <w:r w:rsidR="00FC032C">
        <w:rPr>
          <w:rFonts w:ascii="Arial" w:hAnsi="Arial" w:cs="Arial"/>
        </w:rPr>
        <w:t xml:space="preserve">derivative </w:t>
      </w:r>
      <w:r>
        <w:rPr>
          <w:rFonts w:ascii="Arial" w:hAnsi="Arial" w:cs="Arial"/>
        </w:rPr>
        <w:t>residence card</w:t>
      </w:r>
      <w:r w:rsidR="00FC032C">
        <w:rPr>
          <w:rFonts w:ascii="Arial" w:hAnsi="Arial" w:cs="Arial"/>
        </w:rPr>
        <w:t xml:space="preserve"> as confirmation of a right to reside in the UK because she is the parent of an EEA national child (Maltese citizenship). He found that the child was not self</w:t>
      </w:r>
      <w:r w:rsidR="005843DA">
        <w:rPr>
          <w:rFonts w:ascii="Arial" w:hAnsi="Arial" w:cs="Arial"/>
        </w:rPr>
        <w:t>-</w:t>
      </w:r>
      <w:r w:rsidR="00FC032C">
        <w:rPr>
          <w:rFonts w:ascii="Arial" w:hAnsi="Arial" w:cs="Arial"/>
        </w:rPr>
        <w:t>sufficient in line with Directive 2004 /38/EC.</w:t>
      </w:r>
    </w:p>
    <w:p w:rsidR="00FC032C" w:rsidRDefault="00FC032C" w:rsidP="00FC032C">
      <w:pPr>
        <w:pStyle w:val="ListParagraph"/>
        <w:ind w:left="1560"/>
        <w:contextualSpacing/>
        <w:jc w:val="both"/>
        <w:rPr>
          <w:rFonts w:ascii="Arial" w:hAnsi="Arial" w:cs="Arial"/>
        </w:rPr>
      </w:pPr>
    </w:p>
    <w:p w:rsidR="002F1E24" w:rsidRDefault="00FC032C" w:rsidP="00AB6C32">
      <w:pPr>
        <w:pStyle w:val="ListParagraph"/>
        <w:numPr>
          <w:ilvl w:val="0"/>
          <w:numId w:val="28"/>
        </w:numPr>
        <w:contextualSpacing/>
        <w:jc w:val="both"/>
        <w:rPr>
          <w:rFonts w:ascii="Arial" w:hAnsi="Arial" w:cs="Arial"/>
        </w:rPr>
      </w:pPr>
      <w:r>
        <w:rPr>
          <w:rFonts w:ascii="Arial" w:hAnsi="Arial" w:cs="Arial"/>
        </w:rPr>
        <w:t>Per</w:t>
      </w:r>
      <w:r w:rsidR="002F1E24">
        <w:rPr>
          <w:rFonts w:ascii="Arial" w:hAnsi="Arial" w:cs="Arial"/>
        </w:rPr>
        <w:t>m</w:t>
      </w:r>
      <w:r>
        <w:rPr>
          <w:rFonts w:ascii="Arial" w:hAnsi="Arial" w:cs="Arial"/>
        </w:rPr>
        <w:t xml:space="preserve">ission was sought </w:t>
      </w:r>
      <w:r w:rsidR="002F1E24">
        <w:rPr>
          <w:rFonts w:ascii="Arial" w:hAnsi="Arial" w:cs="Arial"/>
        </w:rPr>
        <w:t>on</w:t>
      </w:r>
      <w:r w:rsidR="00446952">
        <w:rPr>
          <w:rFonts w:ascii="Arial" w:hAnsi="Arial" w:cs="Arial"/>
        </w:rPr>
        <w:t xml:space="preserve"> </w:t>
      </w:r>
      <w:r w:rsidR="002F1E24">
        <w:rPr>
          <w:rFonts w:ascii="Arial" w:hAnsi="Arial" w:cs="Arial"/>
        </w:rPr>
        <w:t>the following grounds:</w:t>
      </w:r>
    </w:p>
    <w:p w:rsidR="002F1E24" w:rsidRPr="002F1E24" w:rsidRDefault="002F1E24" w:rsidP="002F1E24">
      <w:pPr>
        <w:pStyle w:val="ListParagraph"/>
        <w:rPr>
          <w:rFonts w:ascii="Arial" w:hAnsi="Arial" w:cs="Arial"/>
        </w:rPr>
      </w:pPr>
    </w:p>
    <w:p w:rsidR="002F1E24" w:rsidRDefault="002F1E24" w:rsidP="002F1E24">
      <w:pPr>
        <w:pStyle w:val="ListParagraph"/>
        <w:numPr>
          <w:ilvl w:val="0"/>
          <w:numId w:val="29"/>
        </w:numPr>
        <w:contextualSpacing/>
        <w:jc w:val="both"/>
        <w:rPr>
          <w:rFonts w:ascii="Arial" w:hAnsi="Arial" w:cs="Arial"/>
        </w:rPr>
      </w:pPr>
      <w:r>
        <w:rPr>
          <w:rFonts w:ascii="Arial" w:hAnsi="Arial" w:cs="Arial"/>
        </w:rPr>
        <w:t xml:space="preserve">The First-tier Tribunal Judge erred in rejecting the appellant’s claim that her daughter was </w:t>
      </w:r>
      <w:r w:rsidR="0059607A">
        <w:rPr>
          <w:rFonts w:ascii="Arial" w:hAnsi="Arial" w:cs="Arial"/>
        </w:rPr>
        <w:t>self-sufficient</w:t>
      </w:r>
      <w:r w:rsidR="007A7276">
        <w:rPr>
          <w:rFonts w:ascii="Arial" w:hAnsi="Arial" w:cs="Arial"/>
        </w:rPr>
        <w:t>, including failing to take account of the child’s means</w:t>
      </w:r>
      <w:r>
        <w:rPr>
          <w:rFonts w:ascii="Arial" w:hAnsi="Arial" w:cs="Arial"/>
        </w:rPr>
        <w:t>; he failed to apply the correct test.</w:t>
      </w:r>
    </w:p>
    <w:p w:rsidR="002F1E24" w:rsidRDefault="002F1E24" w:rsidP="002F1E24">
      <w:pPr>
        <w:pStyle w:val="ListParagraph"/>
        <w:numPr>
          <w:ilvl w:val="0"/>
          <w:numId w:val="29"/>
        </w:numPr>
        <w:contextualSpacing/>
        <w:jc w:val="both"/>
        <w:rPr>
          <w:rFonts w:ascii="Arial" w:hAnsi="Arial" w:cs="Arial"/>
        </w:rPr>
      </w:pPr>
      <w:r>
        <w:rPr>
          <w:rFonts w:ascii="Arial" w:hAnsi="Arial" w:cs="Arial"/>
        </w:rPr>
        <w:t>Having found that the child was an EEA national, that the appellant was the primary carer</w:t>
      </w:r>
      <w:r w:rsidR="00F74571">
        <w:rPr>
          <w:rFonts w:ascii="Arial" w:hAnsi="Arial" w:cs="Arial"/>
        </w:rPr>
        <w:t xml:space="preserve"> and the child would have to leave the UK if the appellant left the UK</w:t>
      </w:r>
      <w:r>
        <w:rPr>
          <w:rFonts w:ascii="Arial" w:hAnsi="Arial" w:cs="Arial"/>
        </w:rPr>
        <w:t>, he failed to correctly apply the regulations</w:t>
      </w:r>
    </w:p>
    <w:p w:rsidR="00F74571" w:rsidRDefault="00F74571" w:rsidP="002F1E24">
      <w:pPr>
        <w:pStyle w:val="ListParagraph"/>
        <w:numPr>
          <w:ilvl w:val="0"/>
          <w:numId w:val="29"/>
        </w:numPr>
        <w:contextualSpacing/>
        <w:jc w:val="both"/>
        <w:rPr>
          <w:rFonts w:ascii="Arial" w:hAnsi="Arial" w:cs="Arial"/>
        </w:rPr>
      </w:pPr>
      <w:r>
        <w:rPr>
          <w:rFonts w:ascii="Arial" w:hAnsi="Arial" w:cs="Arial"/>
        </w:rPr>
        <w:lastRenderedPageBreak/>
        <w:t>Failed to consider whether the appellant was entitled to a permanent residence card.</w:t>
      </w:r>
    </w:p>
    <w:p w:rsidR="005843DA" w:rsidRDefault="005843DA" w:rsidP="005843DA">
      <w:pPr>
        <w:pStyle w:val="ListParagraph"/>
        <w:ind w:left="1920"/>
        <w:contextualSpacing/>
        <w:jc w:val="both"/>
        <w:rPr>
          <w:rFonts w:ascii="Arial" w:hAnsi="Arial" w:cs="Arial"/>
        </w:rPr>
      </w:pPr>
    </w:p>
    <w:p w:rsidR="00F74571" w:rsidRDefault="00F74571" w:rsidP="00637A47">
      <w:pPr>
        <w:pStyle w:val="ListParagraph"/>
        <w:numPr>
          <w:ilvl w:val="0"/>
          <w:numId w:val="28"/>
        </w:numPr>
        <w:contextualSpacing/>
        <w:jc w:val="both"/>
        <w:rPr>
          <w:rFonts w:ascii="Arial" w:hAnsi="Arial" w:cs="Arial"/>
        </w:rPr>
      </w:pPr>
      <w:r w:rsidRPr="0059607A">
        <w:rPr>
          <w:rFonts w:ascii="Arial" w:hAnsi="Arial" w:cs="Arial"/>
        </w:rPr>
        <w:t xml:space="preserve">Permission was granted only in respect of ground (a) by First-tier Tribunal judge Andrew. The appellant </w:t>
      </w:r>
      <w:r w:rsidR="0059607A">
        <w:rPr>
          <w:rFonts w:ascii="Arial" w:hAnsi="Arial" w:cs="Arial"/>
        </w:rPr>
        <w:t>had not sought</w:t>
      </w:r>
      <w:r w:rsidRPr="0059607A">
        <w:rPr>
          <w:rFonts w:ascii="Arial" w:hAnsi="Arial" w:cs="Arial"/>
        </w:rPr>
        <w:t xml:space="preserve"> to renew the application for permission </w:t>
      </w:r>
      <w:r w:rsidR="009C1119" w:rsidRPr="0059607A">
        <w:rPr>
          <w:rFonts w:ascii="Arial" w:hAnsi="Arial" w:cs="Arial"/>
        </w:rPr>
        <w:t>regarding</w:t>
      </w:r>
      <w:r w:rsidRPr="0059607A">
        <w:rPr>
          <w:rFonts w:ascii="Arial" w:hAnsi="Arial" w:cs="Arial"/>
        </w:rPr>
        <w:t xml:space="preserve"> grounds (b) and (c). </w:t>
      </w:r>
    </w:p>
    <w:p w:rsidR="0059607A" w:rsidRPr="0059607A" w:rsidRDefault="0059607A" w:rsidP="0059607A">
      <w:pPr>
        <w:pStyle w:val="ListParagraph"/>
        <w:ind w:left="1560"/>
        <w:contextualSpacing/>
        <w:jc w:val="both"/>
        <w:rPr>
          <w:rFonts w:ascii="Arial" w:hAnsi="Arial" w:cs="Arial"/>
        </w:rPr>
      </w:pPr>
    </w:p>
    <w:p w:rsidR="00E56431" w:rsidRDefault="00AC52A2" w:rsidP="00F74571">
      <w:pPr>
        <w:pStyle w:val="ListParagraph"/>
        <w:numPr>
          <w:ilvl w:val="0"/>
          <w:numId w:val="28"/>
        </w:numPr>
        <w:contextualSpacing/>
        <w:jc w:val="both"/>
        <w:rPr>
          <w:rFonts w:ascii="Arial" w:hAnsi="Arial" w:cs="Arial"/>
        </w:rPr>
      </w:pPr>
      <w:r>
        <w:rPr>
          <w:rFonts w:ascii="Arial" w:hAnsi="Arial" w:cs="Arial"/>
        </w:rPr>
        <w:t>The respondent had accepted that there was a BUPA comprehensive Insurance Policy for both the appellant and the EEA national child. The application for the derivative residence card included evidence that the appellant was employed and in receipt of Child Tax Credit and working Tax Credit, had savings of £4000 and referred to the child being in receipt of an inheritance, shared with her cousins, following the death of her grandmother.</w:t>
      </w:r>
      <w:r w:rsidR="00E56431">
        <w:rPr>
          <w:rFonts w:ascii="Arial" w:hAnsi="Arial" w:cs="Arial"/>
        </w:rPr>
        <w:t xml:space="preserve"> The grounds seeking permission and upon which permission was granted stated, </w:t>
      </w:r>
      <w:r w:rsidR="00E56431" w:rsidRPr="00F429E6">
        <w:rPr>
          <w:rFonts w:ascii="Arial" w:hAnsi="Arial" w:cs="Arial"/>
          <w:i/>
        </w:rPr>
        <w:t>inter alia</w:t>
      </w:r>
      <w:r w:rsidR="00E56431">
        <w:rPr>
          <w:rFonts w:ascii="Arial" w:hAnsi="Arial" w:cs="Arial"/>
        </w:rPr>
        <w:t>,</w:t>
      </w:r>
    </w:p>
    <w:p w:rsidR="00E56431" w:rsidRDefault="00E56431" w:rsidP="00E56431">
      <w:pPr>
        <w:pStyle w:val="ListParagraph"/>
        <w:rPr>
          <w:rFonts w:ascii="Arial" w:hAnsi="Arial" w:cs="Arial"/>
        </w:rPr>
      </w:pPr>
    </w:p>
    <w:p w:rsidR="00E56431" w:rsidRPr="00F429E6" w:rsidRDefault="00E56431" w:rsidP="00E56431">
      <w:pPr>
        <w:pStyle w:val="ListParagraph"/>
        <w:ind w:left="2268"/>
        <w:rPr>
          <w:rFonts w:ascii="Arial" w:hAnsi="Arial" w:cs="Arial"/>
          <w:sz w:val="20"/>
          <w:szCs w:val="20"/>
        </w:rPr>
      </w:pPr>
      <w:r w:rsidRPr="00F429E6">
        <w:rPr>
          <w:rFonts w:ascii="Arial" w:hAnsi="Arial" w:cs="Arial"/>
          <w:sz w:val="20"/>
          <w:szCs w:val="20"/>
        </w:rPr>
        <w:t>……the test applied by the FTTJ was a claim to public fund</w:t>
      </w:r>
      <w:r w:rsidR="00C40352">
        <w:rPr>
          <w:rFonts w:ascii="Arial" w:hAnsi="Arial" w:cs="Arial"/>
          <w:sz w:val="20"/>
          <w:szCs w:val="20"/>
        </w:rPr>
        <w:t>s in the</w:t>
      </w:r>
      <w:r w:rsidRPr="00F429E6">
        <w:rPr>
          <w:rFonts w:ascii="Arial" w:hAnsi="Arial" w:cs="Arial"/>
          <w:sz w:val="20"/>
          <w:szCs w:val="20"/>
        </w:rPr>
        <w:t xml:space="preserve"> form of tax credit. There was no assessment of the adequacy or otherwise of the income from employment, savings and inheritance due to the EEA child nor what was her personal circumstances with regards to what she required in funds to be deemed to be </w:t>
      </w:r>
      <w:proofErr w:type="spellStart"/>
      <w:r w:rsidRPr="00F429E6">
        <w:rPr>
          <w:rFonts w:ascii="Arial" w:hAnsi="Arial" w:cs="Arial"/>
          <w:sz w:val="20"/>
          <w:szCs w:val="20"/>
        </w:rPr>
        <w:t>self sufficient</w:t>
      </w:r>
      <w:proofErr w:type="spellEnd"/>
      <w:r w:rsidRPr="00F429E6">
        <w:rPr>
          <w:rFonts w:ascii="Arial" w:hAnsi="Arial" w:cs="Arial"/>
          <w:sz w:val="20"/>
          <w:szCs w:val="20"/>
        </w:rPr>
        <w:t xml:space="preserve"> both for herself and her mother.</w:t>
      </w:r>
    </w:p>
    <w:p w:rsidR="00E56431" w:rsidRDefault="00E56431" w:rsidP="00E56431">
      <w:pPr>
        <w:pStyle w:val="ListParagraph"/>
        <w:ind w:left="1560" w:firstLine="141"/>
        <w:contextualSpacing/>
        <w:jc w:val="both"/>
        <w:rPr>
          <w:rFonts w:ascii="Arial" w:hAnsi="Arial" w:cs="Arial"/>
        </w:rPr>
      </w:pPr>
    </w:p>
    <w:p w:rsidR="00CD19BD" w:rsidRPr="00E56431" w:rsidRDefault="00AC52A2" w:rsidP="00E56431">
      <w:pPr>
        <w:pStyle w:val="ListParagraph"/>
        <w:numPr>
          <w:ilvl w:val="0"/>
          <w:numId w:val="28"/>
        </w:numPr>
        <w:contextualSpacing/>
        <w:jc w:val="both"/>
        <w:rPr>
          <w:rFonts w:ascii="Arial" w:hAnsi="Arial" w:cs="Arial"/>
        </w:rPr>
      </w:pPr>
      <w:r w:rsidRPr="00E56431">
        <w:rPr>
          <w:rFonts w:ascii="Arial" w:hAnsi="Arial" w:cs="Arial"/>
        </w:rPr>
        <w:t>There was no evidence</w:t>
      </w:r>
      <w:r w:rsidR="00F429E6">
        <w:rPr>
          <w:rFonts w:ascii="Arial" w:hAnsi="Arial" w:cs="Arial"/>
        </w:rPr>
        <w:t xml:space="preserve"> before the First-tier Tribunal or produced to the respondent</w:t>
      </w:r>
      <w:r w:rsidRPr="00E56431">
        <w:rPr>
          <w:rFonts w:ascii="Arial" w:hAnsi="Arial" w:cs="Arial"/>
        </w:rPr>
        <w:t xml:space="preserve"> what that inheritance was, how many cousins it was shared with, whether probate had been granted or its value. Mr </w:t>
      </w:r>
      <w:proofErr w:type="spellStart"/>
      <w:r w:rsidRPr="00E56431">
        <w:rPr>
          <w:rFonts w:ascii="Arial" w:hAnsi="Arial" w:cs="Arial"/>
        </w:rPr>
        <w:t>Ade</w:t>
      </w:r>
      <w:r w:rsidR="000E02F4" w:rsidRPr="00E56431">
        <w:rPr>
          <w:rFonts w:ascii="Arial" w:hAnsi="Arial" w:cs="Arial"/>
        </w:rPr>
        <w:t>w</w:t>
      </w:r>
      <w:r w:rsidRPr="00E56431">
        <w:rPr>
          <w:rFonts w:ascii="Arial" w:hAnsi="Arial" w:cs="Arial"/>
        </w:rPr>
        <w:t>ole</w:t>
      </w:r>
      <w:proofErr w:type="spellEnd"/>
      <w:r w:rsidRPr="00E56431">
        <w:rPr>
          <w:rFonts w:ascii="Arial" w:hAnsi="Arial" w:cs="Arial"/>
        </w:rPr>
        <w:t xml:space="preserve"> said tha</w:t>
      </w:r>
      <w:r w:rsidR="000E02F4" w:rsidRPr="00E56431">
        <w:rPr>
          <w:rFonts w:ascii="Arial" w:hAnsi="Arial" w:cs="Arial"/>
        </w:rPr>
        <w:t>t</w:t>
      </w:r>
      <w:r w:rsidRPr="00E56431">
        <w:rPr>
          <w:rFonts w:ascii="Arial" w:hAnsi="Arial" w:cs="Arial"/>
        </w:rPr>
        <w:t xml:space="preserve"> </w:t>
      </w:r>
      <w:r w:rsidR="000E02F4" w:rsidRPr="00E56431">
        <w:rPr>
          <w:rFonts w:ascii="Arial" w:hAnsi="Arial" w:cs="Arial"/>
        </w:rPr>
        <w:t>no evidence about the inheritance had been submitted with</w:t>
      </w:r>
      <w:r w:rsidR="00F429E6">
        <w:rPr>
          <w:rFonts w:ascii="Arial" w:hAnsi="Arial" w:cs="Arial"/>
        </w:rPr>
        <w:t xml:space="preserve"> the application but eventually, after being pressed to identify to me what exactly he was relying upon as evidence of the child’s finances, </w:t>
      </w:r>
      <w:r w:rsidR="000E02F4" w:rsidRPr="00E56431">
        <w:rPr>
          <w:rFonts w:ascii="Arial" w:hAnsi="Arial" w:cs="Arial"/>
        </w:rPr>
        <w:t>informed me that the £4000 savings was the inherita</w:t>
      </w:r>
      <w:r w:rsidR="00CD19BD" w:rsidRPr="00E56431">
        <w:rPr>
          <w:rFonts w:ascii="Arial" w:hAnsi="Arial" w:cs="Arial"/>
        </w:rPr>
        <w:t>nce share; there was no other income o</w:t>
      </w:r>
      <w:r w:rsidR="00F429E6">
        <w:rPr>
          <w:rFonts w:ascii="Arial" w:hAnsi="Arial" w:cs="Arial"/>
        </w:rPr>
        <w:t>r</w:t>
      </w:r>
      <w:r w:rsidR="00CD19BD" w:rsidRPr="00E56431">
        <w:rPr>
          <w:rFonts w:ascii="Arial" w:hAnsi="Arial" w:cs="Arial"/>
        </w:rPr>
        <w:t xml:space="preserve"> capital sum expected. He confirmed there was nothing else available to the appellant or the child other than these sums</w:t>
      </w:r>
      <w:r w:rsidR="00F429E6">
        <w:rPr>
          <w:rFonts w:ascii="Arial" w:hAnsi="Arial" w:cs="Arial"/>
        </w:rPr>
        <w:t xml:space="preserve"> i</w:t>
      </w:r>
      <w:r w:rsidR="007E1954">
        <w:rPr>
          <w:rFonts w:ascii="Arial" w:hAnsi="Arial" w:cs="Arial"/>
        </w:rPr>
        <w:t>.</w:t>
      </w:r>
      <w:r w:rsidR="00F429E6">
        <w:rPr>
          <w:rFonts w:ascii="Arial" w:hAnsi="Arial" w:cs="Arial"/>
        </w:rPr>
        <w:t>e</w:t>
      </w:r>
      <w:r w:rsidR="007E1954">
        <w:rPr>
          <w:rFonts w:ascii="Arial" w:hAnsi="Arial" w:cs="Arial"/>
        </w:rPr>
        <w:t>.</w:t>
      </w:r>
      <w:r w:rsidR="00F429E6">
        <w:rPr>
          <w:rFonts w:ascii="Arial" w:hAnsi="Arial" w:cs="Arial"/>
        </w:rPr>
        <w:t xml:space="preserve"> the appellant’s earnings, the savings and the tax credits</w:t>
      </w:r>
      <w:r w:rsidR="00CD19BD" w:rsidRPr="00E56431">
        <w:rPr>
          <w:rFonts w:ascii="Arial" w:hAnsi="Arial" w:cs="Arial"/>
        </w:rPr>
        <w:t>.</w:t>
      </w:r>
    </w:p>
    <w:p w:rsidR="00CD19BD" w:rsidRPr="00CD19BD" w:rsidRDefault="00CD19BD" w:rsidP="00CD19BD">
      <w:pPr>
        <w:pStyle w:val="ListParagraph"/>
        <w:rPr>
          <w:rFonts w:ascii="Arial" w:hAnsi="Arial" w:cs="Arial"/>
        </w:rPr>
      </w:pPr>
    </w:p>
    <w:p w:rsidR="00BC72AE" w:rsidRDefault="00BC72AE" w:rsidP="00F74571">
      <w:pPr>
        <w:pStyle w:val="ListParagraph"/>
        <w:numPr>
          <w:ilvl w:val="0"/>
          <w:numId w:val="28"/>
        </w:numPr>
        <w:contextualSpacing/>
        <w:jc w:val="both"/>
        <w:rPr>
          <w:rFonts w:ascii="Arial" w:hAnsi="Arial" w:cs="Arial"/>
        </w:rPr>
      </w:pPr>
      <w:r>
        <w:rPr>
          <w:rFonts w:ascii="Arial" w:hAnsi="Arial" w:cs="Arial"/>
        </w:rPr>
        <w:t>The First-tier Tribunal judge’s findings so far as are relevant to this appeal are as follows:</w:t>
      </w:r>
      <w:bookmarkStart w:id="0" w:name="_GoBack"/>
      <w:bookmarkEnd w:id="0"/>
    </w:p>
    <w:p w:rsidR="00BC72AE" w:rsidRPr="00BC72AE" w:rsidRDefault="00BC72AE" w:rsidP="00BC72AE">
      <w:pPr>
        <w:pStyle w:val="ListParagraph"/>
        <w:rPr>
          <w:rFonts w:ascii="Arial" w:hAnsi="Arial" w:cs="Arial"/>
        </w:rPr>
      </w:pPr>
    </w:p>
    <w:p w:rsidR="00736EE3" w:rsidRPr="00736EE3" w:rsidRDefault="00BC72AE" w:rsidP="00BC72AE">
      <w:pPr>
        <w:pStyle w:val="ListParagraph"/>
        <w:numPr>
          <w:ilvl w:val="0"/>
          <w:numId w:val="30"/>
        </w:numPr>
        <w:contextualSpacing/>
        <w:jc w:val="both"/>
        <w:rPr>
          <w:rFonts w:ascii="Arial" w:hAnsi="Arial" w:cs="Arial"/>
          <w:sz w:val="20"/>
          <w:szCs w:val="20"/>
        </w:rPr>
      </w:pPr>
      <w:r w:rsidRPr="00736EE3">
        <w:rPr>
          <w:rFonts w:ascii="Arial" w:hAnsi="Arial" w:cs="Arial"/>
          <w:sz w:val="20"/>
          <w:szCs w:val="20"/>
        </w:rPr>
        <w:t>……although it was accepted that the Appellant is employed and has savings of approximately £4000, it was nevertheless noted that she is in rec</w:t>
      </w:r>
      <w:r w:rsidR="00736EE3">
        <w:rPr>
          <w:rFonts w:ascii="Arial" w:hAnsi="Arial" w:cs="Arial"/>
          <w:sz w:val="20"/>
          <w:szCs w:val="20"/>
        </w:rPr>
        <w:t>e</w:t>
      </w:r>
      <w:r w:rsidRPr="00736EE3">
        <w:rPr>
          <w:rFonts w:ascii="Arial" w:hAnsi="Arial" w:cs="Arial"/>
          <w:sz w:val="20"/>
          <w:szCs w:val="20"/>
        </w:rPr>
        <w:t>ipt of Child Tax Credit and Working Tax credit, which are both deemed to be public funds. The Appellant failed to provide any evidence to demonstrate tha</w:t>
      </w:r>
      <w:r w:rsidR="00736EE3">
        <w:rPr>
          <w:rFonts w:ascii="Arial" w:hAnsi="Arial" w:cs="Arial"/>
          <w:sz w:val="20"/>
          <w:szCs w:val="20"/>
        </w:rPr>
        <w:t>t</w:t>
      </w:r>
      <w:r w:rsidRPr="00736EE3">
        <w:rPr>
          <w:rFonts w:ascii="Arial" w:hAnsi="Arial" w:cs="Arial"/>
          <w:sz w:val="20"/>
          <w:szCs w:val="20"/>
        </w:rPr>
        <w:t xml:space="preserve"> the EEA child has income from another source which would sustain her during her period of residence in the United Kingdom</w:t>
      </w:r>
      <w:r w:rsidR="001A745F" w:rsidRPr="00736EE3">
        <w:rPr>
          <w:rFonts w:ascii="Arial" w:hAnsi="Arial" w:cs="Arial"/>
          <w:sz w:val="20"/>
          <w:szCs w:val="20"/>
        </w:rPr>
        <w:t>…..I find that when I have considered whether the EEA child is residing in the UK as a self</w:t>
      </w:r>
      <w:r w:rsidR="00C36D49" w:rsidRPr="00736EE3">
        <w:rPr>
          <w:rFonts w:ascii="Arial" w:hAnsi="Arial" w:cs="Arial"/>
          <w:sz w:val="20"/>
          <w:szCs w:val="20"/>
        </w:rPr>
        <w:t>-</w:t>
      </w:r>
      <w:r w:rsidR="001A745F" w:rsidRPr="00736EE3">
        <w:rPr>
          <w:rFonts w:ascii="Arial" w:hAnsi="Arial" w:cs="Arial"/>
          <w:sz w:val="20"/>
          <w:szCs w:val="20"/>
        </w:rPr>
        <w:t>suffici</w:t>
      </w:r>
      <w:r w:rsidR="00C36D49" w:rsidRPr="00736EE3">
        <w:rPr>
          <w:rFonts w:ascii="Arial" w:hAnsi="Arial" w:cs="Arial"/>
          <w:sz w:val="20"/>
          <w:szCs w:val="20"/>
        </w:rPr>
        <w:t>ent person within the terms of R</w:t>
      </w:r>
      <w:r w:rsidR="001A745F" w:rsidRPr="00736EE3">
        <w:rPr>
          <w:rFonts w:ascii="Arial" w:hAnsi="Arial" w:cs="Arial"/>
          <w:sz w:val="20"/>
          <w:szCs w:val="20"/>
        </w:rPr>
        <w:t>egulation 4, I must conclude that the fact her mother claims public funds, and whe</w:t>
      </w:r>
      <w:r w:rsidR="00C40352">
        <w:rPr>
          <w:rFonts w:ascii="Arial" w:hAnsi="Arial" w:cs="Arial"/>
          <w:sz w:val="20"/>
          <w:szCs w:val="20"/>
        </w:rPr>
        <w:t>re</w:t>
      </w:r>
      <w:r w:rsidR="001A745F" w:rsidRPr="00736EE3">
        <w:rPr>
          <w:rFonts w:ascii="Arial" w:hAnsi="Arial" w:cs="Arial"/>
          <w:sz w:val="20"/>
          <w:szCs w:val="20"/>
        </w:rPr>
        <w:t xml:space="preserve"> there is no other source of income which would demonstrate that the child is self-sufficient in this country,</w:t>
      </w:r>
      <w:r w:rsidR="00C36D49" w:rsidRPr="00736EE3">
        <w:rPr>
          <w:rFonts w:ascii="Arial" w:hAnsi="Arial" w:cs="Arial"/>
          <w:sz w:val="20"/>
          <w:szCs w:val="20"/>
        </w:rPr>
        <w:t xml:space="preserve"> that the terms of R</w:t>
      </w:r>
      <w:r w:rsidR="001A745F" w:rsidRPr="00736EE3">
        <w:rPr>
          <w:rFonts w:ascii="Arial" w:hAnsi="Arial" w:cs="Arial"/>
          <w:sz w:val="20"/>
          <w:szCs w:val="20"/>
        </w:rPr>
        <w:t>egulation 4 (</w:t>
      </w:r>
      <w:proofErr w:type="spellStart"/>
      <w:r w:rsidR="001A745F" w:rsidRPr="00736EE3">
        <w:rPr>
          <w:rFonts w:ascii="Arial" w:hAnsi="Arial" w:cs="Arial"/>
          <w:sz w:val="20"/>
          <w:szCs w:val="20"/>
        </w:rPr>
        <w:t>i</w:t>
      </w:r>
      <w:proofErr w:type="spellEnd"/>
      <w:r w:rsidR="001A745F" w:rsidRPr="00736EE3">
        <w:rPr>
          <w:rFonts w:ascii="Arial" w:hAnsi="Arial" w:cs="Arial"/>
          <w:sz w:val="20"/>
          <w:szCs w:val="20"/>
        </w:rPr>
        <w:t>) are not met and that, in turn Regulation 15(a)(2)(b)(ii) cannot be satisfied.</w:t>
      </w:r>
    </w:p>
    <w:p w:rsidR="00736EE3" w:rsidRPr="00736EE3" w:rsidRDefault="00736EE3" w:rsidP="00736EE3">
      <w:pPr>
        <w:pStyle w:val="ListParagraph"/>
        <w:ind w:left="2061"/>
        <w:contextualSpacing/>
        <w:jc w:val="both"/>
        <w:rPr>
          <w:rFonts w:ascii="Arial" w:hAnsi="Arial" w:cs="Arial"/>
          <w:sz w:val="20"/>
          <w:szCs w:val="20"/>
        </w:rPr>
      </w:pPr>
      <w:r w:rsidRPr="00736EE3">
        <w:rPr>
          <w:rFonts w:ascii="Arial" w:hAnsi="Arial" w:cs="Arial"/>
          <w:sz w:val="20"/>
          <w:szCs w:val="20"/>
        </w:rPr>
        <w:t>…….</w:t>
      </w:r>
    </w:p>
    <w:p w:rsidR="00736EE3" w:rsidRPr="00736EE3" w:rsidRDefault="00736EE3" w:rsidP="00736EE3">
      <w:pPr>
        <w:pStyle w:val="ListParagraph"/>
        <w:numPr>
          <w:ilvl w:val="0"/>
          <w:numId w:val="31"/>
        </w:numPr>
        <w:contextualSpacing/>
        <w:jc w:val="both"/>
        <w:rPr>
          <w:rFonts w:ascii="Arial" w:hAnsi="Arial" w:cs="Arial"/>
          <w:sz w:val="20"/>
          <w:szCs w:val="20"/>
        </w:rPr>
      </w:pPr>
      <w:proofErr w:type="gramStart"/>
      <w:r w:rsidRPr="00736EE3">
        <w:rPr>
          <w:rFonts w:ascii="Arial" w:hAnsi="Arial" w:cs="Arial"/>
          <w:sz w:val="20"/>
          <w:szCs w:val="20"/>
        </w:rPr>
        <w:t>…..</w:t>
      </w:r>
      <w:proofErr w:type="gramEnd"/>
      <w:r w:rsidRPr="00736EE3">
        <w:rPr>
          <w:rFonts w:ascii="Arial" w:hAnsi="Arial" w:cs="Arial"/>
          <w:sz w:val="20"/>
          <w:szCs w:val="20"/>
        </w:rPr>
        <w:t xml:space="preserve">I find that the child has no funds of her own and is </w:t>
      </w:r>
      <w:r>
        <w:rPr>
          <w:rFonts w:ascii="Arial" w:hAnsi="Arial" w:cs="Arial"/>
          <w:sz w:val="20"/>
          <w:szCs w:val="20"/>
        </w:rPr>
        <w:t>depende</w:t>
      </w:r>
      <w:r w:rsidRPr="00736EE3">
        <w:rPr>
          <w:rFonts w:ascii="Arial" w:hAnsi="Arial" w:cs="Arial"/>
          <w:sz w:val="20"/>
          <w:szCs w:val="20"/>
        </w:rPr>
        <w:t xml:space="preserve">nt upon a parent who in turn is reliant upon public funds. </w:t>
      </w:r>
      <w:proofErr w:type="gramStart"/>
      <w:r w:rsidRPr="00736EE3">
        <w:rPr>
          <w:rFonts w:ascii="Arial" w:hAnsi="Arial" w:cs="Arial"/>
          <w:sz w:val="20"/>
          <w:szCs w:val="20"/>
        </w:rPr>
        <w:t>Therefore</w:t>
      </w:r>
      <w:proofErr w:type="gramEnd"/>
      <w:r w:rsidRPr="00736EE3">
        <w:rPr>
          <w:rFonts w:ascii="Arial" w:hAnsi="Arial" w:cs="Arial"/>
          <w:sz w:val="20"/>
          <w:szCs w:val="20"/>
        </w:rPr>
        <w:t xml:space="preserve"> for those reasons, I find that the appeal against the refusal of the decision to issue an EEA derivative residence Card must be dismissed.</w:t>
      </w:r>
    </w:p>
    <w:p w:rsidR="00736EE3" w:rsidRDefault="00736EE3" w:rsidP="00736EE3">
      <w:pPr>
        <w:pStyle w:val="ListParagraph"/>
        <w:ind w:left="1560"/>
        <w:contextualSpacing/>
        <w:jc w:val="both"/>
        <w:rPr>
          <w:rFonts w:ascii="Arial" w:hAnsi="Arial" w:cs="Arial"/>
        </w:rPr>
      </w:pPr>
    </w:p>
    <w:p w:rsidR="009D2DA5" w:rsidRDefault="00555F27" w:rsidP="00736EE3">
      <w:pPr>
        <w:pStyle w:val="ListParagraph"/>
        <w:numPr>
          <w:ilvl w:val="0"/>
          <w:numId w:val="28"/>
        </w:numPr>
        <w:contextualSpacing/>
        <w:jc w:val="both"/>
        <w:rPr>
          <w:rFonts w:ascii="Arial" w:hAnsi="Arial" w:cs="Arial"/>
        </w:rPr>
      </w:pPr>
      <w:r>
        <w:rPr>
          <w:rFonts w:ascii="Arial" w:hAnsi="Arial" w:cs="Arial"/>
        </w:rPr>
        <w:t xml:space="preserve">The First-tier Tribunal judge considered regulation 4 under the 2006 </w:t>
      </w:r>
      <w:r w:rsidR="00C40352">
        <w:rPr>
          <w:rFonts w:ascii="Arial" w:hAnsi="Arial" w:cs="Arial"/>
        </w:rPr>
        <w:t>R</w:t>
      </w:r>
      <w:r w:rsidR="003135EB">
        <w:rPr>
          <w:rFonts w:ascii="Arial" w:hAnsi="Arial" w:cs="Arial"/>
        </w:rPr>
        <w:t>egulations. This is replicated</w:t>
      </w:r>
      <w:r>
        <w:rPr>
          <w:rFonts w:ascii="Arial" w:hAnsi="Arial" w:cs="Arial"/>
        </w:rPr>
        <w:t>, in so far as relevant to this appe</w:t>
      </w:r>
      <w:r w:rsidR="003135EB">
        <w:rPr>
          <w:rFonts w:ascii="Arial" w:hAnsi="Arial" w:cs="Arial"/>
        </w:rPr>
        <w:t>a</w:t>
      </w:r>
      <w:r>
        <w:rPr>
          <w:rFonts w:ascii="Arial" w:hAnsi="Arial" w:cs="Arial"/>
        </w:rPr>
        <w:t xml:space="preserve">l, in the 2016 </w:t>
      </w:r>
      <w:r w:rsidR="00C40352">
        <w:rPr>
          <w:rFonts w:ascii="Arial" w:hAnsi="Arial" w:cs="Arial"/>
        </w:rPr>
        <w:lastRenderedPageBreak/>
        <w:t>R</w:t>
      </w:r>
      <w:r>
        <w:rPr>
          <w:rFonts w:ascii="Arial" w:hAnsi="Arial" w:cs="Arial"/>
        </w:rPr>
        <w:t xml:space="preserve">egulations. </w:t>
      </w:r>
      <w:proofErr w:type="spellStart"/>
      <w:r w:rsidR="00A678C2" w:rsidRPr="00A678C2">
        <w:rPr>
          <w:rFonts w:ascii="Arial" w:hAnsi="Arial" w:cs="Arial"/>
          <w:i/>
        </w:rPr>
        <w:t>Mirga</w:t>
      </w:r>
      <w:proofErr w:type="spellEnd"/>
      <w:r w:rsidR="00A678C2">
        <w:rPr>
          <w:rFonts w:ascii="Arial" w:hAnsi="Arial" w:cs="Arial"/>
        </w:rPr>
        <w:t xml:space="preserve"> [2016] UKSC 1 and </w:t>
      </w:r>
      <w:r w:rsidR="00A678C2" w:rsidRPr="00A678C2">
        <w:rPr>
          <w:rFonts w:ascii="Arial" w:hAnsi="Arial" w:cs="Arial"/>
          <w:i/>
        </w:rPr>
        <w:t>Brey</w:t>
      </w:r>
      <w:r w:rsidR="00A678C2">
        <w:rPr>
          <w:rFonts w:ascii="Arial" w:hAnsi="Arial" w:cs="Arial"/>
        </w:rPr>
        <w:t xml:space="preserve"> C-140/12 19 September 2013 are of no assistance to the appellant. </w:t>
      </w:r>
      <w:r w:rsidR="00A678C2" w:rsidRPr="00C40352">
        <w:rPr>
          <w:rFonts w:ascii="Arial" w:hAnsi="Arial" w:cs="Arial"/>
          <w:i/>
        </w:rPr>
        <w:t>Brey</w:t>
      </w:r>
      <w:r w:rsidR="003D194D">
        <w:rPr>
          <w:rFonts w:ascii="Arial" w:hAnsi="Arial" w:cs="Arial"/>
        </w:rPr>
        <w:t xml:space="preserve"> considered the issue of an individual residing in the UK for a period longer than three months and that they should not become a burden on the social assista</w:t>
      </w:r>
      <w:r w:rsidR="00A1477E">
        <w:rPr>
          <w:rFonts w:ascii="Arial" w:hAnsi="Arial" w:cs="Arial"/>
        </w:rPr>
        <w:t>n</w:t>
      </w:r>
      <w:r w:rsidR="003D194D">
        <w:rPr>
          <w:rFonts w:ascii="Arial" w:hAnsi="Arial" w:cs="Arial"/>
        </w:rPr>
        <w:t>ce system of the host state</w:t>
      </w:r>
      <w:r w:rsidR="00A1477E">
        <w:rPr>
          <w:rFonts w:ascii="Arial" w:hAnsi="Arial" w:cs="Arial"/>
        </w:rPr>
        <w:t xml:space="preserve">; the issue of automatic expulsion </w:t>
      </w:r>
      <w:proofErr w:type="gramStart"/>
      <w:r w:rsidR="00A1477E">
        <w:rPr>
          <w:rFonts w:ascii="Arial" w:hAnsi="Arial" w:cs="Arial"/>
        </w:rPr>
        <w:t>as a consequence of</w:t>
      </w:r>
      <w:proofErr w:type="gramEnd"/>
      <w:r w:rsidR="00A1477E">
        <w:rPr>
          <w:rFonts w:ascii="Arial" w:hAnsi="Arial" w:cs="Arial"/>
        </w:rPr>
        <w:t xml:space="preserve"> recourse to the social assistance system.</w:t>
      </w:r>
      <w:r w:rsidR="003D194D">
        <w:rPr>
          <w:rFonts w:ascii="Arial" w:hAnsi="Arial" w:cs="Arial"/>
        </w:rPr>
        <w:t xml:space="preserve"> </w:t>
      </w:r>
      <w:r w:rsidR="009D2DA5">
        <w:rPr>
          <w:rFonts w:ascii="Arial" w:hAnsi="Arial" w:cs="Arial"/>
        </w:rPr>
        <w:t xml:space="preserve">In </w:t>
      </w:r>
      <w:r w:rsidR="00D851D9" w:rsidRPr="00C40352">
        <w:rPr>
          <w:rFonts w:ascii="Arial" w:hAnsi="Arial" w:cs="Arial"/>
          <w:i/>
        </w:rPr>
        <w:t>B</w:t>
      </w:r>
      <w:r w:rsidR="009D2DA5" w:rsidRPr="00C40352">
        <w:rPr>
          <w:rFonts w:ascii="Arial" w:hAnsi="Arial" w:cs="Arial"/>
          <w:i/>
        </w:rPr>
        <w:t>rey</w:t>
      </w:r>
      <w:r w:rsidR="009D2DA5">
        <w:rPr>
          <w:rFonts w:ascii="Arial" w:hAnsi="Arial" w:cs="Arial"/>
        </w:rPr>
        <w:t>, the CJE</w:t>
      </w:r>
      <w:r w:rsidR="00D851D9">
        <w:rPr>
          <w:rFonts w:ascii="Arial" w:hAnsi="Arial" w:cs="Arial"/>
        </w:rPr>
        <w:t>U held</w:t>
      </w:r>
      <w:r w:rsidR="009D2DA5">
        <w:rPr>
          <w:rFonts w:ascii="Arial" w:hAnsi="Arial" w:cs="Arial"/>
        </w:rPr>
        <w:t>:</w:t>
      </w:r>
    </w:p>
    <w:p w:rsidR="009D2DA5" w:rsidRDefault="009D2DA5" w:rsidP="009D2DA5">
      <w:pPr>
        <w:pStyle w:val="ListParagraph"/>
        <w:ind w:left="1560" w:firstLine="141"/>
        <w:contextualSpacing/>
        <w:jc w:val="both"/>
        <w:rPr>
          <w:rFonts w:ascii="Arial" w:hAnsi="Arial" w:cs="Arial"/>
        </w:rPr>
      </w:pPr>
    </w:p>
    <w:p w:rsidR="00D851D9" w:rsidRPr="007E6CDD" w:rsidRDefault="00D851D9" w:rsidP="00AD4E82">
      <w:pPr>
        <w:ind w:left="1701"/>
        <w:contextualSpacing/>
        <w:jc w:val="both"/>
        <w:rPr>
          <w:rFonts w:ascii="Arial" w:hAnsi="Arial" w:cs="Arial"/>
          <w:sz w:val="20"/>
          <w:szCs w:val="20"/>
        </w:rPr>
      </w:pPr>
      <w:r w:rsidRPr="007E6CDD">
        <w:rPr>
          <w:rFonts w:ascii="Arial" w:hAnsi="Arial" w:cs="Arial"/>
          <w:sz w:val="20"/>
          <w:szCs w:val="20"/>
        </w:rPr>
        <w:t xml:space="preserve">57……it follows that…Directive 2004/38 allows the host Member State to impose legitimate restrictions </w:t>
      </w:r>
      <w:proofErr w:type="gramStart"/>
      <w:r w:rsidRPr="007E6CDD">
        <w:rPr>
          <w:rFonts w:ascii="Arial" w:hAnsi="Arial" w:cs="Arial"/>
          <w:sz w:val="20"/>
          <w:szCs w:val="20"/>
        </w:rPr>
        <w:t>in connection with</w:t>
      </w:r>
      <w:proofErr w:type="gramEnd"/>
      <w:r w:rsidRPr="007E6CDD">
        <w:rPr>
          <w:rFonts w:ascii="Arial" w:hAnsi="Arial" w:cs="Arial"/>
          <w:sz w:val="20"/>
          <w:szCs w:val="20"/>
        </w:rPr>
        <w:t xml:space="preserve"> the grant of such benefits to Union citizens who do not or no longer have worker status, so that those citizens do not become an unreasonable burden on the social assistance system of that Member State.</w:t>
      </w:r>
    </w:p>
    <w:p w:rsidR="00D851D9" w:rsidRDefault="00D851D9" w:rsidP="00AD4E82">
      <w:pPr>
        <w:ind w:left="1701"/>
        <w:contextualSpacing/>
        <w:jc w:val="both"/>
        <w:rPr>
          <w:rFonts w:ascii="Arial" w:hAnsi="Arial" w:cs="Arial"/>
        </w:rPr>
      </w:pPr>
    </w:p>
    <w:p w:rsidR="00670BD9" w:rsidRDefault="005357AD" w:rsidP="005357AD">
      <w:pPr>
        <w:pStyle w:val="ListParagraph"/>
        <w:numPr>
          <w:ilvl w:val="0"/>
          <w:numId w:val="28"/>
        </w:numPr>
        <w:contextualSpacing/>
        <w:jc w:val="both"/>
        <w:rPr>
          <w:rFonts w:ascii="Arial" w:hAnsi="Arial" w:cs="Arial"/>
        </w:rPr>
      </w:pPr>
      <w:proofErr w:type="spellStart"/>
      <w:r w:rsidRPr="007E6CDD">
        <w:rPr>
          <w:rFonts w:ascii="Arial" w:hAnsi="Arial" w:cs="Arial"/>
          <w:i/>
        </w:rPr>
        <w:t>Mirga</w:t>
      </w:r>
      <w:proofErr w:type="spellEnd"/>
      <w:r>
        <w:rPr>
          <w:rFonts w:ascii="Arial" w:hAnsi="Arial" w:cs="Arial"/>
        </w:rPr>
        <w:t xml:space="preserve"> considered entitlement to certain benefits pursuant to UK domestic law. The Court of Appeal commented that </w:t>
      </w:r>
      <w:r w:rsidRPr="007E6CDD">
        <w:rPr>
          <w:rFonts w:ascii="Arial" w:hAnsi="Arial" w:cs="Arial"/>
          <w:i/>
        </w:rPr>
        <w:t>Brey</w:t>
      </w:r>
      <w:r>
        <w:rPr>
          <w:rFonts w:ascii="Arial" w:hAnsi="Arial" w:cs="Arial"/>
        </w:rPr>
        <w:t xml:space="preserve"> was an unusual case, the Au</w:t>
      </w:r>
      <w:r w:rsidR="007E6CDD">
        <w:rPr>
          <w:rFonts w:ascii="Arial" w:hAnsi="Arial" w:cs="Arial"/>
        </w:rPr>
        <w:t>s</w:t>
      </w:r>
      <w:r>
        <w:rPr>
          <w:rFonts w:ascii="Arial" w:hAnsi="Arial" w:cs="Arial"/>
        </w:rPr>
        <w:t>trian g</w:t>
      </w:r>
      <w:r w:rsidR="007E6CDD">
        <w:rPr>
          <w:rFonts w:ascii="Arial" w:hAnsi="Arial" w:cs="Arial"/>
        </w:rPr>
        <w:t>overnment in</w:t>
      </w:r>
      <w:r>
        <w:rPr>
          <w:rFonts w:ascii="Arial" w:hAnsi="Arial" w:cs="Arial"/>
        </w:rPr>
        <w:t xml:space="preserve"> that case having g</w:t>
      </w:r>
      <w:r w:rsidR="007E6CDD">
        <w:rPr>
          <w:rFonts w:ascii="Arial" w:hAnsi="Arial" w:cs="Arial"/>
        </w:rPr>
        <w:t>ranted Mr B</w:t>
      </w:r>
      <w:r w:rsidR="00184333">
        <w:rPr>
          <w:rFonts w:ascii="Arial" w:hAnsi="Arial" w:cs="Arial"/>
        </w:rPr>
        <w:t>rey a residence permit. The Court of</w:t>
      </w:r>
      <w:r w:rsidR="007E6CDD">
        <w:rPr>
          <w:rFonts w:ascii="Arial" w:hAnsi="Arial" w:cs="Arial"/>
        </w:rPr>
        <w:t xml:space="preserve"> Appeal rejected the submission </w:t>
      </w:r>
      <w:r w:rsidR="00184333">
        <w:rPr>
          <w:rFonts w:ascii="Arial" w:hAnsi="Arial" w:cs="Arial"/>
        </w:rPr>
        <w:t xml:space="preserve">that individual assessment </w:t>
      </w:r>
      <w:r w:rsidR="00B57F06">
        <w:rPr>
          <w:rFonts w:ascii="Arial" w:hAnsi="Arial" w:cs="Arial"/>
        </w:rPr>
        <w:t xml:space="preserve">of each </w:t>
      </w:r>
      <w:proofErr w:type="gramStart"/>
      <w:r w:rsidR="00B57F06">
        <w:rPr>
          <w:rFonts w:ascii="Arial" w:hAnsi="Arial" w:cs="Arial"/>
        </w:rPr>
        <w:t>partic</w:t>
      </w:r>
      <w:r w:rsidR="007E6CDD">
        <w:rPr>
          <w:rFonts w:ascii="Arial" w:hAnsi="Arial" w:cs="Arial"/>
        </w:rPr>
        <w:t>ular</w:t>
      </w:r>
      <w:r w:rsidR="00B57F06">
        <w:rPr>
          <w:rFonts w:ascii="Arial" w:hAnsi="Arial" w:cs="Arial"/>
        </w:rPr>
        <w:t xml:space="preserve"> case</w:t>
      </w:r>
      <w:proofErr w:type="gramEnd"/>
      <w:r w:rsidR="00B57F06">
        <w:rPr>
          <w:rFonts w:ascii="Arial" w:hAnsi="Arial" w:cs="Arial"/>
        </w:rPr>
        <w:t xml:space="preserve"> was </w:t>
      </w:r>
      <w:r w:rsidR="007E6CDD">
        <w:rPr>
          <w:rFonts w:ascii="Arial" w:hAnsi="Arial" w:cs="Arial"/>
        </w:rPr>
        <w:t>required</w:t>
      </w:r>
      <w:r w:rsidR="00B57F06">
        <w:rPr>
          <w:rFonts w:ascii="Arial" w:hAnsi="Arial" w:cs="Arial"/>
        </w:rPr>
        <w:t>.</w:t>
      </w:r>
      <w:r w:rsidR="007E6CDD">
        <w:rPr>
          <w:rFonts w:ascii="Arial" w:hAnsi="Arial" w:cs="Arial"/>
        </w:rPr>
        <w:t xml:space="preserve"> </w:t>
      </w:r>
      <w:proofErr w:type="spellStart"/>
      <w:r w:rsidR="007E6CDD" w:rsidRPr="007E6CDD">
        <w:rPr>
          <w:rFonts w:ascii="Arial" w:hAnsi="Arial" w:cs="Arial"/>
          <w:i/>
        </w:rPr>
        <w:t>Mirga</w:t>
      </w:r>
      <w:proofErr w:type="spellEnd"/>
      <w:r w:rsidR="007E6CDD">
        <w:rPr>
          <w:rFonts w:ascii="Arial" w:hAnsi="Arial" w:cs="Arial"/>
        </w:rPr>
        <w:t xml:space="preserve"> had no si</w:t>
      </w:r>
      <w:r w:rsidR="00B57F06">
        <w:rPr>
          <w:rFonts w:ascii="Arial" w:hAnsi="Arial" w:cs="Arial"/>
        </w:rPr>
        <w:t>g</w:t>
      </w:r>
      <w:r w:rsidR="007E6CDD">
        <w:rPr>
          <w:rFonts w:ascii="Arial" w:hAnsi="Arial" w:cs="Arial"/>
        </w:rPr>
        <w:t>nificant</w:t>
      </w:r>
      <w:r w:rsidR="00B57F06">
        <w:rPr>
          <w:rFonts w:ascii="Arial" w:hAnsi="Arial" w:cs="Arial"/>
        </w:rPr>
        <w:t xml:space="preserve"> means of support, neither had worked for sustained periods and [70]</w:t>
      </w:r>
      <w:r w:rsidR="00053C8F">
        <w:rPr>
          <w:rFonts w:ascii="Arial" w:hAnsi="Arial" w:cs="Arial"/>
        </w:rPr>
        <w:t xml:space="preserve"> “</w:t>
      </w:r>
      <w:r w:rsidR="00B57F06">
        <w:rPr>
          <w:rFonts w:ascii="Arial" w:hAnsi="Arial" w:cs="Arial"/>
        </w:rPr>
        <w:t>…the main point of the self-sufficiency test is to assist applicants who would be very unlikely to need social assistance”</w:t>
      </w:r>
      <w:r w:rsidR="00670BD9">
        <w:rPr>
          <w:rFonts w:ascii="Arial" w:hAnsi="Arial" w:cs="Arial"/>
        </w:rPr>
        <w:t>.</w:t>
      </w:r>
    </w:p>
    <w:p w:rsidR="00670BD9" w:rsidRDefault="00670BD9" w:rsidP="00670BD9">
      <w:pPr>
        <w:pStyle w:val="ListParagraph"/>
        <w:ind w:left="1560"/>
        <w:contextualSpacing/>
        <w:jc w:val="both"/>
        <w:rPr>
          <w:rFonts w:ascii="Arial" w:hAnsi="Arial" w:cs="Arial"/>
        </w:rPr>
      </w:pPr>
    </w:p>
    <w:p w:rsidR="00812D4F" w:rsidRDefault="00053C8F" w:rsidP="005357AD">
      <w:pPr>
        <w:pStyle w:val="ListParagraph"/>
        <w:numPr>
          <w:ilvl w:val="0"/>
          <w:numId w:val="28"/>
        </w:numPr>
        <w:contextualSpacing/>
        <w:jc w:val="both"/>
        <w:rPr>
          <w:rFonts w:ascii="Arial" w:hAnsi="Arial" w:cs="Arial"/>
        </w:rPr>
      </w:pPr>
      <w:r>
        <w:rPr>
          <w:rFonts w:ascii="Arial" w:hAnsi="Arial" w:cs="Arial"/>
        </w:rPr>
        <w:t xml:space="preserve">In this case, </w:t>
      </w:r>
      <w:r w:rsidR="0059607A">
        <w:rPr>
          <w:rFonts w:ascii="Arial" w:hAnsi="Arial" w:cs="Arial"/>
        </w:rPr>
        <w:t>the</w:t>
      </w:r>
      <w:r>
        <w:rPr>
          <w:rFonts w:ascii="Arial" w:hAnsi="Arial" w:cs="Arial"/>
        </w:rPr>
        <w:t xml:space="preserve"> child is not </w:t>
      </w:r>
      <w:r w:rsidR="0059607A">
        <w:rPr>
          <w:rFonts w:ascii="Arial" w:hAnsi="Arial" w:cs="Arial"/>
        </w:rPr>
        <w:t>self-sufficient</w:t>
      </w:r>
      <w:r>
        <w:rPr>
          <w:rFonts w:ascii="Arial" w:hAnsi="Arial" w:cs="Arial"/>
        </w:rPr>
        <w:t xml:space="preserve">. Although the appellant is working and claiming </w:t>
      </w:r>
      <w:r w:rsidR="00AC3BEA">
        <w:rPr>
          <w:rFonts w:ascii="Arial" w:hAnsi="Arial" w:cs="Arial"/>
        </w:rPr>
        <w:t xml:space="preserve">tax credit, her entitlement to work stems from having made the application for a derivative residence card, not because she had a right to work in any event. </w:t>
      </w:r>
      <w:r w:rsidR="0096480C">
        <w:rPr>
          <w:rFonts w:ascii="Arial" w:hAnsi="Arial" w:cs="Arial"/>
        </w:rPr>
        <w:t xml:space="preserve">Although Mr </w:t>
      </w:r>
      <w:proofErr w:type="spellStart"/>
      <w:r w:rsidR="0096480C">
        <w:rPr>
          <w:rFonts w:ascii="Arial" w:hAnsi="Arial" w:cs="Arial"/>
        </w:rPr>
        <w:t>Adewole</w:t>
      </w:r>
      <w:proofErr w:type="spellEnd"/>
      <w:r w:rsidR="0096480C">
        <w:rPr>
          <w:rFonts w:ascii="Arial" w:hAnsi="Arial" w:cs="Arial"/>
        </w:rPr>
        <w:t xml:space="preserve"> seemed </w:t>
      </w:r>
      <w:r w:rsidR="00812D4F">
        <w:rPr>
          <w:rFonts w:ascii="Arial" w:hAnsi="Arial" w:cs="Arial"/>
        </w:rPr>
        <w:t>to be relying upon a submission</w:t>
      </w:r>
      <w:r w:rsidR="0096480C">
        <w:rPr>
          <w:rFonts w:ascii="Arial" w:hAnsi="Arial" w:cs="Arial"/>
        </w:rPr>
        <w:t xml:space="preserve"> that without the Tax Credits, the appellant would have been able to financially support her and the </w:t>
      </w:r>
      <w:r w:rsidR="00812D4F">
        <w:rPr>
          <w:rFonts w:ascii="Arial" w:hAnsi="Arial" w:cs="Arial"/>
        </w:rPr>
        <w:t>child, that is not relevant (</w:t>
      </w:r>
      <w:r w:rsidR="0096480C">
        <w:rPr>
          <w:rFonts w:ascii="Arial" w:hAnsi="Arial" w:cs="Arial"/>
        </w:rPr>
        <w:t xml:space="preserve">even if it were correct) because the child is not </w:t>
      </w:r>
      <w:r w:rsidR="0059607A">
        <w:rPr>
          <w:rFonts w:ascii="Arial" w:hAnsi="Arial" w:cs="Arial"/>
        </w:rPr>
        <w:t>self-sufficient</w:t>
      </w:r>
      <w:r w:rsidR="0096480C">
        <w:rPr>
          <w:rFonts w:ascii="Arial" w:hAnsi="Arial" w:cs="Arial"/>
        </w:rPr>
        <w:t xml:space="preserve">. </w:t>
      </w:r>
      <w:r w:rsidR="00812D4F">
        <w:rPr>
          <w:rFonts w:ascii="Arial" w:hAnsi="Arial" w:cs="Arial"/>
        </w:rPr>
        <w:t xml:space="preserve">Although the First-tier Tribunal judge expressed the dismissal of the appeal in terms of the appellant claiming tax credit, the fact is the child is not </w:t>
      </w:r>
      <w:r w:rsidR="0059607A">
        <w:rPr>
          <w:rFonts w:ascii="Arial" w:hAnsi="Arial" w:cs="Arial"/>
        </w:rPr>
        <w:t>self-sufficient</w:t>
      </w:r>
      <w:r w:rsidR="00812D4F">
        <w:rPr>
          <w:rFonts w:ascii="Arial" w:hAnsi="Arial" w:cs="Arial"/>
        </w:rPr>
        <w:t>. There is no material error of law by the First-tier Tribunal judge dismissing the appeal on self-sufficiency grounds.</w:t>
      </w:r>
    </w:p>
    <w:p w:rsidR="00812D4F" w:rsidRPr="00812D4F" w:rsidRDefault="00812D4F" w:rsidP="00812D4F">
      <w:pPr>
        <w:pStyle w:val="ListParagraph"/>
        <w:rPr>
          <w:rFonts w:ascii="Arial" w:hAnsi="Arial" w:cs="Arial"/>
        </w:rPr>
      </w:pPr>
    </w:p>
    <w:p w:rsidR="00A90540" w:rsidRDefault="00812D4F" w:rsidP="005357AD">
      <w:pPr>
        <w:pStyle w:val="ListParagraph"/>
        <w:numPr>
          <w:ilvl w:val="0"/>
          <w:numId w:val="28"/>
        </w:numPr>
        <w:contextualSpacing/>
        <w:jc w:val="both"/>
        <w:rPr>
          <w:rFonts w:ascii="Arial" w:hAnsi="Arial" w:cs="Arial"/>
        </w:rPr>
      </w:pPr>
      <w:r>
        <w:rPr>
          <w:rFonts w:ascii="Arial" w:hAnsi="Arial" w:cs="Arial"/>
        </w:rPr>
        <w:t>The</w:t>
      </w:r>
      <w:r w:rsidR="00277D3A">
        <w:rPr>
          <w:rFonts w:ascii="Arial" w:hAnsi="Arial" w:cs="Arial"/>
        </w:rPr>
        <w:t xml:space="preserve"> grounds seeking permission to appeal submitted tha</w:t>
      </w:r>
      <w:r w:rsidR="00A90540">
        <w:rPr>
          <w:rFonts w:ascii="Arial" w:hAnsi="Arial" w:cs="Arial"/>
        </w:rPr>
        <w:t>t</w:t>
      </w:r>
      <w:r w:rsidR="00277D3A">
        <w:rPr>
          <w:rFonts w:ascii="Arial" w:hAnsi="Arial" w:cs="Arial"/>
        </w:rPr>
        <w:t xml:space="preserve"> the appellant should have succeeded in her appeal on the basis that </w:t>
      </w:r>
      <w:r w:rsidR="00806523">
        <w:rPr>
          <w:rFonts w:ascii="Arial" w:hAnsi="Arial" w:cs="Arial"/>
        </w:rPr>
        <w:t xml:space="preserve">she met regulation 16(4) to 16(5) of the 2016 </w:t>
      </w:r>
      <w:r w:rsidR="00A90540">
        <w:rPr>
          <w:rFonts w:ascii="Arial" w:hAnsi="Arial" w:cs="Arial"/>
        </w:rPr>
        <w:t>R</w:t>
      </w:r>
      <w:r w:rsidR="00806523">
        <w:rPr>
          <w:rFonts w:ascii="Arial" w:hAnsi="Arial" w:cs="Arial"/>
        </w:rPr>
        <w:t>egulations</w:t>
      </w:r>
      <w:r w:rsidR="00732ECD">
        <w:rPr>
          <w:rStyle w:val="FootnoteReference"/>
          <w:rFonts w:ascii="Arial" w:hAnsi="Arial" w:cs="Arial"/>
        </w:rPr>
        <w:footnoteReference w:id="1"/>
      </w:r>
      <w:r w:rsidR="00806523">
        <w:rPr>
          <w:rFonts w:ascii="Arial" w:hAnsi="Arial" w:cs="Arial"/>
        </w:rPr>
        <w:t>. Permission to appeal was not specifically refused on that ground. It does n</w:t>
      </w:r>
      <w:r w:rsidR="00E172DA">
        <w:rPr>
          <w:rFonts w:ascii="Arial" w:hAnsi="Arial" w:cs="Arial"/>
        </w:rPr>
        <w:t>ot</w:t>
      </w:r>
      <w:r w:rsidR="00806523">
        <w:rPr>
          <w:rFonts w:ascii="Arial" w:hAnsi="Arial" w:cs="Arial"/>
        </w:rPr>
        <w:t xml:space="preserve"> appear that </w:t>
      </w:r>
      <w:r w:rsidR="00E172DA">
        <w:rPr>
          <w:rFonts w:ascii="Arial" w:hAnsi="Arial" w:cs="Arial"/>
        </w:rPr>
        <w:t xml:space="preserve">such a submission was made to the First-tier Tribunal judge. </w:t>
      </w:r>
      <w:r w:rsidR="00DA18A9">
        <w:rPr>
          <w:rFonts w:ascii="Arial" w:hAnsi="Arial" w:cs="Arial"/>
        </w:rPr>
        <w:t xml:space="preserve">In any event </w:t>
      </w:r>
      <w:r w:rsidR="0059607A">
        <w:rPr>
          <w:rFonts w:ascii="Arial" w:hAnsi="Arial" w:cs="Arial"/>
        </w:rPr>
        <w:t>to</w:t>
      </w:r>
      <w:r w:rsidR="00DA18A9">
        <w:rPr>
          <w:rFonts w:ascii="Arial" w:hAnsi="Arial" w:cs="Arial"/>
        </w:rPr>
        <w:t xml:space="preserve"> sustain such a c</w:t>
      </w:r>
      <w:r w:rsidR="00A90540">
        <w:rPr>
          <w:rFonts w:ascii="Arial" w:hAnsi="Arial" w:cs="Arial"/>
        </w:rPr>
        <w:t>hallenge</w:t>
      </w:r>
      <w:r w:rsidR="00DA18A9">
        <w:rPr>
          <w:rFonts w:ascii="Arial" w:hAnsi="Arial" w:cs="Arial"/>
        </w:rPr>
        <w:t xml:space="preserve">, the child </w:t>
      </w:r>
      <w:proofErr w:type="gramStart"/>
      <w:r w:rsidR="00DA18A9">
        <w:rPr>
          <w:rFonts w:ascii="Arial" w:hAnsi="Arial" w:cs="Arial"/>
        </w:rPr>
        <w:t>has to</w:t>
      </w:r>
      <w:proofErr w:type="gramEnd"/>
      <w:r w:rsidR="00DA18A9">
        <w:rPr>
          <w:rFonts w:ascii="Arial" w:hAnsi="Arial" w:cs="Arial"/>
        </w:rPr>
        <w:t xml:space="preserve"> be a British Citizen for the appellant to meet the criteria in reg</w:t>
      </w:r>
      <w:r w:rsidR="00A90540">
        <w:rPr>
          <w:rFonts w:ascii="Arial" w:hAnsi="Arial" w:cs="Arial"/>
        </w:rPr>
        <w:t>ulation</w:t>
      </w:r>
      <w:r w:rsidR="00DA18A9">
        <w:rPr>
          <w:rFonts w:ascii="Arial" w:hAnsi="Arial" w:cs="Arial"/>
        </w:rPr>
        <w:t xml:space="preserve"> 16(5) </w:t>
      </w:r>
      <w:r w:rsidR="00A90540">
        <w:rPr>
          <w:rFonts w:ascii="Arial" w:hAnsi="Arial" w:cs="Arial"/>
        </w:rPr>
        <w:t xml:space="preserve">(she is not, she is Maltese) </w:t>
      </w:r>
      <w:r w:rsidR="00DA18A9">
        <w:rPr>
          <w:rFonts w:ascii="Arial" w:hAnsi="Arial" w:cs="Arial"/>
        </w:rPr>
        <w:t xml:space="preserve">and to meet regulation 16(4) she would have to show </w:t>
      </w:r>
      <w:r w:rsidR="00A90540">
        <w:rPr>
          <w:rFonts w:ascii="Arial" w:hAnsi="Arial" w:cs="Arial"/>
        </w:rPr>
        <w:t>that the child resided in the UK at the same time as either parent who was exercising Treaty Rights and she was in education at the time. It does not appear that this evidence was before the First-tier Tribunal judge</w:t>
      </w:r>
      <w:r w:rsidR="00732ECD">
        <w:rPr>
          <w:rFonts w:ascii="Arial" w:hAnsi="Arial" w:cs="Arial"/>
        </w:rPr>
        <w:t xml:space="preserve">. </w:t>
      </w:r>
      <w:r w:rsidR="0059607A">
        <w:rPr>
          <w:rFonts w:ascii="Arial" w:hAnsi="Arial" w:cs="Arial"/>
        </w:rPr>
        <w:t>So,</w:t>
      </w:r>
      <w:r w:rsidR="00A90540">
        <w:rPr>
          <w:rFonts w:ascii="Arial" w:hAnsi="Arial" w:cs="Arial"/>
        </w:rPr>
        <w:t xml:space="preserve"> in any event there could be no error of law by the First-tier Tribunal judge in failing to consider ma</w:t>
      </w:r>
      <w:r w:rsidR="003769AC">
        <w:rPr>
          <w:rFonts w:ascii="Arial" w:hAnsi="Arial" w:cs="Arial"/>
        </w:rPr>
        <w:t>t</w:t>
      </w:r>
      <w:r w:rsidR="00A90540">
        <w:rPr>
          <w:rFonts w:ascii="Arial" w:hAnsi="Arial" w:cs="Arial"/>
        </w:rPr>
        <w:t>ters which were not before him.</w:t>
      </w:r>
    </w:p>
    <w:p w:rsidR="00A90540" w:rsidRPr="00A90540" w:rsidRDefault="00A90540" w:rsidP="00A90540">
      <w:pPr>
        <w:pStyle w:val="ListParagraph"/>
        <w:rPr>
          <w:rFonts w:ascii="Arial" w:hAnsi="Arial" w:cs="Arial"/>
        </w:rPr>
      </w:pPr>
    </w:p>
    <w:p w:rsidR="003769AC" w:rsidRDefault="003769AC" w:rsidP="005357AD">
      <w:pPr>
        <w:pStyle w:val="ListParagraph"/>
        <w:numPr>
          <w:ilvl w:val="0"/>
          <w:numId w:val="28"/>
        </w:numPr>
        <w:contextualSpacing/>
        <w:jc w:val="both"/>
        <w:rPr>
          <w:rFonts w:ascii="Arial" w:hAnsi="Arial" w:cs="Arial"/>
        </w:rPr>
      </w:pPr>
      <w:r>
        <w:rPr>
          <w:rFonts w:ascii="Arial" w:hAnsi="Arial" w:cs="Arial"/>
        </w:rPr>
        <w:t xml:space="preserve">Mr </w:t>
      </w:r>
      <w:proofErr w:type="spellStart"/>
      <w:r>
        <w:rPr>
          <w:rFonts w:ascii="Arial" w:hAnsi="Arial" w:cs="Arial"/>
        </w:rPr>
        <w:t>Adewole</w:t>
      </w:r>
      <w:proofErr w:type="spellEnd"/>
      <w:r>
        <w:rPr>
          <w:rFonts w:ascii="Arial" w:hAnsi="Arial" w:cs="Arial"/>
        </w:rPr>
        <w:t xml:space="preserve"> asserted he “required” a declaration that the appellant was entitled to permanent residence. As </w:t>
      </w:r>
      <w:r w:rsidR="00BB1EAC">
        <w:rPr>
          <w:rFonts w:ascii="Arial" w:hAnsi="Arial" w:cs="Arial"/>
        </w:rPr>
        <w:t xml:space="preserve">Mr </w:t>
      </w:r>
      <w:proofErr w:type="spellStart"/>
      <w:r w:rsidR="00BB1EAC">
        <w:rPr>
          <w:rFonts w:ascii="Arial" w:hAnsi="Arial" w:cs="Arial"/>
        </w:rPr>
        <w:t>Adewole</w:t>
      </w:r>
      <w:proofErr w:type="spellEnd"/>
      <w:r w:rsidR="00BB1EAC">
        <w:rPr>
          <w:rFonts w:ascii="Arial" w:hAnsi="Arial" w:cs="Arial"/>
        </w:rPr>
        <w:t xml:space="preserve"> should know, the T</w:t>
      </w:r>
      <w:r>
        <w:rPr>
          <w:rFonts w:ascii="Arial" w:hAnsi="Arial" w:cs="Arial"/>
        </w:rPr>
        <w:t>r</w:t>
      </w:r>
      <w:r w:rsidR="00BB1EAC">
        <w:rPr>
          <w:rFonts w:ascii="Arial" w:hAnsi="Arial" w:cs="Arial"/>
        </w:rPr>
        <w:t>ibunal</w:t>
      </w:r>
      <w:r>
        <w:rPr>
          <w:rFonts w:ascii="Arial" w:hAnsi="Arial" w:cs="Arial"/>
        </w:rPr>
        <w:t xml:space="preserve"> cannot make such a declaration</w:t>
      </w:r>
      <w:r w:rsidR="00BB1EAC">
        <w:rPr>
          <w:rFonts w:ascii="Arial" w:hAnsi="Arial" w:cs="Arial"/>
        </w:rPr>
        <w:t xml:space="preserve">, apart from the fact that the question of </w:t>
      </w:r>
      <w:r w:rsidR="00BB1EAC">
        <w:rPr>
          <w:rFonts w:ascii="Arial" w:hAnsi="Arial" w:cs="Arial"/>
        </w:rPr>
        <w:lastRenderedPageBreak/>
        <w:t>whether the appellant is entitled to permanent residence forms no part of the appeal before me</w:t>
      </w:r>
      <w:r>
        <w:rPr>
          <w:rFonts w:ascii="Arial" w:hAnsi="Arial" w:cs="Arial"/>
        </w:rPr>
        <w:t xml:space="preserve">. First-tier Tribunal judge Traynor made full and detailed findings on the relationship between the appellant and her child; he found her to be an honest witness. If the appellant chooses to make an application for permanent residence I have no doubt but that the respondent </w:t>
      </w:r>
      <w:r w:rsidR="0059607A">
        <w:rPr>
          <w:rFonts w:ascii="Arial" w:hAnsi="Arial" w:cs="Arial"/>
        </w:rPr>
        <w:t>will</w:t>
      </w:r>
      <w:r>
        <w:rPr>
          <w:rFonts w:ascii="Arial" w:hAnsi="Arial" w:cs="Arial"/>
        </w:rPr>
        <w:t xml:space="preserve"> take full cognisance of the decision of First-tier Tribunal judge Traynor.</w:t>
      </w:r>
    </w:p>
    <w:p w:rsidR="003769AC" w:rsidRPr="003769AC" w:rsidRDefault="003769AC" w:rsidP="003769AC">
      <w:pPr>
        <w:pStyle w:val="ListParagraph"/>
        <w:rPr>
          <w:rFonts w:ascii="Arial" w:hAnsi="Arial" w:cs="Arial"/>
        </w:rPr>
      </w:pPr>
    </w:p>
    <w:p w:rsidR="00BB1EAC" w:rsidRDefault="003769AC" w:rsidP="005357AD">
      <w:pPr>
        <w:pStyle w:val="ListParagraph"/>
        <w:numPr>
          <w:ilvl w:val="0"/>
          <w:numId w:val="28"/>
        </w:numPr>
        <w:contextualSpacing/>
        <w:jc w:val="both"/>
        <w:rPr>
          <w:rFonts w:ascii="Arial" w:hAnsi="Arial" w:cs="Arial"/>
        </w:rPr>
      </w:pPr>
      <w:r>
        <w:rPr>
          <w:rFonts w:ascii="Arial" w:hAnsi="Arial" w:cs="Arial"/>
        </w:rPr>
        <w:t xml:space="preserve">Mr </w:t>
      </w:r>
      <w:proofErr w:type="spellStart"/>
      <w:r>
        <w:rPr>
          <w:rFonts w:ascii="Arial" w:hAnsi="Arial" w:cs="Arial"/>
        </w:rPr>
        <w:t>Adewole</w:t>
      </w:r>
      <w:proofErr w:type="spellEnd"/>
      <w:r>
        <w:rPr>
          <w:rFonts w:ascii="Arial" w:hAnsi="Arial" w:cs="Arial"/>
        </w:rPr>
        <w:t xml:space="preserve"> also sought a declaration that ‘Zambrano’ applied. Again, the Upper Tribunal cannot make such a declaration</w:t>
      </w:r>
      <w:r w:rsidR="00BB1EAC">
        <w:rPr>
          <w:rFonts w:ascii="Arial" w:hAnsi="Arial" w:cs="Arial"/>
        </w:rPr>
        <w:t xml:space="preserve"> even ignoring the fact that this does not form any part of the appeal before me.</w:t>
      </w:r>
      <w:r>
        <w:rPr>
          <w:rFonts w:ascii="Arial" w:hAnsi="Arial" w:cs="Arial"/>
        </w:rPr>
        <w:t xml:space="preserve"> In any event the </w:t>
      </w:r>
      <w:r w:rsidR="00BB1EAC">
        <w:rPr>
          <w:rFonts w:ascii="Arial" w:hAnsi="Arial" w:cs="Arial"/>
        </w:rPr>
        <w:t>‘</w:t>
      </w:r>
      <w:r>
        <w:rPr>
          <w:rFonts w:ascii="Arial" w:hAnsi="Arial" w:cs="Arial"/>
        </w:rPr>
        <w:t>Zambrano</w:t>
      </w:r>
      <w:r w:rsidR="00BB1EAC">
        <w:rPr>
          <w:rFonts w:ascii="Arial" w:hAnsi="Arial" w:cs="Arial"/>
        </w:rPr>
        <w:t>’</w:t>
      </w:r>
      <w:r>
        <w:rPr>
          <w:rFonts w:ascii="Arial" w:hAnsi="Arial" w:cs="Arial"/>
        </w:rPr>
        <w:t xml:space="preserve"> line of cases </w:t>
      </w:r>
      <w:proofErr w:type="gramStart"/>
      <w:r w:rsidR="00BB1EAC">
        <w:rPr>
          <w:rFonts w:ascii="Arial" w:hAnsi="Arial" w:cs="Arial"/>
        </w:rPr>
        <w:t>do</w:t>
      </w:r>
      <w:proofErr w:type="gramEnd"/>
      <w:r w:rsidR="00BB1EAC">
        <w:rPr>
          <w:rFonts w:ascii="Arial" w:hAnsi="Arial" w:cs="Arial"/>
        </w:rPr>
        <w:t xml:space="preserve"> not apply to non-British EU nationals who are neither self-sufficient or cannot show a right of permanent residence.</w:t>
      </w:r>
    </w:p>
    <w:p w:rsidR="00BB1EAC" w:rsidRPr="00BB1EAC" w:rsidRDefault="00BB1EAC" w:rsidP="00BB1EAC">
      <w:pPr>
        <w:pStyle w:val="ListParagraph"/>
        <w:rPr>
          <w:rFonts w:ascii="Arial" w:hAnsi="Arial" w:cs="Arial"/>
        </w:rPr>
      </w:pPr>
    </w:p>
    <w:p w:rsidR="0081561F" w:rsidRDefault="0081561F" w:rsidP="00C40352">
      <w:pPr>
        <w:pStyle w:val="ListParagraph"/>
        <w:ind w:left="1560"/>
        <w:contextualSpacing/>
        <w:jc w:val="both"/>
        <w:rPr>
          <w:rFonts w:ascii="Arial" w:hAnsi="Arial" w:cs="Arial"/>
        </w:rPr>
      </w:pPr>
      <w:r>
        <w:rPr>
          <w:rFonts w:ascii="Arial" w:hAnsi="Arial" w:cs="Arial"/>
        </w:rPr>
        <w:t>Conclusion</w:t>
      </w:r>
    </w:p>
    <w:p w:rsidR="0081561F" w:rsidRPr="0081561F" w:rsidRDefault="0081561F" w:rsidP="0081561F">
      <w:pPr>
        <w:pStyle w:val="ListParagraph"/>
        <w:rPr>
          <w:rFonts w:ascii="Arial" w:hAnsi="Arial" w:cs="Arial"/>
        </w:rPr>
      </w:pPr>
    </w:p>
    <w:p w:rsidR="0081561F" w:rsidRDefault="0081561F" w:rsidP="005357AD">
      <w:pPr>
        <w:pStyle w:val="ListParagraph"/>
        <w:numPr>
          <w:ilvl w:val="0"/>
          <w:numId w:val="28"/>
        </w:numPr>
        <w:contextualSpacing/>
        <w:jc w:val="both"/>
        <w:rPr>
          <w:rFonts w:ascii="Arial" w:hAnsi="Arial" w:cs="Arial"/>
        </w:rPr>
      </w:pPr>
      <w:r>
        <w:rPr>
          <w:rFonts w:ascii="Arial" w:hAnsi="Arial" w:cs="Arial"/>
        </w:rPr>
        <w:t>There is no material error of law by the First-tier Tribunal judge. I do not set aside the decision of the First-tier Tribunal.</w:t>
      </w:r>
    </w:p>
    <w:p w:rsidR="0081561F" w:rsidRPr="0081561F" w:rsidRDefault="0081561F" w:rsidP="0081561F">
      <w:pPr>
        <w:pStyle w:val="ListParagraph"/>
        <w:rPr>
          <w:rFonts w:ascii="Arial" w:hAnsi="Arial" w:cs="Arial"/>
        </w:rPr>
      </w:pPr>
    </w:p>
    <w:p w:rsidR="0081561F" w:rsidRDefault="0081561F" w:rsidP="005357AD">
      <w:pPr>
        <w:pStyle w:val="ListParagraph"/>
        <w:numPr>
          <w:ilvl w:val="0"/>
          <w:numId w:val="28"/>
        </w:numPr>
        <w:contextualSpacing/>
        <w:jc w:val="both"/>
        <w:rPr>
          <w:rFonts w:ascii="Arial" w:hAnsi="Arial" w:cs="Arial"/>
        </w:rPr>
      </w:pPr>
      <w:r>
        <w:rPr>
          <w:rFonts w:ascii="Arial" w:hAnsi="Arial" w:cs="Arial"/>
        </w:rPr>
        <w:t xml:space="preserve"> The appeal to the Upper Tribunal is dismissed.</w:t>
      </w:r>
    </w:p>
    <w:p w:rsidR="0081561F" w:rsidRPr="0081561F" w:rsidRDefault="0081561F" w:rsidP="0081561F">
      <w:pPr>
        <w:pStyle w:val="ListParagraph"/>
        <w:rPr>
          <w:rFonts w:ascii="Arial" w:hAnsi="Arial" w:cs="Arial"/>
        </w:rPr>
      </w:pPr>
    </w:p>
    <w:p w:rsidR="00A509FA" w:rsidRDefault="0081561F" w:rsidP="0081561F">
      <w:pPr>
        <w:pStyle w:val="ListParagraph"/>
        <w:numPr>
          <w:ilvl w:val="0"/>
          <w:numId w:val="28"/>
        </w:numPr>
        <w:contextualSpacing/>
        <w:jc w:val="both"/>
        <w:rPr>
          <w:rFonts w:ascii="Arial" w:hAnsi="Arial" w:cs="Arial"/>
        </w:rPr>
      </w:pPr>
      <w:r>
        <w:rPr>
          <w:rFonts w:ascii="Arial" w:hAnsi="Arial" w:cs="Arial"/>
        </w:rPr>
        <w:t xml:space="preserve">The decision of the First-tier Tribunal stands. </w:t>
      </w:r>
    </w:p>
    <w:p w:rsidR="00423156" w:rsidRPr="008578D0" w:rsidRDefault="00423156" w:rsidP="00780F86">
      <w:pPr>
        <w:ind w:left="540" w:hanging="540"/>
        <w:jc w:val="both"/>
        <w:rPr>
          <w:rFonts w:ascii="Arial" w:hAnsi="Arial" w:cs="Arial"/>
        </w:rPr>
      </w:pPr>
    </w:p>
    <w:p w:rsidR="001F2716" w:rsidRPr="008578D0" w:rsidRDefault="00780F86" w:rsidP="00ED036F">
      <w:pPr>
        <w:ind w:left="1079" w:hanging="539"/>
        <w:rPr>
          <w:rFonts w:ascii="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008578D0">
        <w:rPr>
          <w:rFonts w:ascii="Arial" w:hAnsi="Arial" w:cs="Arial"/>
        </w:rPr>
        <w:t>Date</w:t>
      </w:r>
      <w:r w:rsidR="002E575D" w:rsidRPr="008578D0">
        <w:rPr>
          <w:rFonts w:ascii="Arial" w:hAnsi="Arial" w:cs="Arial"/>
        </w:rPr>
        <w:t xml:space="preserve"> </w:t>
      </w:r>
      <w:r w:rsidR="00C40352">
        <w:rPr>
          <w:rFonts w:ascii="Arial" w:hAnsi="Arial" w:cs="Arial"/>
        </w:rPr>
        <w:t>14</w:t>
      </w:r>
      <w:r w:rsidR="00C40352" w:rsidRPr="00C40352">
        <w:rPr>
          <w:rFonts w:ascii="Arial" w:hAnsi="Arial" w:cs="Arial"/>
          <w:vertAlign w:val="superscript"/>
        </w:rPr>
        <w:t>th</w:t>
      </w:r>
      <w:r w:rsidR="00C40352">
        <w:rPr>
          <w:rFonts w:ascii="Arial" w:hAnsi="Arial" w:cs="Arial"/>
        </w:rPr>
        <w:t xml:space="preserve"> May 2018</w:t>
      </w:r>
    </w:p>
    <w:p w:rsidR="00423156" w:rsidRDefault="00082D15" w:rsidP="00B55768">
      <w:pPr>
        <w:tabs>
          <w:tab w:val="left" w:pos="2520"/>
        </w:tabs>
        <w:rPr>
          <w:rFonts w:ascii="Arial" w:hAnsi="Arial" w:cs="Arial"/>
          <w:color w:val="000000"/>
        </w:rPr>
      </w:pPr>
      <w:r>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423156" w:rsidRDefault="00423156" w:rsidP="00B55768">
      <w:pPr>
        <w:tabs>
          <w:tab w:val="left" w:pos="2520"/>
        </w:tabs>
        <w:rPr>
          <w:rFonts w:ascii="Arial" w:hAnsi="Arial" w:cs="Arial"/>
          <w:color w:val="000000"/>
        </w:rPr>
      </w:pPr>
    </w:p>
    <w:p w:rsidR="00423156" w:rsidRDefault="00423156" w:rsidP="00B55768">
      <w:pPr>
        <w:tabs>
          <w:tab w:val="left" w:pos="2520"/>
        </w:tabs>
        <w:rPr>
          <w:rFonts w:ascii="Arial" w:hAnsi="Arial" w:cs="Arial"/>
          <w:color w:val="000000"/>
        </w:rPr>
      </w:pPr>
    </w:p>
    <w:p w:rsidR="00B95326" w:rsidRPr="008578D0" w:rsidRDefault="00EB45D2" w:rsidP="00B55768">
      <w:pPr>
        <w:tabs>
          <w:tab w:val="left" w:pos="2520"/>
        </w:tabs>
        <w:rPr>
          <w:rFonts w:ascii="Arial" w:hAnsi="Arial" w:cs="Arial"/>
          <w:color w:val="000000"/>
        </w:rPr>
      </w:pPr>
      <w:r w:rsidRPr="008578D0">
        <w:rPr>
          <w:rFonts w:ascii="Arial" w:hAnsi="Arial" w:cs="Arial"/>
          <w:color w:val="000000"/>
        </w:rPr>
        <w:t xml:space="preserve">Upper Tribunal </w:t>
      </w:r>
      <w:r w:rsidR="009D055C" w:rsidRPr="008578D0">
        <w:rPr>
          <w:rFonts w:ascii="Arial" w:hAnsi="Arial" w:cs="Arial"/>
          <w:color w:val="000000"/>
        </w:rPr>
        <w:t xml:space="preserve">Judge </w:t>
      </w:r>
      <w:r w:rsidR="00630C34" w:rsidRPr="008578D0">
        <w:rPr>
          <w:rFonts w:ascii="Arial" w:hAnsi="Arial" w:cs="Arial"/>
          <w:color w:val="000000"/>
        </w:rPr>
        <w:t>Coker</w:t>
      </w:r>
    </w:p>
    <w:sectPr w:rsidR="00B95326" w:rsidRPr="008578D0" w:rsidSect="001371F0">
      <w:headerReference w:type="default" r:id="rId10"/>
      <w:footerReference w:type="defaul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3D" w:rsidRDefault="00B5553D">
      <w:r>
        <w:separator/>
      </w:r>
    </w:p>
  </w:endnote>
  <w:endnote w:type="continuationSeparator" w:id="0">
    <w:p w:rsidR="00B5553D" w:rsidRDefault="00B5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EAC" w:rsidRPr="001371F0" w:rsidRDefault="00BB1EAC" w:rsidP="00593795">
    <w:pPr>
      <w:pStyle w:val="Footer"/>
      <w:jc w:val="center"/>
      <w:rPr>
        <w:rFonts w:ascii="Arial" w:hAnsi="Arial" w:cs="Arial"/>
      </w:rPr>
    </w:pPr>
    <w:r w:rsidRPr="001371F0">
      <w:rPr>
        <w:rStyle w:val="PageNumber"/>
        <w:rFonts w:ascii="Arial" w:hAnsi="Arial" w:cs="Arial"/>
      </w:rPr>
      <w:fldChar w:fldCharType="begin"/>
    </w:r>
    <w:r w:rsidRPr="001371F0">
      <w:rPr>
        <w:rStyle w:val="PageNumber"/>
        <w:rFonts w:ascii="Arial" w:hAnsi="Arial" w:cs="Arial"/>
      </w:rPr>
      <w:instrText xml:space="preserve"> PAGE </w:instrText>
    </w:r>
    <w:r w:rsidRPr="001371F0">
      <w:rPr>
        <w:rStyle w:val="PageNumber"/>
        <w:rFonts w:ascii="Arial" w:hAnsi="Arial" w:cs="Arial"/>
      </w:rPr>
      <w:fldChar w:fldCharType="separate"/>
    </w:r>
    <w:r w:rsidR="003F2111">
      <w:rPr>
        <w:rStyle w:val="PageNumber"/>
        <w:rFonts w:ascii="Arial" w:hAnsi="Arial" w:cs="Arial"/>
        <w:noProof/>
      </w:rPr>
      <w:t>4</w:t>
    </w:r>
    <w:r w:rsidRPr="001371F0">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EAC" w:rsidRPr="00090CF9" w:rsidRDefault="00BB1EAC"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3D" w:rsidRDefault="00B5553D">
      <w:r>
        <w:separator/>
      </w:r>
    </w:p>
  </w:footnote>
  <w:footnote w:type="continuationSeparator" w:id="0">
    <w:p w:rsidR="00B5553D" w:rsidRDefault="00B5553D">
      <w:r>
        <w:continuationSeparator/>
      </w:r>
    </w:p>
  </w:footnote>
  <w:footnote w:id="1">
    <w:p w:rsidR="00BB1EAC" w:rsidRDefault="00BB1EAC">
      <w:pPr>
        <w:pStyle w:val="FootnoteText"/>
      </w:pPr>
      <w:r>
        <w:rPr>
          <w:rStyle w:val="FootnoteReference"/>
        </w:rPr>
        <w:footnoteRef/>
      </w:r>
      <w:r>
        <w:t xml:space="preserve"> The comparable regulation in the 2006 Regulations is 15</w:t>
      </w:r>
      <w:proofErr w:type="gramStart"/>
      <w:r>
        <w:t>A(</w:t>
      </w:r>
      <w:proofErr w:type="gramEnd"/>
      <w:r>
        <w:t>4) and (4A)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EAC" w:rsidRDefault="00BB1EAC" w:rsidP="00593795">
    <w:pPr>
      <w:pStyle w:val="Header"/>
      <w:jc w:val="right"/>
      <w:rPr>
        <w:rFonts w:ascii="Arial" w:hAnsi="Arial" w:cs="Arial"/>
        <w:sz w:val="16"/>
        <w:szCs w:val="16"/>
      </w:rPr>
    </w:pPr>
    <w:r>
      <w:rPr>
        <w:rFonts w:ascii="Arial" w:hAnsi="Arial" w:cs="Arial"/>
        <w:sz w:val="16"/>
        <w:szCs w:val="16"/>
      </w:rPr>
      <w:t xml:space="preserve">Appeal Number: </w:t>
    </w:r>
    <w:r w:rsidR="009C1119">
      <w:rPr>
        <w:rFonts w:ascii="Arial" w:hAnsi="Arial" w:cs="Arial"/>
        <w:sz w:val="16"/>
        <w:szCs w:val="16"/>
      </w:rPr>
      <w:t>EA/10658/2016</w:t>
    </w:r>
    <w:r>
      <w:rPr>
        <w:rFonts w:ascii="Arial" w:hAnsi="Arial" w:cs="Arial"/>
        <w:sz w:val="16"/>
        <w:szCs w:val="16"/>
      </w:rPr>
      <w:t xml:space="preserve"> </w:t>
    </w:r>
  </w:p>
  <w:p w:rsidR="001371F0" w:rsidRPr="003C5CE5" w:rsidRDefault="001371F0"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2EB13CC"/>
    <w:multiLevelType w:val="hybridMultilevel"/>
    <w:tmpl w:val="E2161556"/>
    <w:lvl w:ilvl="0" w:tplc="33B0528A">
      <w:start w:val="1"/>
      <w:numFmt w:val="lowerLetter"/>
      <w:lvlText w:val="(%1)"/>
      <w:lvlJc w:val="left"/>
      <w:pPr>
        <w:ind w:left="1920" w:hanging="360"/>
      </w:pPr>
      <w:rPr>
        <w:rFonts w:hint="default"/>
      </w:rPr>
    </w:lvl>
    <w:lvl w:ilvl="1" w:tplc="08090019">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2"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521ADC"/>
    <w:multiLevelType w:val="hybridMultilevel"/>
    <w:tmpl w:val="8AD46E96"/>
    <w:lvl w:ilvl="0" w:tplc="DE10CF7E">
      <w:start w:val="44"/>
      <w:numFmt w:val="decimal"/>
      <w:lvlText w:val="%1."/>
      <w:lvlJc w:val="left"/>
      <w:pPr>
        <w:ind w:left="2061" w:hanging="360"/>
      </w:pPr>
      <w:rPr>
        <w:rFonts w:hint="default"/>
      </w:rPr>
    </w:lvl>
    <w:lvl w:ilvl="1" w:tplc="08090019">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6"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E50D23"/>
    <w:multiLevelType w:val="hybridMultilevel"/>
    <w:tmpl w:val="D17E5A18"/>
    <w:lvl w:ilvl="0" w:tplc="AF28038E">
      <w:start w:val="33"/>
      <w:numFmt w:val="decimal"/>
      <w:lvlText w:val="%1."/>
      <w:lvlJc w:val="left"/>
      <w:pPr>
        <w:ind w:left="2061" w:hanging="360"/>
      </w:pPr>
      <w:rPr>
        <w:rFonts w:hint="default"/>
      </w:rPr>
    </w:lvl>
    <w:lvl w:ilvl="1" w:tplc="08090019">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9"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2"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5" w15:restartNumberingAfterBreak="0">
    <w:nsid w:val="637127E8"/>
    <w:multiLevelType w:val="hybridMultilevel"/>
    <w:tmpl w:val="C5607768"/>
    <w:lvl w:ilvl="0" w:tplc="63F2C5EE">
      <w:start w:val="28"/>
      <w:numFmt w:val="decimal"/>
      <w:lvlText w:val="%1."/>
      <w:lvlJc w:val="left"/>
      <w:pPr>
        <w:ind w:left="2061" w:hanging="360"/>
      </w:pPr>
      <w:rPr>
        <w:rFonts w:hint="default"/>
      </w:rPr>
    </w:lvl>
    <w:lvl w:ilvl="1" w:tplc="08090019">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6"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8"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81E593A"/>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30"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6"/>
  </w:num>
  <w:num w:numId="3">
    <w:abstractNumId w:val="3"/>
  </w:num>
  <w:num w:numId="4">
    <w:abstractNumId w:val="11"/>
  </w:num>
  <w:num w:numId="5">
    <w:abstractNumId w:val="24"/>
  </w:num>
  <w:num w:numId="6">
    <w:abstractNumId w:val="28"/>
  </w:num>
  <w:num w:numId="7">
    <w:abstractNumId w:val="26"/>
  </w:num>
  <w:num w:numId="8">
    <w:abstractNumId w:val="30"/>
  </w:num>
  <w:num w:numId="9">
    <w:abstractNumId w:val="10"/>
  </w:num>
  <w:num w:numId="10">
    <w:abstractNumId w:val="14"/>
  </w:num>
  <w:num w:numId="11">
    <w:abstractNumId w:val="2"/>
  </w:num>
  <w:num w:numId="12">
    <w:abstractNumId w:val="9"/>
  </w:num>
  <w:num w:numId="13">
    <w:abstractNumId w:val="0"/>
  </w:num>
  <w:num w:numId="14">
    <w:abstractNumId w:val="19"/>
  </w:num>
  <w:num w:numId="15">
    <w:abstractNumId w:val="21"/>
  </w:num>
  <w:num w:numId="16">
    <w:abstractNumId w:val="23"/>
  </w:num>
  <w:num w:numId="17">
    <w:abstractNumId w:val="20"/>
  </w:num>
  <w:num w:numId="18">
    <w:abstractNumId w:val="8"/>
  </w:num>
  <w:num w:numId="19">
    <w:abstractNumId w:val="13"/>
  </w:num>
  <w:num w:numId="20">
    <w:abstractNumId w:val="4"/>
  </w:num>
  <w:num w:numId="21">
    <w:abstractNumId w:val="27"/>
  </w:num>
  <w:num w:numId="22">
    <w:abstractNumId w:val="5"/>
  </w:num>
  <w:num w:numId="23">
    <w:abstractNumId w:val="1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9"/>
  </w:num>
  <w:num w:numId="29">
    <w:abstractNumId w:val="1"/>
  </w:num>
  <w:num w:numId="30">
    <w:abstractNumId w:val="25"/>
  </w:num>
  <w:num w:numId="31">
    <w:abstractNumId w:val="1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400CF"/>
    <w:rsid w:val="00051C2D"/>
    <w:rsid w:val="00053C8F"/>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02F4"/>
    <w:rsid w:val="000E3782"/>
    <w:rsid w:val="000F1A0E"/>
    <w:rsid w:val="000F1BC5"/>
    <w:rsid w:val="000F3C7A"/>
    <w:rsid w:val="000F50A8"/>
    <w:rsid w:val="001015A2"/>
    <w:rsid w:val="001022EC"/>
    <w:rsid w:val="001165A7"/>
    <w:rsid w:val="00126036"/>
    <w:rsid w:val="001371F0"/>
    <w:rsid w:val="00152C19"/>
    <w:rsid w:val="00165516"/>
    <w:rsid w:val="00167D3A"/>
    <w:rsid w:val="00171775"/>
    <w:rsid w:val="00172D1A"/>
    <w:rsid w:val="00173551"/>
    <w:rsid w:val="00181749"/>
    <w:rsid w:val="00184333"/>
    <w:rsid w:val="00186868"/>
    <w:rsid w:val="00190848"/>
    <w:rsid w:val="001A3082"/>
    <w:rsid w:val="001A745F"/>
    <w:rsid w:val="001B186A"/>
    <w:rsid w:val="001B2F75"/>
    <w:rsid w:val="001C715E"/>
    <w:rsid w:val="001D14B9"/>
    <w:rsid w:val="001D3CBB"/>
    <w:rsid w:val="001E0E74"/>
    <w:rsid w:val="001F2716"/>
    <w:rsid w:val="001F4A9C"/>
    <w:rsid w:val="001F6F7E"/>
    <w:rsid w:val="00206D4B"/>
    <w:rsid w:val="00207617"/>
    <w:rsid w:val="0021104D"/>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77D3A"/>
    <w:rsid w:val="002814F4"/>
    <w:rsid w:val="00283659"/>
    <w:rsid w:val="00290C6F"/>
    <w:rsid w:val="00296D48"/>
    <w:rsid w:val="002A224B"/>
    <w:rsid w:val="002A67C1"/>
    <w:rsid w:val="002B6EE0"/>
    <w:rsid w:val="002C6BD4"/>
    <w:rsid w:val="002D3F52"/>
    <w:rsid w:val="002D68BF"/>
    <w:rsid w:val="002D6D9A"/>
    <w:rsid w:val="002E151A"/>
    <w:rsid w:val="002E575D"/>
    <w:rsid w:val="002F12D1"/>
    <w:rsid w:val="002F1E24"/>
    <w:rsid w:val="002F2F63"/>
    <w:rsid w:val="002F5398"/>
    <w:rsid w:val="002F6B98"/>
    <w:rsid w:val="003135EB"/>
    <w:rsid w:val="003161B0"/>
    <w:rsid w:val="00322A5E"/>
    <w:rsid w:val="00336CBF"/>
    <w:rsid w:val="00342F01"/>
    <w:rsid w:val="00343FE3"/>
    <w:rsid w:val="003509D4"/>
    <w:rsid w:val="003546C8"/>
    <w:rsid w:val="00354DD7"/>
    <w:rsid w:val="003645CD"/>
    <w:rsid w:val="00365573"/>
    <w:rsid w:val="00373539"/>
    <w:rsid w:val="003769AC"/>
    <w:rsid w:val="00381CAE"/>
    <w:rsid w:val="00386793"/>
    <w:rsid w:val="00394820"/>
    <w:rsid w:val="003A3EB7"/>
    <w:rsid w:val="003A7CF2"/>
    <w:rsid w:val="003C0E80"/>
    <w:rsid w:val="003C5CE5"/>
    <w:rsid w:val="003C5D94"/>
    <w:rsid w:val="003D194D"/>
    <w:rsid w:val="003E1F16"/>
    <w:rsid w:val="003E260A"/>
    <w:rsid w:val="003E267B"/>
    <w:rsid w:val="003E7CD1"/>
    <w:rsid w:val="003F2111"/>
    <w:rsid w:val="004024BC"/>
    <w:rsid w:val="0040281D"/>
    <w:rsid w:val="00402B9E"/>
    <w:rsid w:val="00406F0F"/>
    <w:rsid w:val="004106DE"/>
    <w:rsid w:val="00415F05"/>
    <w:rsid w:val="00422F82"/>
    <w:rsid w:val="00423156"/>
    <w:rsid w:val="004249CB"/>
    <w:rsid w:val="0043425E"/>
    <w:rsid w:val="0044127D"/>
    <w:rsid w:val="004448DB"/>
    <w:rsid w:val="00446952"/>
    <w:rsid w:val="00446C9A"/>
    <w:rsid w:val="00452EA8"/>
    <w:rsid w:val="00452F2B"/>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76C7"/>
    <w:rsid w:val="00530192"/>
    <w:rsid w:val="005357AD"/>
    <w:rsid w:val="005479E1"/>
    <w:rsid w:val="00550CF9"/>
    <w:rsid w:val="0055283B"/>
    <w:rsid w:val="00553E0A"/>
    <w:rsid w:val="00555F27"/>
    <w:rsid w:val="005570FD"/>
    <w:rsid w:val="005575EA"/>
    <w:rsid w:val="00562348"/>
    <w:rsid w:val="005656DF"/>
    <w:rsid w:val="00570EF1"/>
    <w:rsid w:val="0057323B"/>
    <w:rsid w:val="005750C2"/>
    <w:rsid w:val="0057790C"/>
    <w:rsid w:val="005843DA"/>
    <w:rsid w:val="00593795"/>
    <w:rsid w:val="00593821"/>
    <w:rsid w:val="0059607A"/>
    <w:rsid w:val="005965E5"/>
    <w:rsid w:val="005966DA"/>
    <w:rsid w:val="005A0343"/>
    <w:rsid w:val="005A549B"/>
    <w:rsid w:val="005A75FF"/>
    <w:rsid w:val="005B0A90"/>
    <w:rsid w:val="005D10AB"/>
    <w:rsid w:val="005E52F3"/>
    <w:rsid w:val="005F0ED1"/>
    <w:rsid w:val="005F484F"/>
    <w:rsid w:val="0060112E"/>
    <w:rsid w:val="00601D8F"/>
    <w:rsid w:val="0060237D"/>
    <w:rsid w:val="006061F8"/>
    <w:rsid w:val="00611276"/>
    <w:rsid w:val="00624F1A"/>
    <w:rsid w:val="0062579D"/>
    <w:rsid w:val="00630C34"/>
    <w:rsid w:val="00633D25"/>
    <w:rsid w:val="00645E92"/>
    <w:rsid w:val="00653E97"/>
    <w:rsid w:val="006664A5"/>
    <w:rsid w:val="00670BD9"/>
    <w:rsid w:val="00673E8F"/>
    <w:rsid w:val="006757BD"/>
    <w:rsid w:val="00680319"/>
    <w:rsid w:val="00683EEF"/>
    <w:rsid w:val="00684A74"/>
    <w:rsid w:val="00690B8A"/>
    <w:rsid w:val="006A345A"/>
    <w:rsid w:val="006A405B"/>
    <w:rsid w:val="006B0197"/>
    <w:rsid w:val="006B1AB5"/>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243EE"/>
    <w:rsid w:val="00732ECD"/>
    <w:rsid w:val="007334B3"/>
    <w:rsid w:val="00734672"/>
    <w:rsid w:val="00736EE3"/>
    <w:rsid w:val="0074320E"/>
    <w:rsid w:val="00751CA4"/>
    <w:rsid w:val="007552A9"/>
    <w:rsid w:val="007601F3"/>
    <w:rsid w:val="00761858"/>
    <w:rsid w:val="007656C6"/>
    <w:rsid w:val="00767D59"/>
    <w:rsid w:val="0077393E"/>
    <w:rsid w:val="00776E97"/>
    <w:rsid w:val="00780F86"/>
    <w:rsid w:val="00782743"/>
    <w:rsid w:val="00784D03"/>
    <w:rsid w:val="007912AD"/>
    <w:rsid w:val="007937AD"/>
    <w:rsid w:val="00796712"/>
    <w:rsid w:val="007A7276"/>
    <w:rsid w:val="007A7B35"/>
    <w:rsid w:val="007B0824"/>
    <w:rsid w:val="007B5D3C"/>
    <w:rsid w:val="007B7552"/>
    <w:rsid w:val="007D6EAB"/>
    <w:rsid w:val="007E1954"/>
    <w:rsid w:val="007E37AC"/>
    <w:rsid w:val="007E6CDD"/>
    <w:rsid w:val="007F665C"/>
    <w:rsid w:val="00800360"/>
    <w:rsid w:val="00806523"/>
    <w:rsid w:val="00812D4F"/>
    <w:rsid w:val="00813C29"/>
    <w:rsid w:val="00815082"/>
    <w:rsid w:val="0081561F"/>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4C7E"/>
    <w:rsid w:val="008825F7"/>
    <w:rsid w:val="00894951"/>
    <w:rsid w:val="00895F9E"/>
    <w:rsid w:val="008A37E3"/>
    <w:rsid w:val="008B270C"/>
    <w:rsid w:val="008B5078"/>
    <w:rsid w:val="008C3D3D"/>
    <w:rsid w:val="008C71A2"/>
    <w:rsid w:val="008D382E"/>
    <w:rsid w:val="008D4131"/>
    <w:rsid w:val="008F1932"/>
    <w:rsid w:val="008F1E92"/>
    <w:rsid w:val="00903C06"/>
    <w:rsid w:val="009162E8"/>
    <w:rsid w:val="009164EF"/>
    <w:rsid w:val="00921062"/>
    <w:rsid w:val="00924E18"/>
    <w:rsid w:val="00925AB2"/>
    <w:rsid w:val="0096480C"/>
    <w:rsid w:val="009722BC"/>
    <w:rsid w:val="0097235D"/>
    <w:rsid w:val="009727A3"/>
    <w:rsid w:val="0097577A"/>
    <w:rsid w:val="00977E5A"/>
    <w:rsid w:val="009873DD"/>
    <w:rsid w:val="00987774"/>
    <w:rsid w:val="00990CF3"/>
    <w:rsid w:val="00992C74"/>
    <w:rsid w:val="009A0F09"/>
    <w:rsid w:val="009A11E8"/>
    <w:rsid w:val="009A2B75"/>
    <w:rsid w:val="009C1119"/>
    <w:rsid w:val="009C2408"/>
    <w:rsid w:val="009C40B8"/>
    <w:rsid w:val="009C6CC6"/>
    <w:rsid w:val="009D055C"/>
    <w:rsid w:val="009D2DA5"/>
    <w:rsid w:val="009F5220"/>
    <w:rsid w:val="009F526C"/>
    <w:rsid w:val="009F637C"/>
    <w:rsid w:val="00A1477E"/>
    <w:rsid w:val="00A15234"/>
    <w:rsid w:val="00A201AB"/>
    <w:rsid w:val="00A25A13"/>
    <w:rsid w:val="00A27297"/>
    <w:rsid w:val="00A31C8B"/>
    <w:rsid w:val="00A343D8"/>
    <w:rsid w:val="00A35CFC"/>
    <w:rsid w:val="00A509FA"/>
    <w:rsid w:val="00A5238A"/>
    <w:rsid w:val="00A5334F"/>
    <w:rsid w:val="00A678C2"/>
    <w:rsid w:val="00A719B9"/>
    <w:rsid w:val="00A845DC"/>
    <w:rsid w:val="00A90540"/>
    <w:rsid w:val="00A905CD"/>
    <w:rsid w:val="00A91607"/>
    <w:rsid w:val="00A91E1E"/>
    <w:rsid w:val="00AA7A2D"/>
    <w:rsid w:val="00AB0287"/>
    <w:rsid w:val="00AB15C9"/>
    <w:rsid w:val="00AB6C32"/>
    <w:rsid w:val="00AC3BEA"/>
    <w:rsid w:val="00AC52A2"/>
    <w:rsid w:val="00AC664C"/>
    <w:rsid w:val="00AC6A9F"/>
    <w:rsid w:val="00AD27F4"/>
    <w:rsid w:val="00AD4E82"/>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53D"/>
    <w:rsid w:val="00B55768"/>
    <w:rsid w:val="00B564F9"/>
    <w:rsid w:val="00B574ED"/>
    <w:rsid w:val="00B57F06"/>
    <w:rsid w:val="00B61E72"/>
    <w:rsid w:val="00B64A78"/>
    <w:rsid w:val="00B668D8"/>
    <w:rsid w:val="00B7040A"/>
    <w:rsid w:val="00B71BF5"/>
    <w:rsid w:val="00B83391"/>
    <w:rsid w:val="00B866FB"/>
    <w:rsid w:val="00B9038B"/>
    <w:rsid w:val="00B94048"/>
    <w:rsid w:val="00B95326"/>
    <w:rsid w:val="00BA7391"/>
    <w:rsid w:val="00BB0BED"/>
    <w:rsid w:val="00BB1EAC"/>
    <w:rsid w:val="00BB39BE"/>
    <w:rsid w:val="00BC3E53"/>
    <w:rsid w:val="00BC72AE"/>
    <w:rsid w:val="00BC7D66"/>
    <w:rsid w:val="00BD06DD"/>
    <w:rsid w:val="00BD4196"/>
    <w:rsid w:val="00BF1A11"/>
    <w:rsid w:val="00BF22CA"/>
    <w:rsid w:val="00BF23BB"/>
    <w:rsid w:val="00BF7921"/>
    <w:rsid w:val="00C0003A"/>
    <w:rsid w:val="00C12F97"/>
    <w:rsid w:val="00C22D9F"/>
    <w:rsid w:val="00C26032"/>
    <w:rsid w:val="00C345E1"/>
    <w:rsid w:val="00C36D49"/>
    <w:rsid w:val="00C40352"/>
    <w:rsid w:val="00C43BFD"/>
    <w:rsid w:val="00C46F62"/>
    <w:rsid w:val="00C534D7"/>
    <w:rsid w:val="00C640A8"/>
    <w:rsid w:val="00C64A47"/>
    <w:rsid w:val="00C7704B"/>
    <w:rsid w:val="00C81167"/>
    <w:rsid w:val="00C865C1"/>
    <w:rsid w:val="00C951B1"/>
    <w:rsid w:val="00C95BBD"/>
    <w:rsid w:val="00CA107F"/>
    <w:rsid w:val="00CA10A1"/>
    <w:rsid w:val="00CA5CE4"/>
    <w:rsid w:val="00CB470B"/>
    <w:rsid w:val="00CB6E35"/>
    <w:rsid w:val="00CC3A26"/>
    <w:rsid w:val="00CC6AB3"/>
    <w:rsid w:val="00CD19BD"/>
    <w:rsid w:val="00CE1A46"/>
    <w:rsid w:val="00CE465E"/>
    <w:rsid w:val="00CF14D4"/>
    <w:rsid w:val="00D105F2"/>
    <w:rsid w:val="00D10853"/>
    <w:rsid w:val="00D20757"/>
    <w:rsid w:val="00D20AA6"/>
    <w:rsid w:val="00D21B5D"/>
    <w:rsid w:val="00D22636"/>
    <w:rsid w:val="00D273A7"/>
    <w:rsid w:val="00D31443"/>
    <w:rsid w:val="00D3621D"/>
    <w:rsid w:val="00D40FD9"/>
    <w:rsid w:val="00D463AA"/>
    <w:rsid w:val="00D46C41"/>
    <w:rsid w:val="00D472E1"/>
    <w:rsid w:val="00D53769"/>
    <w:rsid w:val="00D70B67"/>
    <w:rsid w:val="00D851D9"/>
    <w:rsid w:val="00D8561E"/>
    <w:rsid w:val="00D85C13"/>
    <w:rsid w:val="00D86F3A"/>
    <w:rsid w:val="00D9111A"/>
    <w:rsid w:val="00D91BE3"/>
    <w:rsid w:val="00D9326A"/>
    <w:rsid w:val="00D94AFC"/>
    <w:rsid w:val="00DA18A9"/>
    <w:rsid w:val="00DA4D91"/>
    <w:rsid w:val="00DB70AE"/>
    <w:rsid w:val="00DC6C25"/>
    <w:rsid w:val="00DD19E4"/>
    <w:rsid w:val="00DD5071"/>
    <w:rsid w:val="00DD5ADB"/>
    <w:rsid w:val="00DD5C39"/>
    <w:rsid w:val="00DD7829"/>
    <w:rsid w:val="00DE6C66"/>
    <w:rsid w:val="00DE7DB7"/>
    <w:rsid w:val="00E00A0A"/>
    <w:rsid w:val="00E066DE"/>
    <w:rsid w:val="00E07F57"/>
    <w:rsid w:val="00E13F63"/>
    <w:rsid w:val="00E13FE0"/>
    <w:rsid w:val="00E172DA"/>
    <w:rsid w:val="00E30683"/>
    <w:rsid w:val="00E434E8"/>
    <w:rsid w:val="00E453D8"/>
    <w:rsid w:val="00E50BCE"/>
    <w:rsid w:val="00E56431"/>
    <w:rsid w:val="00E574BF"/>
    <w:rsid w:val="00E61292"/>
    <w:rsid w:val="00E77C4D"/>
    <w:rsid w:val="00E80AD9"/>
    <w:rsid w:val="00E81D01"/>
    <w:rsid w:val="00E83C14"/>
    <w:rsid w:val="00E92383"/>
    <w:rsid w:val="00EB2144"/>
    <w:rsid w:val="00EB45D2"/>
    <w:rsid w:val="00ED036F"/>
    <w:rsid w:val="00EE1FA1"/>
    <w:rsid w:val="00EE45D8"/>
    <w:rsid w:val="00EF0787"/>
    <w:rsid w:val="00EF49C7"/>
    <w:rsid w:val="00EF5E91"/>
    <w:rsid w:val="00F052AB"/>
    <w:rsid w:val="00F10DE1"/>
    <w:rsid w:val="00F12BB0"/>
    <w:rsid w:val="00F22AA0"/>
    <w:rsid w:val="00F22EDA"/>
    <w:rsid w:val="00F313E3"/>
    <w:rsid w:val="00F429E6"/>
    <w:rsid w:val="00F52CE2"/>
    <w:rsid w:val="00F563B2"/>
    <w:rsid w:val="00F71D8B"/>
    <w:rsid w:val="00F734A7"/>
    <w:rsid w:val="00F74571"/>
    <w:rsid w:val="00F829C0"/>
    <w:rsid w:val="00F86938"/>
    <w:rsid w:val="00F902FD"/>
    <w:rsid w:val="00F97703"/>
    <w:rsid w:val="00FA0071"/>
    <w:rsid w:val="00FA77E1"/>
    <w:rsid w:val="00FA7A30"/>
    <w:rsid w:val="00FC032C"/>
    <w:rsid w:val="00FC20F8"/>
    <w:rsid w:val="00FD50E5"/>
    <w:rsid w:val="00FE06E1"/>
    <w:rsid w:val="00FF2A4A"/>
    <w:rsid w:val="00FF7C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5C82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D7E3C-943F-49D3-AD41-88C39BAE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1493</Words>
  <Characters>7426</Characters>
  <Application>Microsoft Office Word</Application>
  <DocSecurity>0</DocSecurity>
  <Lines>61</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2018-06-07T12:59:00Z</dcterms:created>
  <dcterms:modified xsi:type="dcterms:W3CDTF">2018-06-07T12:59:00Z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