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870CA" w:rsidRDefault="00AF51A5" w:rsidP="008A6059">
      <w:pPr>
        <w:jc w:val="center"/>
        <w:rPr>
          <w:rFonts w:ascii="Book Antiqua" w:hAnsi="Book Antiqua" w:cs="Arial"/>
          <w:caps/>
          <w:color w:val="000000"/>
          <w:sz w:val="16"/>
          <w:szCs w:val="16"/>
        </w:rPr>
      </w:pPr>
      <w:r w:rsidRPr="009870CA">
        <w:rPr>
          <w:noProof/>
          <w:sz w:val="16"/>
          <w:szCs w:val="16"/>
        </w:rPr>
        <w:drawing>
          <wp:inline distT="0" distB="0" distL="0" distR="0" wp14:anchorId="5DFE0046" wp14:editId="745D553E">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1C109C"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1C109C">
        <w:rPr>
          <w:rFonts w:ascii="Book Antiqua" w:hAnsi="Book Antiqua" w:cs="Arial"/>
          <w:b/>
          <w:color w:val="000000"/>
        </w:rPr>
        <w:t xml:space="preserve">   </w:t>
      </w:r>
      <w:proofErr w:type="gramEnd"/>
      <w:r w:rsidR="001C109C">
        <w:rPr>
          <w:rFonts w:ascii="Book Antiqua" w:hAnsi="Book Antiqua" w:cs="Arial"/>
          <w:b/>
          <w:color w:val="000000"/>
        </w:rPr>
        <w:t xml:space="preserve">                  </w:t>
      </w:r>
      <w:r w:rsidR="00B3524D" w:rsidRPr="001C109C">
        <w:rPr>
          <w:rFonts w:ascii="Book Antiqua" w:hAnsi="Book Antiqua" w:cs="Arial"/>
          <w:b/>
          <w:color w:val="000000"/>
        </w:rPr>
        <w:t>Appeal Number</w:t>
      </w:r>
      <w:r w:rsidR="00D53769" w:rsidRPr="001C109C">
        <w:rPr>
          <w:rFonts w:ascii="Book Antiqua" w:hAnsi="Book Antiqua" w:cs="Arial"/>
          <w:b/>
          <w:color w:val="000000"/>
        </w:rPr>
        <w:t>:</w:t>
      </w:r>
      <w:r w:rsidR="00B3524D" w:rsidRPr="001C109C">
        <w:rPr>
          <w:rFonts w:ascii="Book Antiqua" w:hAnsi="Book Antiqua" w:cs="Arial"/>
          <w:b/>
          <w:color w:val="000000"/>
        </w:rPr>
        <w:t xml:space="preserve"> </w:t>
      </w:r>
      <w:r w:rsidR="00A903AC" w:rsidRPr="001C109C">
        <w:rPr>
          <w:rFonts w:ascii="Book Antiqua" w:hAnsi="Book Antiqua" w:cs="Arial"/>
          <w:b/>
          <w:caps/>
          <w:color w:val="000000"/>
        </w:rPr>
        <w:t>EA/10904/2016</w:t>
      </w:r>
    </w:p>
    <w:p w:rsidR="00C345E1" w:rsidRPr="001C109C" w:rsidRDefault="00C345E1" w:rsidP="00C345E1">
      <w:pPr>
        <w:jc w:val="center"/>
        <w:rPr>
          <w:rFonts w:ascii="Book Antiqua" w:hAnsi="Book Antiqua" w:cs="Arial"/>
          <w:b/>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9B7433" w:rsidTr="001C109C">
        <w:tc>
          <w:tcPr>
            <w:tcW w:w="5103"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A903AC">
              <w:rPr>
                <w:rFonts w:ascii="Book Antiqua" w:hAnsi="Book Antiqua" w:cs="Arial"/>
                <w:b/>
              </w:rPr>
              <w:t>Field House</w:t>
            </w:r>
          </w:p>
        </w:tc>
        <w:tc>
          <w:tcPr>
            <w:tcW w:w="4905" w:type="dxa"/>
          </w:tcPr>
          <w:p w:rsidR="00D22636" w:rsidRPr="009B7433" w:rsidRDefault="001C109C"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1C109C">
        <w:tc>
          <w:tcPr>
            <w:tcW w:w="5103"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A903AC">
              <w:rPr>
                <w:rFonts w:ascii="Book Antiqua" w:hAnsi="Book Antiqua" w:cs="Arial"/>
                <w:b/>
              </w:rPr>
              <w:t>14 August 2018</w:t>
            </w:r>
          </w:p>
        </w:tc>
        <w:tc>
          <w:tcPr>
            <w:tcW w:w="4905" w:type="dxa"/>
          </w:tcPr>
          <w:p w:rsidR="00D22636" w:rsidRPr="009B7433" w:rsidRDefault="001C109C" w:rsidP="004A1848">
            <w:pPr>
              <w:jc w:val="both"/>
              <w:rPr>
                <w:rFonts w:ascii="Book Antiqua" w:hAnsi="Book Antiqua" w:cs="Arial"/>
                <w:b/>
              </w:rPr>
            </w:pPr>
            <w:r>
              <w:rPr>
                <w:rFonts w:ascii="Book Antiqua" w:hAnsi="Book Antiqua" w:cs="Arial"/>
                <w:b/>
              </w:rPr>
              <w:t xml:space="preserve"> </w:t>
            </w:r>
            <w:r w:rsidR="00D967B2">
              <w:rPr>
                <w:rFonts w:ascii="Book Antiqua" w:hAnsi="Book Antiqua" w:cs="Arial"/>
                <w:b/>
              </w:rPr>
              <w:t>On 31 August 2018</w:t>
            </w:r>
          </w:p>
        </w:tc>
      </w:tr>
      <w:tr w:rsidR="00D22636" w:rsidRPr="009B7433" w:rsidTr="001C109C">
        <w:tc>
          <w:tcPr>
            <w:tcW w:w="5103" w:type="dxa"/>
          </w:tcPr>
          <w:p w:rsidR="00D22636" w:rsidRPr="009B7433" w:rsidRDefault="00D22636" w:rsidP="004A1848">
            <w:pPr>
              <w:jc w:val="both"/>
              <w:rPr>
                <w:rFonts w:ascii="Book Antiqua" w:hAnsi="Book Antiqua" w:cs="Arial"/>
                <w:b/>
              </w:rPr>
            </w:pPr>
          </w:p>
        </w:tc>
        <w:tc>
          <w:tcPr>
            <w:tcW w:w="4905"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9870CA">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A903AC" w:rsidP="00A15234">
      <w:pPr>
        <w:jc w:val="center"/>
        <w:rPr>
          <w:rFonts w:ascii="Book Antiqua" w:hAnsi="Book Antiqua" w:cs="Arial"/>
          <w:b/>
          <w:caps/>
        </w:rPr>
      </w:pPr>
      <w:r>
        <w:rPr>
          <w:rFonts w:ascii="Book Antiqua" w:hAnsi="Book Antiqua" w:cs="Arial"/>
          <w:b/>
          <w:caps/>
        </w:rPr>
        <w:t>Mr Fouad Belhadj</w:t>
      </w:r>
    </w:p>
    <w:p w:rsidR="00D949B7" w:rsidRPr="001C109C" w:rsidRDefault="00D949B7" w:rsidP="00D949B7">
      <w:pPr>
        <w:jc w:val="center"/>
        <w:rPr>
          <w:rFonts w:ascii="Book Antiqua" w:hAnsi="Book Antiqua" w:cs="Arial"/>
          <w:caps/>
        </w:rPr>
      </w:pPr>
      <w:r w:rsidRPr="001C109C">
        <w:rPr>
          <w:rFonts w:ascii="Book Antiqua" w:hAnsi="Book Antiqua" w:cs="Arial"/>
          <w:caps/>
        </w:rPr>
        <w:t xml:space="preserve">(ANONYMITY DIRECTION </w:t>
      </w:r>
      <w:r w:rsidR="00A47A46" w:rsidRPr="001C109C">
        <w:rPr>
          <w:rFonts w:ascii="Book Antiqua" w:hAnsi="Book Antiqua" w:cs="Arial"/>
          <w:caps/>
        </w:rPr>
        <w:t>NOT MADE</w:t>
      </w:r>
      <w:r w:rsidRPr="001C109C">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1C109C" w:rsidRDefault="001C109C"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A47A46" w:rsidRDefault="00A47A46" w:rsidP="00704B61">
      <w:pPr>
        <w:jc w:val="center"/>
        <w:rPr>
          <w:rFonts w:ascii="Book Antiqua" w:hAnsi="Book Antiqua" w:cs="Arial"/>
          <w:b/>
        </w:rPr>
      </w:pPr>
    </w:p>
    <w:p w:rsidR="001C109C" w:rsidRPr="009B7433" w:rsidRDefault="001C109C"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1C109C" w:rsidRPr="009B7433" w:rsidRDefault="001C109C"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903AC">
        <w:rPr>
          <w:rFonts w:ascii="Book Antiqua" w:hAnsi="Book Antiqua" w:cs="Arial"/>
        </w:rPr>
        <w:t xml:space="preserve">Mr M Sowerby, </w:t>
      </w:r>
      <w:r w:rsidR="005657D0">
        <w:rPr>
          <w:rFonts w:ascii="Book Antiqua" w:hAnsi="Book Antiqua" w:cs="Arial"/>
        </w:rPr>
        <w:t xml:space="preserve">instructed by O </w:t>
      </w:r>
      <w:proofErr w:type="gramStart"/>
      <w:r w:rsidR="005657D0">
        <w:rPr>
          <w:rFonts w:ascii="Book Antiqua" w:hAnsi="Book Antiqua" w:cs="Arial"/>
        </w:rPr>
        <w:t>A</w:t>
      </w:r>
      <w:proofErr w:type="gramEnd"/>
      <w:r w:rsidR="005657D0">
        <w:rPr>
          <w:rFonts w:ascii="Book Antiqua" w:hAnsi="Book Antiqua" w:cs="Arial"/>
        </w:rPr>
        <w:t xml:space="preserve">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903AC">
        <w:rPr>
          <w:rFonts w:ascii="Book Antiqua" w:hAnsi="Book Antiqua" w:cs="Arial"/>
        </w:rPr>
        <w:t xml:space="preserve">Mr David Clarke, Home Office Presenting Officer </w:t>
      </w:r>
    </w:p>
    <w:p w:rsidR="00DE7DB7" w:rsidRDefault="00DE7DB7" w:rsidP="00402B9E">
      <w:pPr>
        <w:tabs>
          <w:tab w:val="left" w:pos="2520"/>
        </w:tabs>
        <w:jc w:val="center"/>
        <w:rPr>
          <w:rFonts w:ascii="Book Antiqua" w:hAnsi="Book Antiqua" w:cs="Arial"/>
        </w:rPr>
      </w:pPr>
    </w:p>
    <w:p w:rsidR="009870CA" w:rsidRPr="009B7433" w:rsidRDefault="009870CA"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AB4612" w:rsidRDefault="00A903A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Judge Oxlade promulgated on 12 January 2018 in which </w:t>
      </w:r>
      <w:r w:rsidR="00A47A46">
        <w:rPr>
          <w:rFonts w:ascii="Book Antiqua" w:hAnsi="Book Antiqua" w:cs="Arial"/>
        </w:rPr>
        <w:t>s</w:t>
      </w:r>
      <w:r>
        <w:rPr>
          <w:rFonts w:ascii="Book Antiqua" w:hAnsi="Book Antiqua" w:cs="Arial"/>
        </w:rPr>
        <w:t>he dismissed his appeal under the Immigration (European Economic Area) Regulations 20</w:t>
      </w:r>
      <w:r w:rsidR="00202A70">
        <w:rPr>
          <w:rFonts w:ascii="Book Antiqua" w:hAnsi="Book Antiqua" w:cs="Arial"/>
        </w:rPr>
        <w:t>0</w:t>
      </w:r>
      <w:r>
        <w:rPr>
          <w:rFonts w:ascii="Book Antiqua" w:hAnsi="Book Antiqua" w:cs="Arial"/>
        </w:rPr>
        <w:t xml:space="preserve">6 </w:t>
      </w:r>
      <w:r w:rsidR="00202A70">
        <w:rPr>
          <w:rFonts w:ascii="Book Antiqua" w:hAnsi="Book Antiqua" w:cs="Arial"/>
        </w:rPr>
        <w:t xml:space="preserve">(“the EEA Regulations”) </w:t>
      </w:r>
      <w:r>
        <w:rPr>
          <w:rFonts w:ascii="Book Antiqua" w:hAnsi="Book Antiqua" w:cs="Arial"/>
        </w:rPr>
        <w:t xml:space="preserve">against the decision of the respondent to refuse to issue him with a document as evidence of his right of permanent residence as a family member who had retained the right of residence.  </w:t>
      </w:r>
    </w:p>
    <w:p w:rsidR="002A24CC" w:rsidRDefault="00A903AC" w:rsidP="004D6B45">
      <w:pPr>
        <w:numPr>
          <w:ilvl w:val="0"/>
          <w:numId w:val="1"/>
        </w:numPr>
        <w:tabs>
          <w:tab w:val="clear" w:pos="567"/>
        </w:tabs>
        <w:spacing w:before="240"/>
        <w:jc w:val="both"/>
        <w:rPr>
          <w:rFonts w:ascii="Book Antiqua" w:hAnsi="Book Antiqua" w:cs="Arial"/>
        </w:rPr>
      </w:pPr>
      <w:r>
        <w:rPr>
          <w:rFonts w:ascii="Book Antiqua" w:hAnsi="Book Antiqua" w:cs="Arial"/>
        </w:rPr>
        <w:t>It is necessary to set out in some detail the history of the appellant.  He was married in August 2003, enter</w:t>
      </w:r>
      <w:r w:rsidR="00AB4612">
        <w:rPr>
          <w:rFonts w:ascii="Book Antiqua" w:hAnsi="Book Antiqua" w:cs="Arial"/>
        </w:rPr>
        <w:t>ing</w:t>
      </w:r>
      <w:r>
        <w:rPr>
          <w:rFonts w:ascii="Book Antiqua" w:hAnsi="Book Antiqua" w:cs="Arial"/>
        </w:rPr>
        <w:t xml:space="preserve"> the United Kingdom </w:t>
      </w:r>
      <w:r w:rsidR="00AB4612">
        <w:rPr>
          <w:rFonts w:ascii="Book Antiqua" w:hAnsi="Book Antiqua" w:cs="Arial"/>
        </w:rPr>
        <w:t>shortly thereafter, hi</w:t>
      </w:r>
      <w:r>
        <w:rPr>
          <w:rFonts w:ascii="Book Antiqua" w:hAnsi="Book Antiqua" w:cs="Arial"/>
        </w:rPr>
        <w:t xml:space="preserve">s </w:t>
      </w:r>
      <w:r w:rsidR="00AB4612">
        <w:rPr>
          <w:rFonts w:ascii="Book Antiqua" w:hAnsi="Book Antiqua" w:cs="Arial"/>
        </w:rPr>
        <w:t xml:space="preserve">then </w:t>
      </w:r>
      <w:r>
        <w:rPr>
          <w:rFonts w:ascii="Book Antiqua" w:hAnsi="Book Antiqua" w:cs="Arial"/>
        </w:rPr>
        <w:t>wife being a French national.  They were granted residence cards in 2004 and after that</w:t>
      </w:r>
      <w:r w:rsidR="006F5FD2">
        <w:rPr>
          <w:rFonts w:ascii="Book Antiqua" w:hAnsi="Book Antiqua" w:cs="Arial"/>
        </w:rPr>
        <w:t>,</w:t>
      </w:r>
      <w:r>
        <w:rPr>
          <w:rFonts w:ascii="Book Antiqua" w:hAnsi="Book Antiqua" w:cs="Arial"/>
        </w:rPr>
        <w:t xml:space="preserve"> they had three children born in 2004, 2008 and 2011. </w:t>
      </w:r>
      <w:r w:rsidR="002A24CC">
        <w:rPr>
          <w:rFonts w:ascii="Book Antiqua" w:hAnsi="Book Antiqua" w:cs="Arial"/>
        </w:rPr>
        <w:t xml:space="preserve"> </w:t>
      </w:r>
      <w:r>
        <w:rPr>
          <w:rFonts w:ascii="Book Antiqua" w:hAnsi="Book Antiqua" w:cs="Arial"/>
        </w:rPr>
        <w:t xml:space="preserve">There was an appeal in 2010 </w:t>
      </w:r>
      <w:r w:rsidR="002A24CC">
        <w:rPr>
          <w:rFonts w:ascii="Book Antiqua" w:hAnsi="Book Antiqua" w:cs="Arial"/>
        </w:rPr>
        <w:t>after</w:t>
      </w:r>
      <w:r>
        <w:rPr>
          <w:rFonts w:ascii="Book Antiqua" w:hAnsi="Book Antiqua" w:cs="Arial"/>
        </w:rPr>
        <w:t xml:space="preserve"> which </w:t>
      </w:r>
      <w:r>
        <w:rPr>
          <w:rFonts w:ascii="Book Antiqua" w:hAnsi="Book Antiqua" w:cs="Arial"/>
        </w:rPr>
        <w:lastRenderedPageBreak/>
        <w:t>the appellant was granted a residence card by the respondent valid from 23</w:t>
      </w:r>
      <w:r w:rsidR="00487C9A">
        <w:rPr>
          <w:rFonts w:ascii="Book Antiqua" w:hAnsi="Book Antiqua" w:cs="Arial"/>
        </w:rPr>
        <w:t xml:space="preserve"> </w:t>
      </w:r>
      <w:r>
        <w:rPr>
          <w:rFonts w:ascii="Book Antiqua" w:hAnsi="Book Antiqua" w:cs="Arial"/>
        </w:rPr>
        <w:t>Marc</w:t>
      </w:r>
      <w:bookmarkStart w:id="0" w:name="_GoBack"/>
      <w:bookmarkEnd w:id="0"/>
      <w:r>
        <w:rPr>
          <w:rFonts w:ascii="Book Antiqua" w:hAnsi="Book Antiqua" w:cs="Arial"/>
        </w:rPr>
        <w:t>h 2011 to 3 March 2016 on the basis that his wife an EEA national was exercising treaty rights through her being self-sufficient</w:t>
      </w:r>
      <w:r w:rsidR="006F5FD2">
        <w:rPr>
          <w:rFonts w:ascii="Book Antiqua" w:hAnsi="Book Antiqua" w:cs="Arial"/>
        </w:rPr>
        <w:t>, that is, dependent on him</w:t>
      </w:r>
      <w:r>
        <w:rPr>
          <w:rFonts w:ascii="Book Antiqua" w:hAnsi="Book Antiqua" w:cs="Arial"/>
        </w:rPr>
        <w:t xml:space="preserve">.  </w:t>
      </w:r>
    </w:p>
    <w:p w:rsidR="00FE64C2" w:rsidRDefault="00A903AC" w:rsidP="00FE64C2">
      <w:pPr>
        <w:numPr>
          <w:ilvl w:val="0"/>
          <w:numId w:val="1"/>
        </w:numPr>
        <w:tabs>
          <w:tab w:val="clear" w:pos="567"/>
        </w:tabs>
        <w:spacing w:before="240"/>
        <w:jc w:val="both"/>
        <w:rPr>
          <w:rFonts w:ascii="Book Antiqua" w:hAnsi="Book Antiqua" w:cs="Arial"/>
        </w:rPr>
      </w:pPr>
      <w:r>
        <w:rPr>
          <w:rFonts w:ascii="Book Antiqua" w:hAnsi="Book Antiqua" w:cs="Arial"/>
        </w:rPr>
        <w:t>I pause at that point to observe</w:t>
      </w:r>
      <w:r w:rsidR="0060569E">
        <w:rPr>
          <w:rFonts w:ascii="Book Antiqua" w:hAnsi="Book Antiqua" w:cs="Arial"/>
        </w:rPr>
        <w:t xml:space="preserve"> that although this was not the case put</w:t>
      </w:r>
      <w:r w:rsidR="006F5FD2">
        <w:rPr>
          <w:rFonts w:ascii="Book Antiqua" w:hAnsi="Book Antiqua" w:cs="Arial"/>
        </w:rPr>
        <w:t>,</w:t>
      </w:r>
      <w:r w:rsidR="0060569E">
        <w:rPr>
          <w:rFonts w:ascii="Book Antiqua" w:hAnsi="Book Antiqua" w:cs="Arial"/>
        </w:rPr>
        <w:t xml:space="preserve"> it may well be that the former wife had acquired permanent residence</w:t>
      </w:r>
      <w:r w:rsidR="006F5FD2">
        <w:rPr>
          <w:rFonts w:ascii="Book Antiqua" w:hAnsi="Book Antiqua" w:cs="Arial"/>
        </w:rPr>
        <w:t xml:space="preserve"> at some point after 2008</w:t>
      </w:r>
      <w:r w:rsidR="0060569E">
        <w:rPr>
          <w:rFonts w:ascii="Book Antiqua" w:hAnsi="Book Antiqua" w:cs="Arial"/>
        </w:rPr>
        <w:t xml:space="preserve">.  It is evident that she was working at some point from her arrival in 2003 and it may well be that she continued </w:t>
      </w:r>
      <w:r w:rsidR="005C1B31">
        <w:rPr>
          <w:rFonts w:ascii="Book Antiqua" w:hAnsi="Book Antiqua" w:cs="Arial"/>
        </w:rPr>
        <w:t>to be a worker</w:t>
      </w:r>
      <w:r w:rsidR="0060569E">
        <w:rPr>
          <w:rFonts w:ascii="Book Antiqua" w:hAnsi="Book Antiqua" w:cs="Arial"/>
        </w:rPr>
        <w:t xml:space="preserve"> either</w:t>
      </w:r>
      <w:r w:rsidR="005C1B31">
        <w:rPr>
          <w:rFonts w:ascii="Book Antiqua" w:hAnsi="Book Antiqua" w:cs="Arial"/>
        </w:rPr>
        <w:t xml:space="preserve"> due to the circumstances in her ceasing work</w:t>
      </w:r>
      <w:r w:rsidR="0060569E">
        <w:rPr>
          <w:rFonts w:ascii="Book Antiqua" w:hAnsi="Book Antiqua" w:cs="Arial"/>
        </w:rPr>
        <w:t xml:space="preserve"> or </w:t>
      </w:r>
      <w:r w:rsidR="005C1B31">
        <w:rPr>
          <w:rFonts w:ascii="Book Antiqua" w:hAnsi="Book Antiqua" w:cs="Arial"/>
        </w:rPr>
        <w:t>it</w:t>
      </w:r>
      <w:r w:rsidR="0060569E">
        <w:rPr>
          <w:rFonts w:ascii="Book Antiqua" w:hAnsi="Book Antiqua" w:cs="Arial"/>
        </w:rPr>
        <w:t xml:space="preserve"> may also be that she was entitled to benefit from </w:t>
      </w:r>
      <w:r w:rsidR="005C1B31" w:rsidRPr="00FE64C2">
        <w:rPr>
          <w:rFonts w:ascii="Book Antiqua" w:hAnsi="Book Antiqua" w:cs="Arial"/>
          <w:u w:val="single"/>
        </w:rPr>
        <w:t>St Prix</w:t>
      </w:r>
      <w:r w:rsidR="005C1B31">
        <w:rPr>
          <w:rFonts w:ascii="Book Antiqua" w:hAnsi="Book Antiqua" w:cs="Arial"/>
        </w:rPr>
        <w:t xml:space="preserve"> </w:t>
      </w:r>
      <w:r w:rsidR="0060569E">
        <w:rPr>
          <w:rFonts w:ascii="Book Antiqua" w:hAnsi="Book Antiqua" w:cs="Arial"/>
        </w:rPr>
        <w:t xml:space="preserve"> </w:t>
      </w:r>
      <w:r w:rsidR="005C1B31">
        <w:rPr>
          <w:rFonts w:ascii="Book Antiqua" w:hAnsi="Book Antiqua" w:cs="Arial"/>
        </w:rPr>
        <w:t>( see</w:t>
      </w:r>
      <w:r w:rsidR="0060569E">
        <w:rPr>
          <w:rFonts w:ascii="Book Antiqua" w:hAnsi="Book Antiqua" w:cs="Arial"/>
        </w:rPr>
        <w:t xml:space="preserve"> </w:t>
      </w:r>
      <w:proofErr w:type="spellStart"/>
      <w:r w:rsidR="00E27FF6" w:rsidRPr="00FE64C2">
        <w:rPr>
          <w:rFonts w:ascii="Book Antiqua" w:hAnsi="Book Antiqua" w:cs="Arial"/>
          <w:u w:val="single"/>
        </w:rPr>
        <w:t>Weldemichael</w:t>
      </w:r>
      <w:proofErr w:type="spellEnd"/>
      <w:r w:rsidR="00E27FF6" w:rsidRPr="00FE64C2">
        <w:rPr>
          <w:rFonts w:ascii="Book Antiqua" w:hAnsi="Book Antiqua" w:cs="Arial"/>
          <w:u w:val="single"/>
        </w:rPr>
        <w:t xml:space="preserve"> and another ( St Prix </w:t>
      </w:r>
      <w:hyperlink r:id="rId8" w:tooltip="Link to BAILII version" w:history="1">
        <w:r w:rsidR="00E27FF6" w:rsidRPr="00FE64C2">
          <w:rPr>
            <w:rFonts w:cs="Arial"/>
            <w:u w:val="single"/>
          </w:rPr>
          <w:t>[2014] EUECJ C-507/12</w:t>
        </w:r>
      </w:hyperlink>
      <w:r w:rsidR="00E27FF6" w:rsidRPr="00FE64C2">
        <w:rPr>
          <w:rFonts w:ascii="Book Antiqua" w:hAnsi="Book Antiqua" w:cs="Arial"/>
          <w:u w:val="single"/>
        </w:rPr>
        <w:t>; effect )</w:t>
      </w:r>
      <w:r w:rsidR="00E27FF6" w:rsidRPr="00E27FF6">
        <w:rPr>
          <w:rFonts w:ascii="Book Antiqua" w:hAnsi="Book Antiqua" w:cs="Arial"/>
        </w:rPr>
        <w:t xml:space="preserve"> [2015] UKUT 540 (IAC)</w:t>
      </w:r>
      <w:r w:rsidR="00FE64C2">
        <w:rPr>
          <w:rFonts w:ascii="Book Antiqua" w:hAnsi="Book Antiqua" w:cs="Arial"/>
        </w:rPr>
        <w:t>.</w:t>
      </w:r>
    </w:p>
    <w:p w:rsidR="00BF23BB" w:rsidRPr="00FE64C2" w:rsidRDefault="0060569E" w:rsidP="00FE64C2">
      <w:pPr>
        <w:numPr>
          <w:ilvl w:val="0"/>
          <w:numId w:val="1"/>
        </w:numPr>
        <w:tabs>
          <w:tab w:val="clear" w:pos="567"/>
        </w:tabs>
        <w:spacing w:before="240"/>
        <w:jc w:val="both"/>
        <w:rPr>
          <w:rFonts w:ascii="Book Antiqua" w:hAnsi="Book Antiqua" w:cs="Arial"/>
        </w:rPr>
      </w:pPr>
      <w:r w:rsidRPr="00FE64C2">
        <w:rPr>
          <w:rFonts w:ascii="Book Antiqua" w:hAnsi="Book Antiqua" w:cs="Arial"/>
        </w:rPr>
        <w:t xml:space="preserve">It is also </w:t>
      </w:r>
      <w:r w:rsidR="002400DB" w:rsidRPr="00FE64C2">
        <w:rPr>
          <w:rFonts w:ascii="Book Antiqua" w:hAnsi="Book Antiqua" w:cs="Arial"/>
        </w:rPr>
        <w:t>to be noted that</w:t>
      </w:r>
      <w:r w:rsidRPr="00FE64C2">
        <w:rPr>
          <w:rFonts w:ascii="Book Antiqua" w:hAnsi="Book Antiqua" w:cs="Arial"/>
        </w:rPr>
        <w:t xml:space="preserve"> in 2010 the European Court of Justice ha</w:t>
      </w:r>
      <w:r w:rsidR="002A24CC" w:rsidRPr="00FE64C2">
        <w:rPr>
          <w:rFonts w:ascii="Book Antiqua" w:hAnsi="Book Antiqua" w:cs="Arial"/>
        </w:rPr>
        <w:t>d</w:t>
      </w:r>
      <w:r w:rsidRPr="00FE64C2">
        <w:rPr>
          <w:rFonts w:ascii="Book Antiqua" w:hAnsi="Book Antiqua" w:cs="Arial"/>
        </w:rPr>
        <w:t xml:space="preserve"> not</w:t>
      </w:r>
      <w:r w:rsidR="002400DB" w:rsidRPr="00FE64C2">
        <w:rPr>
          <w:rFonts w:ascii="Book Antiqua" w:hAnsi="Book Antiqua" w:cs="Arial"/>
        </w:rPr>
        <w:t xml:space="preserve"> yet</w:t>
      </w:r>
      <w:r w:rsidRPr="00FE64C2">
        <w:rPr>
          <w:rFonts w:ascii="Book Antiqua" w:hAnsi="Book Antiqua" w:cs="Arial"/>
        </w:rPr>
        <w:t xml:space="preserve"> clarified that time spent in the United Kingdom or indeed any other Member State prior to 2006 </w:t>
      </w:r>
      <w:r w:rsidR="001076B6" w:rsidRPr="00FE64C2">
        <w:rPr>
          <w:rFonts w:ascii="Book Antiqua" w:hAnsi="Book Antiqua" w:cs="Arial"/>
        </w:rPr>
        <w:t>of</w:t>
      </w:r>
      <w:r w:rsidRPr="00FE64C2">
        <w:rPr>
          <w:rFonts w:ascii="Book Antiqua" w:hAnsi="Book Antiqua" w:cs="Arial"/>
        </w:rPr>
        <w:t xml:space="preserve"> the entry into force of </w:t>
      </w:r>
      <w:r w:rsidR="00202A70">
        <w:rPr>
          <w:rFonts w:ascii="Book Antiqua" w:hAnsi="Book Antiqua" w:cs="Arial"/>
        </w:rPr>
        <w:t xml:space="preserve">Directive 2004/38/EC </w:t>
      </w:r>
      <w:r w:rsidR="004E7860">
        <w:rPr>
          <w:rFonts w:ascii="Book Antiqua" w:hAnsi="Book Antiqua" w:cs="Arial"/>
        </w:rPr>
        <w:t xml:space="preserve">(“the </w:t>
      </w:r>
      <w:r w:rsidR="002400DB" w:rsidRPr="00FE64C2">
        <w:rPr>
          <w:rFonts w:ascii="Book Antiqua" w:hAnsi="Book Antiqua" w:cs="Arial"/>
        </w:rPr>
        <w:t>Cit</w:t>
      </w:r>
      <w:r w:rsidR="000C13F2" w:rsidRPr="00FE64C2">
        <w:rPr>
          <w:rFonts w:ascii="Book Antiqua" w:hAnsi="Book Antiqua" w:cs="Arial"/>
        </w:rPr>
        <w:t>izenship Directive</w:t>
      </w:r>
      <w:r w:rsidR="004E7860">
        <w:rPr>
          <w:rFonts w:ascii="Book Antiqua" w:hAnsi="Book Antiqua" w:cs="Arial"/>
        </w:rPr>
        <w:t>”)</w:t>
      </w:r>
      <w:r w:rsidRPr="00FE64C2">
        <w:rPr>
          <w:rFonts w:ascii="Book Antiqua" w:hAnsi="Book Antiqua" w:cs="Arial"/>
        </w:rPr>
        <w:t>, that time spent prior to that date could be counted towards the acquisition of permanent residence.  As I have said these are not relevant to the facts of th</w:t>
      </w:r>
      <w:r w:rsidR="00487C9A" w:rsidRPr="00FE64C2">
        <w:rPr>
          <w:rFonts w:ascii="Book Antiqua" w:hAnsi="Book Antiqua" w:cs="Arial"/>
        </w:rPr>
        <w:t>i</w:t>
      </w:r>
      <w:r w:rsidRPr="00FE64C2">
        <w:rPr>
          <w:rFonts w:ascii="Book Antiqua" w:hAnsi="Book Antiqua" w:cs="Arial"/>
        </w:rPr>
        <w:t xml:space="preserve">s case as </w:t>
      </w:r>
      <w:r w:rsidR="002A24CC" w:rsidRPr="00FE64C2">
        <w:rPr>
          <w:rFonts w:ascii="Book Antiqua" w:hAnsi="Book Antiqua" w:cs="Arial"/>
        </w:rPr>
        <w:t>it</w:t>
      </w:r>
      <w:r w:rsidRPr="00FE64C2">
        <w:rPr>
          <w:rFonts w:ascii="Book Antiqua" w:hAnsi="Book Antiqua" w:cs="Arial"/>
        </w:rPr>
        <w:t xml:space="preserve"> is not the case that w</w:t>
      </w:r>
      <w:r w:rsidR="00487C9A" w:rsidRPr="00FE64C2">
        <w:rPr>
          <w:rFonts w:ascii="Book Antiqua" w:hAnsi="Book Antiqua" w:cs="Arial"/>
        </w:rPr>
        <w:t>a</w:t>
      </w:r>
      <w:r w:rsidRPr="00FE64C2">
        <w:rPr>
          <w:rFonts w:ascii="Book Antiqua" w:hAnsi="Book Antiqua" w:cs="Arial"/>
        </w:rPr>
        <w:t>s put to the judge but it does not mean that on the basis of further investigations a</w:t>
      </w:r>
      <w:r w:rsidR="006E34E6" w:rsidRPr="00FE64C2">
        <w:rPr>
          <w:rFonts w:ascii="Book Antiqua" w:hAnsi="Book Antiqua" w:cs="Arial"/>
        </w:rPr>
        <w:t xml:space="preserve"> further </w:t>
      </w:r>
      <w:r w:rsidRPr="00FE64C2">
        <w:rPr>
          <w:rFonts w:ascii="Book Antiqua" w:hAnsi="Book Antiqua" w:cs="Arial"/>
        </w:rPr>
        <w:t>application could not be made taking into account all of those factors.</w:t>
      </w:r>
    </w:p>
    <w:p w:rsidR="0060569E" w:rsidRDefault="006056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Returning to this appeal the divorce petition was lodged in 2014 </w:t>
      </w:r>
      <w:r w:rsidR="006E34E6">
        <w:rPr>
          <w:rFonts w:ascii="Book Antiqua" w:hAnsi="Book Antiqua" w:cs="Arial"/>
        </w:rPr>
        <w:t>and the</w:t>
      </w:r>
      <w:r>
        <w:rPr>
          <w:rFonts w:ascii="Book Antiqua" w:hAnsi="Book Antiqua" w:cs="Arial"/>
        </w:rPr>
        <w:t xml:space="preserve"> decree absolute was granted on 26 February 2015.  On 9 March 2016 the app</w:t>
      </w:r>
      <w:r w:rsidR="006E34E6">
        <w:rPr>
          <w:rFonts w:ascii="Book Antiqua" w:hAnsi="Book Antiqua" w:cs="Arial"/>
        </w:rPr>
        <w:t>ellant</w:t>
      </w:r>
      <w:r>
        <w:rPr>
          <w:rFonts w:ascii="Book Antiqua" w:hAnsi="Book Antiqua" w:cs="Arial"/>
        </w:rPr>
        <w:t xml:space="preserve"> made an application for a permanent right of residence on the basis of his retained rights.  It is evident that he in that application relied firstly on having been entitled to residence in the United Kingdom under the EEA Regulations on the basis that he w</w:t>
      </w:r>
      <w:r w:rsidR="00487C9A">
        <w:rPr>
          <w:rFonts w:ascii="Book Antiqua" w:hAnsi="Book Antiqua" w:cs="Arial"/>
        </w:rPr>
        <w:t>a</w:t>
      </w:r>
      <w:r>
        <w:rPr>
          <w:rFonts w:ascii="Book Antiqua" w:hAnsi="Book Antiqua" w:cs="Arial"/>
        </w:rPr>
        <w:t>s the spouse and therefore</w:t>
      </w:r>
      <w:r w:rsidR="002A24CC">
        <w:rPr>
          <w:rFonts w:ascii="Book Antiqua" w:hAnsi="Book Antiqua" w:cs="Arial"/>
        </w:rPr>
        <w:t xml:space="preserve"> a</w:t>
      </w:r>
      <w:r>
        <w:rPr>
          <w:rFonts w:ascii="Book Antiqua" w:hAnsi="Book Antiqua" w:cs="Arial"/>
        </w:rPr>
        <w:t xml:space="preserve"> family member of a qualified person that is his wife who through being self-sufficient was a qualified person for the purposes of the Regulations.  The applicant also says that he has retained the right of residence since that as by virtue of Regulation 10(6) he would other than the fact that he is not an EEA national would be a qualified person through being self-employed.</w:t>
      </w:r>
    </w:p>
    <w:p w:rsidR="0060569E" w:rsidRDefault="0060569E" w:rsidP="004D6B45">
      <w:pPr>
        <w:numPr>
          <w:ilvl w:val="0"/>
          <w:numId w:val="1"/>
        </w:numPr>
        <w:tabs>
          <w:tab w:val="clear" w:pos="567"/>
        </w:tabs>
        <w:spacing w:before="240"/>
        <w:jc w:val="both"/>
        <w:rPr>
          <w:rFonts w:ascii="Book Antiqua" w:hAnsi="Book Antiqua" w:cs="Arial"/>
        </w:rPr>
      </w:pPr>
      <w:r>
        <w:rPr>
          <w:rFonts w:ascii="Book Antiqua" w:hAnsi="Book Antiqua" w:cs="Arial"/>
        </w:rPr>
        <w:t>The judge did not accept the account of the appellant’s former wife being self-sufficient nor did she accept that the wife had been the holder of a comprehensive sickness policy at the time of the decree absolute</w:t>
      </w:r>
      <w:r w:rsidR="0016343F">
        <w:rPr>
          <w:rFonts w:ascii="Book Antiqua" w:hAnsi="Book Antiqua" w:cs="Arial"/>
        </w:rPr>
        <w:t>,</w:t>
      </w:r>
      <w:r>
        <w:rPr>
          <w:rFonts w:ascii="Book Antiqua" w:hAnsi="Book Antiqua" w:cs="Arial"/>
        </w:rPr>
        <w:t xml:space="preserve"> the judge noting at 23 that the wife had taken all her paperwork with her</w:t>
      </w:r>
      <w:r w:rsidR="00496C9E">
        <w:rPr>
          <w:rFonts w:ascii="Book Antiqua" w:hAnsi="Book Antiqua" w:cs="Arial"/>
        </w:rPr>
        <w:t>.  The judge did however accept that although there was no court order requiring access and that thus the Appellant could not meet Regul</w:t>
      </w:r>
      <w:r w:rsidR="00487C9A">
        <w:rPr>
          <w:rFonts w:ascii="Book Antiqua" w:hAnsi="Book Antiqua" w:cs="Arial"/>
        </w:rPr>
        <w:t>a</w:t>
      </w:r>
      <w:r w:rsidR="00496C9E">
        <w:rPr>
          <w:rFonts w:ascii="Book Antiqua" w:hAnsi="Book Antiqua" w:cs="Arial"/>
        </w:rPr>
        <w:t xml:space="preserve">tion </w:t>
      </w:r>
      <w:r w:rsidR="00496C9E" w:rsidRPr="001076B6">
        <w:rPr>
          <w:rFonts w:ascii="Book Antiqua" w:hAnsi="Book Antiqua" w:cs="Arial"/>
        </w:rPr>
        <w:t>10(5)(d)(iii)</w:t>
      </w:r>
      <w:r w:rsidR="00496C9E">
        <w:rPr>
          <w:rFonts w:ascii="Book Antiqua" w:hAnsi="Book Antiqua" w:cs="Arial"/>
        </w:rPr>
        <w:t xml:space="preserve"> there was nonetheless an agreed contact order.</w:t>
      </w:r>
    </w:p>
    <w:p w:rsidR="004E7860" w:rsidRDefault="00496C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thrust of the appeal is on the basis that the judge had erred in failing properly to take into account the applicant’s earnings and second had failed properly </w:t>
      </w:r>
      <w:r w:rsidR="0016343F">
        <w:rPr>
          <w:rFonts w:ascii="Book Antiqua" w:hAnsi="Book Antiqua" w:cs="Arial"/>
        </w:rPr>
        <w:t xml:space="preserve">to </w:t>
      </w:r>
      <w:r>
        <w:rPr>
          <w:rFonts w:ascii="Book Antiqua" w:hAnsi="Book Antiqua" w:cs="Arial"/>
        </w:rPr>
        <w:t xml:space="preserve">take into account the evidence of sickness insurance.  Insofar as there is any error in the judge’s approach to the income, I do not consider that this is material.  That is because </w:t>
      </w:r>
      <w:r w:rsidR="00FF6F96">
        <w:rPr>
          <w:rFonts w:ascii="Book Antiqua" w:hAnsi="Book Antiqua" w:cs="Arial"/>
        </w:rPr>
        <w:t>although</w:t>
      </w:r>
      <w:r>
        <w:rPr>
          <w:rFonts w:ascii="Book Antiqua" w:hAnsi="Book Antiqua" w:cs="Arial"/>
        </w:rPr>
        <w:t xml:space="preserve"> his income is in the region of £30,000 </w:t>
      </w:r>
      <w:r w:rsidR="00FF6F96">
        <w:rPr>
          <w:rFonts w:ascii="Book Antiqua" w:hAnsi="Book Antiqua" w:cs="Arial"/>
        </w:rPr>
        <w:t xml:space="preserve">that figure is </w:t>
      </w:r>
      <w:r>
        <w:rPr>
          <w:rFonts w:ascii="Book Antiqua" w:hAnsi="Book Antiqua" w:cs="Arial"/>
        </w:rPr>
        <w:t>relatively recent</w:t>
      </w:r>
      <w:r w:rsidR="00FF6F96">
        <w:rPr>
          <w:rFonts w:ascii="Book Antiqua" w:hAnsi="Book Antiqua" w:cs="Arial"/>
        </w:rPr>
        <w:t xml:space="preserve"> and </w:t>
      </w:r>
      <w:r>
        <w:rPr>
          <w:rFonts w:ascii="Book Antiqua" w:hAnsi="Book Antiqua" w:cs="Arial"/>
        </w:rPr>
        <w:t xml:space="preserve">does not relate to the period in which his wife was self-sufficient on the basis of his earnings.  It is a requirement </w:t>
      </w:r>
      <w:r w:rsidR="006E54E0">
        <w:rPr>
          <w:rFonts w:ascii="Book Antiqua" w:hAnsi="Book Antiqua" w:cs="Arial"/>
        </w:rPr>
        <w:t xml:space="preserve">of the EEA Regulations </w:t>
      </w:r>
      <w:r>
        <w:rPr>
          <w:rFonts w:ascii="Book Antiqua" w:hAnsi="Book Antiqua" w:cs="Arial"/>
        </w:rPr>
        <w:t>that the wife had been self-sufficient or otherwise a qualified person up to at least the date on which she petitioned for divorce.  There is, and M</w:t>
      </w:r>
      <w:r w:rsidR="0016343F">
        <w:rPr>
          <w:rFonts w:ascii="Book Antiqua" w:hAnsi="Book Antiqua" w:cs="Arial"/>
        </w:rPr>
        <w:t>r</w:t>
      </w:r>
      <w:r>
        <w:rPr>
          <w:rFonts w:ascii="Book Antiqua" w:hAnsi="Book Antiqua" w:cs="Arial"/>
        </w:rPr>
        <w:t xml:space="preserve"> So</w:t>
      </w:r>
      <w:r w:rsidR="00487C9A">
        <w:rPr>
          <w:rFonts w:ascii="Book Antiqua" w:hAnsi="Book Antiqua" w:cs="Arial"/>
        </w:rPr>
        <w:t>w</w:t>
      </w:r>
      <w:r>
        <w:rPr>
          <w:rFonts w:ascii="Book Antiqua" w:hAnsi="Book Antiqua" w:cs="Arial"/>
        </w:rPr>
        <w:t xml:space="preserve">erby did not seek to persuade me </w:t>
      </w:r>
      <w:r w:rsidR="006E54E0">
        <w:rPr>
          <w:rFonts w:ascii="Book Antiqua" w:hAnsi="Book Antiqua" w:cs="Arial"/>
        </w:rPr>
        <w:t>to the contrary</w:t>
      </w:r>
      <w:r>
        <w:rPr>
          <w:rFonts w:ascii="Book Antiqua" w:hAnsi="Book Antiqua" w:cs="Arial"/>
        </w:rPr>
        <w:t>, insufficient evidence to show that there was sufficient income such that the wife would be self-</w:t>
      </w:r>
      <w:r>
        <w:rPr>
          <w:rFonts w:ascii="Book Antiqua" w:hAnsi="Book Antiqua" w:cs="Arial"/>
        </w:rPr>
        <w:lastRenderedPageBreak/>
        <w:t xml:space="preserve">sufficient given the relatively low level of money certainly in the early years looking at the profit and loss account for the year ended 5 April 2012 onwards.  </w:t>
      </w:r>
    </w:p>
    <w:p w:rsidR="00496C9E" w:rsidRDefault="00496C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Equally there is no evidence </w:t>
      </w:r>
      <w:r w:rsidR="006E54E0">
        <w:rPr>
          <w:rFonts w:ascii="Book Antiqua" w:hAnsi="Book Antiqua" w:cs="Arial"/>
        </w:rPr>
        <w:t xml:space="preserve">that the wife had comprehensive </w:t>
      </w:r>
      <w:r>
        <w:rPr>
          <w:rFonts w:ascii="Book Antiqua" w:hAnsi="Book Antiqua" w:cs="Arial"/>
        </w:rPr>
        <w:t>sickness insurance so that even if she had been self-sufficient on the basis of the income of her husband, she would not have met the requirement</w:t>
      </w:r>
      <w:r w:rsidR="006E54E0">
        <w:rPr>
          <w:rFonts w:ascii="Book Antiqua" w:hAnsi="Book Antiqua" w:cs="Arial"/>
        </w:rPr>
        <w:t xml:space="preserve"> under the EEA Regulations </w:t>
      </w:r>
      <w:r>
        <w:rPr>
          <w:rFonts w:ascii="Book Antiqua" w:hAnsi="Book Antiqua" w:cs="Arial"/>
        </w:rPr>
        <w:t>to have comprehensive sickness insurance and thus it cannot be shown that she was a qualified person.  There is thus at the very least a significant and major gap in the continuity of the wife being a qualified person on the evidence as provided and on that basis it cannot be said that any error on the part of the judge w</w:t>
      </w:r>
      <w:r w:rsidR="00487C9A">
        <w:rPr>
          <w:rFonts w:ascii="Book Antiqua" w:hAnsi="Book Antiqua" w:cs="Arial"/>
        </w:rPr>
        <w:t>a</w:t>
      </w:r>
      <w:r>
        <w:rPr>
          <w:rFonts w:ascii="Book Antiqua" w:hAnsi="Book Antiqua" w:cs="Arial"/>
        </w:rPr>
        <w:t>s material.</w:t>
      </w:r>
    </w:p>
    <w:p w:rsidR="00496C9E" w:rsidRDefault="00496C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do not consider that the judge could be said to have made any error with regard to the approach to the sickness insurance on the basis that the sickness insurance policy question relates to the appellant and his children and postdates the divorce by a significant period.  There is no requirement on the Appellant himself to have sickness insurance if as he appears </w:t>
      </w:r>
      <w:r w:rsidR="0016343F">
        <w:rPr>
          <w:rFonts w:ascii="Book Antiqua" w:hAnsi="Book Antiqua" w:cs="Arial"/>
        </w:rPr>
        <w:t xml:space="preserve">he </w:t>
      </w:r>
      <w:r>
        <w:rPr>
          <w:rFonts w:ascii="Book Antiqua" w:hAnsi="Book Antiqua" w:cs="Arial"/>
        </w:rPr>
        <w:t>is self-employed and would otherwise meet the requirements of Regulation 10(6).</w:t>
      </w:r>
    </w:p>
    <w:p w:rsidR="001703B8" w:rsidRDefault="00496C9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the matter of the children, the difficulty that arises here is again under either the </w:t>
      </w:r>
      <w:r w:rsidR="00B67996">
        <w:rPr>
          <w:rFonts w:ascii="Book Antiqua" w:hAnsi="Book Antiqua" w:cs="Arial"/>
        </w:rPr>
        <w:t xml:space="preserve">Citizenship </w:t>
      </w:r>
      <w:r>
        <w:rPr>
          <w:rFonts w:ascii="Book Antiqua" w:hAnsi="Book Antiqua" w:cs="Arial"/>
        </w:rPr>
        <w:t xml:space="preserve">Directive or the </w:t>
      </w:r>
      <w:r w:rsidR="00B67996">
        <w:rPr>
          <w:rFonts w:ascii="Book Antiqua" w:hAnsi="Book Antiqua" w:cs="Arial"/>
        </w:rPr>
        <w:t>Regulations</w:t>
      </w:r>
      <w:r>
        <w:rPr>
          <w:rFonts w:ascii="Book Antiqua" w:hAnsi="Book Antiqua" w:cs="Arial"/>
        </w:rPr>
        <w:t xml:space="preserve"> </w:t>
      </w:r>
      <w:proofErr w:type="spellStart"/>
      <w:r>
        <w:rPr>
          <w:rFonts w:ascii="Book Antiqua" w:hAnsi="Book Antiqua" w:cs="Arial"/>
        </w:rPr>
        <w:t>s</w:t>
      </w:r>
      <w:proofErr w:type="spellEnd"/>
      <w:r>
        <w:rPr>
          <w:rFonts w:ascii="Book Antiqua" w:hAnsi="Book Antiqua" w:cs="Arial"/>
        </w:rPr>
        <w:t xml:space="preserve"> the app</w:t>
      </w:r>
      <w:r w:rsidR="00252B93">
        <w:rPr>
          <w:rFonts w:ascii="Book Antiqua" w:hAnsi="Book Antiqua" w:cs="Arial"/>
        </w:rPr>
        <w:t>ellant</w:t>
      </w:r>
      <w:r>
        <w:rPr>
          <w:rFonts w:ascii="Book Antiqua" w:hAnsi="Book Antiqua" w:cs="Arial"/>
        </w:rPr>
        <w:t xml:space="preserve"> again needs to have shown the fact that the wife w</w:t>
      </w:r>
      <w:r w:rsidR="0016343F">
        <w:rPr>
          <w:rFonts w:ascii="Book Antiqua" w:hAnsi="Book Antiqua" w:cs="Arial"/>
        </w:rPr>
        <w:t>a</w:t>
      </w:r>
      <w:r>
        <w:rPr>
          <w:rFonts w:ascii="Book Antiqua" w:hAnsi="Book Antiqua" w:cs="Arial"/>
        </w:rPr>
        <w:t xml:space="preserve">s a qualified person.  That is a requirement set out in Regulation 10(5)(a) and is the requirement </w:t>
      </w:r>
      <w:r w:rsidR="0016343F">
        <w:rPr>
          <w:rFonts w:ascii="Book Antiqua" w:hAnsi="Book Antiqua" w:cs="Arial"/>
        </w:rPr>
        <w:t>which</w:t>
      </w:r>
      <w:r>
        <w:rPr>
          <w:rFonts w:ascii="Book Antiqua" w:hAnsi="Book Antiqua" w:cs="Arial"/>
        </w:rPr>
        <w:t xml:space="preserve"> applies to all the sub-categories in </w:t>
      </w:r>
      <w:r w:rsidR="00AF700B">
        <w:rPr>
          <w:rFonts w:ascii="Book Antiqua" w:hAnsi="Book Antiqua" w:cs="Arial"/>
        </w:rPr>
        <w:t xml:space="preserve">(d)(i) through to (iii).  </w:t>
      </w:r>
      <w:r w:rsidR="00A6745D">
        <w:rPr>
          <w:rFonts w:ascii="Book Antiqua" w:hAnsi="Book Antiqua" w:cs="Arial"/>
        </w:rPr>
        <w:t xml:space="preserve">Thus, if it cannot be shown that the mother was a qualifies person, it cannot be argued that the children meet the requirements of the </w:t>
      </w:r>
      <w:r w:rsidR="00A94F8E">
        <w:rPr>
          <w:rFonts w:ascii="Book Antiqua" w:hAnsi="Book Antiqua" w:cs="Arial"/>
        </w:rPr>
        <w:t>regulations.</w:t>
      </w:r>
    </w:p>
    <w:p w:rsidR="009E6555" w:rsidRDefault="00AF700B" w:rsidP="004D6B45">
      <w:pPr>
        <w:numPr>
          <w:ilvl w:val="0"/>
          <w:numId w:val="1"/>
        </w:numPr>
        <w:tabs>
          <w:tab w:val="clear" w:pos="567"/>
        </w:tabs>
        <w:spacing w:before="240"/>
        <w:jc w:val="both"/>
        <w:rPr>
          <w:rFonts w:ascii="Book Antiqua" w:hAnsi="Book Antiqua" w:cs="Arial"/>
        </w:rPr>
      </w:pPr>
      <w:r>
        <w:rPr>
          <w:rFonts w:ascii="Book Antiqua" w:hAnsi="Book Antiqua" w:cs="Arial"/>
        </w:rPr>
        <w:t>Further</w:t>
      </w:r>
      <w:r w:rsidR="0016343F">
        <w:rPr>
          <w:rFonts w:ascii="Book Antiqua" w:hAnsi="Book Antiqua" w:cs="Arial"/>
        </w:rPr>
        <w:t>,</w:t>
      </w:r>
      <w:r>
        <w:rPr>
          <w:rFonts w:ascii="Book Antiqua" w:hAnsi="Book Antiqua" w:cs="Arial"/>
        </w:rPr>
        <w:t xml:space="preserve"> whilst it may appear that the </w:t>
      </w:r>
      <w:r w:rsidR="001703B8">
        <w:rPr>
          <w:rFonts w:ascii="Book Antiqua" w:hAnsi="Book Antiqua" w:cs="Arial"/>
        </w:rPr>
        <w:t xml:space="preserve">Citizenship </w:t>
      </w:r>
      <w:r>
        <w:rPr>
          <w:rFonts w:ascii="Book Antiqua" w:hAnsi="Book Antiqua" w:cs="Arial"/>
        </w:rPr>
        <w:t>Directive is more generous</w:t>
      </w:r>
      <w:r w:rsidR="001703B8">
        <w:rPr>
          <w:rFonts w:ascii="Book Antiqua" w:hAnsi="Book Antiqua" w:cs="Arial"/>
        </w:rPr>
        <w:t>,</w:t>
      </w:r>
      <w:r>
        <w:rPr>
          <w:rFonts w:ascii="Book Antiqua" w:hAnsi="Book Antiqua" w:cs="Arial"/>
        </w:rPr>
        <w:t xml:space="preserve"> that is only if one looks solely at Article 13</w:t>
      </w:r>
      <w:r w:rsidR="001703B8">
        <w:rPr>
          <w:rFonts w:ascii="Book Antiqua" w:hAnsi="Book Antiqua" w:cs="Arial"/>
        </w:rPr>
        <w:t>.</w:t>
      </w:r>
      <w:r>
        <w:rPr>
          <w:rFonts w:ascii="Book Antiqua" w:hAnsi="Book Antiqua" w:cs="Arial"/>
        </w:rPr>
        <w:t xml:space="preserve"> The difficulty is that as Mr Sowerby in effect conceded</w:t>
      </w:r>
      <w:r w:rsidR="0016343F">
        <w:rPr>
          <w:rFonts w:ascii="Book Antiqua" w:hAnsi="Book Antiqua" w:cs="Arial"/>
        </w:rPr>
        <w:t>,</w:t>
      </w:r>
      <w:r>
        <w:rPr>
          <w:rFonts w:ascii="Book Antiqua" w:hAnsi="Book Antiqua" w:cs="Arial"/>
        </w:rPr>
        <w:t xml:space="preserve"> </w:t>
      </w:r>
      <w:r w:rsidR="001703B8">
        <w:rPr>
          <w:rFonts w:ascii="Book Antiqua" w:hAnsi="Book Antiqua" w:cs="Arial"/>
        </w:rPr>
        <w:t xml:space="preserve">article </w:t>
      </w:r>
      <w:proofErr w:type="gramStart"/>
      <w:r w:rsidR="001703B8">
        <w:rPr>
          <w:rFonts w:ascii="Book Antiqua" w:hAnsi="Book Antiqua" w:cs="Arial"/>
        </w:rPr>
        <w:t xml:space="preserve">13 </w:t>
      </w:r>
      <w:r>
        <w:rPr>
          <w:rFonts w:ascii="Book Antiqua" w:hAnsi="Book Antiqua" w:cs="Arial"/>
        </w:rPr>
        <w:t xml:space="preserve"> is</w:t>
      </w:r>
      <w:proofErr w:type="gramEnd"/>
      <w:r>
        <w:rPr>
          <w:rFonts w:ascii="Book Antiqua" w:hAnsi="Book Antiqua" w:cs="Arial"/>
        </w:rPr>
        <w:t xml:space="preserve"> predicated on </w:t>
      </w:r>
      <w:r w:rsidR="001703B8">
        <w:rPr>
          <w:rFonts w:ascii="Book Antiqua" w:hAnsi="Book Antiqua" w:cs="Arial"/>
        </w:rPr>
        <w:t>the basis</w:t>
      </w:r>
      <w:r>
        <w:rPr>
          <w:rFonts w:ascii="Book Antiqua" w:hAnsi="Book Antiqua" w:cs="Arial"/>
        </w:rPr>
        <w:t xml:space="preserve"> that the person in question </w:t>
      </w:r>
      <w:r w:rsidR="001076B6">
        <w:rPr>
          <w:rFonts w:ascii="Book Antiqua" w:hAnsi="Book Antiqua" w:cs="Arial"/>
        </w:rPr>
        <w:t xml:space="preserve">who </w:t>
      </w:r>
      <w:r>
        <w:rPr>
          <w:rFonts w:ascii="Book Antiqua" w:hAnsi="Book Antiqua" w:cs="Arial"/>
        </w:rPr>
        <w:t>has a right of residence is dependent on that person having been</w:t>
      </w:r>
      <w:r w:rsidR="00E479DE">
        <w:rPr>
          <w:rFonts w:ascii="Book Antiqua" w:hAnsi="Book Antiqua" w:cs="Arial"/>
        </w:rPr>
        <w:t>,</w:t>
      </w:r>
      <w:r>
        <w:rPr>
          <w:rFonts w:ascii="Book Antiqua" w:hAnsi="Book Antiqua" w:cs="Arial"/>
        </w:rPr>
        <w:t xml:space="preserve"> in terms of English law</w:t>
      </w:r>
      <w:r w:rsidR="00E479DE">
        <w:rPr>
          <w:rFonts w:ascii="Book Antiqua" w:hAnsi="Book Antiqua" w:cs="Arial"/>
        </w:rPr>
        <w:t>,</w:t>
      </w:r>
      <w:r>
        <w:rPr>
          <w:rFonts w:ascii="Book Antiqua" w:hAnsi="Book Antiqua" w:cs="Arial"/>
        </w:rPr>
        <w:t xml:space="preserve"> a </w:t>
      </w:r>
      <w:r w:rsidR="00E479DE">
        <w:rPr>
          <w:rFonts w:ascii="Book Antiqua" w:hAnsi="Book Antiqua" w:cs="Arial"/>
        </w:rPr>
        <w:t>“</w:t>
      </w:r>
      <w:r>
        <w:rPr>
          <w:rFonts w:ascii="Book Antiqua" w:hAnsi="Book Antiqua" w:cs="Arial"/>
        </w:rPr>
        <w:t>qualified person</w:t>
      </w:r>
      <w:r w:rsidR="00E479DE">
        <w:rPr>
          <w:rFonts w:ascii="Book Antiqua" w:hAnsi="Book Antiqua" w:cs="Arial"/>
        </w:rPr>
        <w:t xml:space="preserve">”.  </w:t>
      </w:r>
      <w:r w:rsidR="009E6555">
        <w:rPr>
          <w:rFonts w:ascii="Book Antiqua" w:hAnsi="Book Antiqua" w:cs="Arial"/>
        </w:rPr>
        <w:t xml:space="preserve">In short, </w:t>
      </w:r>
      <w:r>
        <w:rPr>
          <w:rFonts w:ascii="Book Antiqua" w:hAnsi="Book Antiqua" w:cs="Arial"/>
        </w:rPr>
        <w:t>they would need to show that they had an extended right of residence under the Directive</w:t>
      </w:r>
      <w:r w:rsidR="009E6555">
        <w:rPr>
          <w:rFonts w:ascii="Book Antiqua" w:hAnsi="Book Antiqua" w:cs="Arial"/>
        </w:rPr>
        <w:t xml:space="preserve"> which cannot be shown as the EEA national – the wife – has not been shown to </w:t>
      </w:r>
      <w:r w:rsidR="00897F77">
        <w:rPr>
          <w:rFonts w:ascii="Book Antiqua" w:hAnsi="Book Antiqua" w:cs="Arial"/>
        </w:rPr>
        <w:t>have been either a qualified person, or to have retained an extended right of residence.</w:t>
      </w:r>
    </w:p>
    <w:p w:rsidR="00496C9E" w:rsidRDefault="00AF700B"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I do not consider that the decision involved any making of any material law capable of affecting the outcome and accordingly on that basis I dismiss the appeal.  I should however add that for the reasons I have already given there are clearly steps which ought to be taken </w:t>
      </w:r>
      <w:r w:rsidR="00897F77">
        <w:rPr>
          <w:rFonts w:ascii="Book Antiqua" w:hAnsi="Book Antiqua" w:cs="Arial"/>
        </w:rPr>
        <w:t xml:space="preserve">by </w:t>
      </w:r>
      <w:r>
        <w:rPr>
          <w:rFonts w:ascii="Book Antiqua" w:hAnsi="Book Antiqua" w:cs="Arial"/>
        </w:rPr>
        <w:t xml:space="preserve">the appellant </w:t>
      </w:r>
      <w:r w:rsidR="00897F77">
        <w:rPr>
          <w:rFonts w:ascii="Book Antiqua" w:hAnsi="Book Antiqua" w:cs="Arial"/>
        </w:rPr>
        <w:t>as he may</w:t>
      </w:r>
      <w:r w:rsidR="00202A70">
        <w:rPr>
          <w:rFonts w:ascii="Book Antiqua" w:hAnsi="Book Antiqua" w:cs="Arial"/>
        </w:rPr>
        <w:t xml:space="preserve"> have acquired permanent residence in the past</w:t>
      </w:r>
      <w:r>
        <w:rPr>
          <w:rFonts w:ascii="Book Antiqua" w:hAnsi="Book Antiqua" w:cs="Arial"/>
        </w:rPr>
        <w:t>.</w:t>
      </w:r>
      <w:r w:rsidR="00A3795B">
        <w:rPr>
          <w:rFonts w:ascii="Book Antiqua" w:hAnsi="Book Antiqua" w:cs="Arial"/>
        </w:rPr>
        <w:t xml:space="preserve">  Further consideration probably also needs to be given to provisions British </w:t>
      </w:r>
      <w:r w:rsidR="00202A70">
        <w:rPr>
          <w:rFonts w:ascii="Book Antiqua" w:hAnsi="Book Antiqua" w:cs="Arial"/>
        </w:rPr>
        <w:t>N</w:t>
      </w:r>
      <w:r w:rsidR="00A3795B">
        <w:rPr>
          <w:rFonts w:ascii="Book Antiqua" w:hAnsi="Book Antiqua" w:cs="Arial"/>
        </w:rPr>
        <w:t xml:space="preserve">ationality </w:t>
      </w:r>
      <w:r w:rsidR="00202A70">
        <w:rPr>
          <w:rFonts w:ascii="Book Antiqua" w:hAnsi="Book Antiqua" w:cs="Arial"/>
        </w:rPr>
        <w:t>L</w:t>
      </w:r>
      <w:r w:rsidR="00A3795B">
        <w:rPr>
          <w:rFonts w:ascii="Book Antiqua" w:hAnsi="Book Antiqua" w:cs="Arial"/>
        </w:rPr>
        <w:t xml:space="preserve">aw as at the date of the birth of at least one of the children, who although </w:t>
      </w:r>
      <w:r w:rsidR="00202A70">
        <w:rPr>
          <w:rFonts w:ascii="Book Antiqua" w:hAnsi="Book Antiqua" w:cs="Arial"/>
        </w:rPr>
        <w:t xml:space="preserve">a </w:t>
      </w:r>
      <w:r w:rsidR="00A3795B">
        <w:rPr>
          <w:rFonts w:ascii="Book Antiqua" w:hAnsi="Book Antiqua" w:cs="Arial"/>
        </w:rPr>
        <w:t>French citizen</w:t>
      </w:r>
      <w:r w:rsidR="00202A70">
        <w:rPr>
          <w:rFonts w:ascii="Book Antiqua" w:hAnsi="Book Antiqua" w:cs="Arial"/>
        </w:rPr>
        <w:t xml:space="preserve"> may </w:t>
      </w:r>
      <w:r w:rsidR="00A3795B">
        <w:rPr>
          <w:rFonts w:ascii="Book Antiqua" w:hAnsi="Book Antiqua" w:cs="Arial"/>
        </w:rPr>
        <w:t xml:space="preserve">at the very least </w:t>
      </w:r>
      <w:r w:rsidR="00202A70">
        <w:rPr>
          <w:rFonts w:ascii="Book Antiqua" w:hAnsi="Book Antiqua" w:cs="Arial"/>
        </w:rPr>
        <w:t xml:space="preserve">be </w:t>
      </w:r>
      <w:r w:rsidR="00A3795B">
        <w:rPr>
          <w:rFonts w:ascii="Book Antiqua" w:hAnsi="Book Antiqua" w:cs="Arial"/>
        </w:rPr>
        <w:t>entitled to registration as a British citizen.</w:t>
      </w:r>
    </w:p>
    <w:p w:rsidR="009870CA" w:rsidRDefault="009870CA" w:rsidP="00D949B7">
      <w:pPr>
        <w:jc w:val="both"/>
        <w:rPr>
          <w:rFonts w:ascii="Book Antiqua" w:hAnsi="Book Antiqua" w:cs="Arial"/>
          <w:b/>
          <w:u w:val="single"/>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Pr="00D949B7" w:rsidRDefault="00A94F8E" w:rsidP="00D949B7">
      <w:pPr>
        <w:jc w:val="both"/>
        <w:rPr>
          <w:rFonts w:ascii="Book Antiqua" w:hAnsi="Book Antiqua" w:cs="Arial"/>
        </w:rPr>
      </w:pPr>
      <w:r>
        <w:rPr>
          <w:rFonts w:ascii="Book Antiqua" w:hAnsi="Book Antiqua" w:cs="Arial"/>
        </w:rPr>
        <w:t>The decision of the First-tier Tribunal did not involve the making of an error of law and I uphold it.</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lastRenderedPageBreak/>
        <w:t>No anonymity direction is made.</w:t>
      </w:r>
    </w:p>
    <w:p w:rsidR="00B95326" w:rsidRDefault="00B95326" w:rsidP="00402B9E">
      <w:pPr>
        <w:tabs>
          <w:tab w:val="left" w:pos="2520"/>
        </w:tabs>
        <w:ind w:left="540" w:hanging="540"/>
        <w:jc w:val="both"/>
        <w:rPr>
          <w:rFonts w:ascii="Book Antiqua" w:hAnsi="Book Antiqua" w:cs="Arial"/>
        </w:rPr>
      </w:pPr>
    </w:p>
    <w:p w:rsidR="00A94F8E" w:rsidRDefault="00A94F8E" w:rsidP="00402B9E">
      <w:pPr>
        <w:tabs>
          <w:tab w:val="left" w:pos="2520"/>
        </w:tabs>
        <w:ind w:left="540" w:hanging="540"/>
        <w:jc w:val="both"/>
        <w:rPr>
          <w:rFonts w:ascii="Book Antiqua" w:hAnsi="Book Antiqua" w:cs="Arial"/>
        </w:rPr>
      </w:pPr>
    </w:p>
    <w:p w:rsidR="003B4F01" w:rsidRPr="009B7433" w:rsidRDefault="003B4F01" w:rsidP="003B4F01">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xml:space="preserve">:  </w:t>
      </w:r>
      <w:r w:rsidR="00BA2A9D">
        <w:rPr>
          <w:rFonts w:ascii="Book Antiqua" w:hAnsi="Book Antiqua" w:cs="Arial"/>
        </w:rPr>
        <w:t>21 August 2018</w:t>
      </w:r>
    </w:p>
    <w:p w:rsidR="003B4F01" w:rsidRPr="009B7433" w:rsidRDefault="00BA2A9D" w:rsidP="003B4F01">
      <w:pPr>
        <w:tabs>
          <w:tab w:val="left" w:pos="2520"/>
        </w:tabs>
        <w:ind w:left="540" w:hanging="540"/>
        <w:jc w:val="both"/>
        <w:rPr>
          <w:rFonts w:ascii="Book Antiqua" w:hAnsi="Book Antiqua" w:cs="Arial"/>
        </w:rPr>
      </w:pPr>
      <w:r>
        <w:rPr>
          <w:rFonts w:ascii="Book Antiqua" w:hAnsi="Book Antiqua"/>
          <w:noProof/>
          <w:color w:val="000000"/>
        </w:rPr>
        <w:drawing>
          <wp:inline distT="0" distB="0" distL="0" distR="0" wp14:anchorId="394E4A90" wp14:editId="0B8F4F68">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3B4F01" w:rsidRDefault="003B4F01" w:rsidP="003B4F01">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sectPr w:rsidR="003B4F01" w:rsidSect="001C109C">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E6E" w:rsidRDefault="00CC5E6E">
      <w:r>
        <w:separator/>
      </w:r>
    </w:p>
  </w:endnote>
  <w:endnote w:type="continuationSeparator" w:id="0">
    <w:p w:rsidR="00CC5E6E" w:rsidRDefault="00CC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380A1D" w:rsidRDefault="008A6059" w:rsidP="00593795">
    <w:pPr>
      <w:pStyle w:val="Footer"/>
      <w:jc w:val="center"/>
      <w:rPr>
        <w:rFonts w:ascii="Book Antiqua" w:hAnsi="Book Antiqua" w:cs="Arial"/>
      </w:rPr>
    </w:pPr>
    <w:r w:rsidRPr="00380A1D">
      <w:rPr>
        <w:rStyle w:val="PageNumber"/>
        <w:rFonts w:ascii="Book Antiqua" w:hAnsi="Book Antiqua" w:cs="Arial"/>
      </w:rPr>
      <w:fldChar w:fldCharType="begin"/>
    </w:r>
    <w:r w:rsidRPr="00380A1D">
      <w:rPr>
        <w:rStyle w:val="PageNumber"/>
        <w:rFonts w:ascii="Book Antiqua" w:hAnsi="Book Antiqua" w:cs="Arial"/>
      </w:rPr>
      <w:instrText xml:space="preserve"> PAGE </w:instrText>
    </w:r>
    <w:r w:rsidRPr="00380A1D">
      <w:rPr>
        <w:rStyle w:val="PageNumber"/>
        <w:rFonts w:ascii="Book Antiqua" w:hAnsi="Book Antiqua" w:cs="Arial"/>
      </w:rPr>
      <w:fldChar w:fldCharType="separate"/>
    </w:r>
    <w:r w:rsidR="00A43FA2">
      <w:rPr>
        <w:rStyle w:val="PageNumber"/>
        <w:rFonts w:ascii="Book Antiqua" w:hAnsi="Book Antiqua" w:cs="Arial"/>
        <w:noProof/>
      </w:rPr>
      <w:t>4</w:t>
    </w:r>
    <w:r w:rsidRPr="00380A1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E6E" w:rsidRDefault="00CC5E6E">
      <w:r>
        <w:separator/>
      </w:r>
    </w:p>
  </w:footnote>
  <w:footnote w:type="continuationSeparator" w:id="0">
    <w:p w:rsidR="00CC5E6E" w:rsidRDefault="00CC5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487C9A">
      <w:rPr>
        <w:rFonts w:ascii="Book Antiqua" w:hAnsi="Book Antiqua" w:cs="Arial"/>
        <w:sz w:val="16"/>
        <w:szCs w:val="16"/>
      </w:rPr>
      <w:t>EA/10904/2016</w:t>
    </w:r>
  </w:p>
  <w:p w:rsidR="00380A1D" w:rsidRPr="009B7433" w:rsidRDefault="00380A1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A5"/>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C13F2"/>
    <w:rsid w:val="000D5D94"/>
    <w:rsid w:val="000F1A0E"/>
    <w:rsid w:val="001076B6"/>
    <w:rsid w:val="001165A7"/>
    <w:rsid w:val="001311C2"/>
    <w:rsid w:val="00151266"/>
    <w:rsid w:val="0016343F"/>
    <w:rsid w:val="0016508E"/>
    <w:rsid w:val="00167D3A"/>
    <w:rsid w:val="001703B8"/>
    <w:rsid w:val="00173F50"/>
    <w:rsid w:val="00185986"/>
    <w:rsid w:val="001A3082"/>
    <w:rsid w:val="001B186A"/>
    <w:rsid w:val="001B2F75"/>
    <w:rsid w:val="001C109C"/>
    <w:rsid w:val="001C6F5F"/>
    <w:rsid w:val="001D6167"/>
    <w:rsid w:val="001F2716"/>
    <w:rsid w:val="001F3AC0"/>
    <w:rsid w:val="00202A70"/>
    <w:rsid w:val="00207617"/>
    <w:rsid w:val="0023134B"/>
    <w:rsid w:val="002400DB"/>
    <w:rsid w:val="00252B93"/>
    <w:rsid w:val="00283659"/>
    <w:rsid w:val="002A24CC"/>
    <w:rsid w:val="002C6BD4"/>
    <w:rsid w:val="002D68BF"/>
    <w:rsid w:val="002E4541"/>
    <w:rsid w:val="002F6B98"/>
    <w:rsid w:val="003235A2"/>
    <w:rsid w:val="00336CBF"/>
    <w:rsid w:val="00343FE3"/>
    <w:rsid w:val="003546C8"/>
    <w:rsid w:val="00380A1D"/>
    <w:rsid w:val="003825D4"/>
    <w:rsid w:val="003A7CF2"/>
    <w:rsid w:val="003B4F01"/>
    <w:rsid w:val="003C5CE5"/>
    <w:rsid w:val="003D6FAD"/>
    <w:rsid w:val="003E267B"/>
    <w:rsid w:val="003E7CD1"/>
    <w:rsid w:val="00402B9E"/>
    <w:rsid w:val="0042037F"/>
    <w:rsid w:val="004249CB"/>
    <w:rsid w:val="0044127D"/>
    <w:rsid w:val="004448DB"/>
    <w:rsid w:val="00446C9A"/>
    <w:rsid w:val="00452F2B"/>
    <w:rsid w:val="00477193"/>
    <w:rsid w:val="00487C9A"/>
    <w:rsid w:val="00496C9E"/>
    <w:rsid w:val="004A1848"/>
    <w:rsid w:val="004A6F4A"/>
    <w:rsid w:val="004B70D7"/>
    <w:rsid w:val="004D6B45"/>
    <w:rsid w:val="004E4717"/>
    <w:rsid w:val="004E7860"/>
    <w:rsid w:val="00507FEC"/>
    <w:rsid w:val="00510F0E"/>
    <w:rsid w:val="0051417F"/>
    <w:rsid w:val="005479E1"/>
    <w:rsid w:val="00553E0A"/>
    <w:rsid w:val="005570FD"/>
    <w:rsid w:val="005575EA"/>
    <w:rsid w:val="005657D0"/>
    <w:rsid w:val="0057790C"/>
    <w:rsid w:val="0059298F"/>
    <w:rsid w:val="00593795"/>
    <w:rsid w:val="005A75FF"/>
    <w:rsid w:val="005C1B31"/>
    <w:rsid w:val="005D10AB"/>
    <w:rsid w:val="00601D8F"/>
    <w:rsid w:val="00605582"/>
    <w:rsid w:val="0060569E"/>
    <w:rsid w:val="00611F34"/>
    <w:rsid w:val="00621FE8"/>
    <w:rsid w:val="006434B6"/>
    <w:rsid w:val="00653E97"/>
    <w:rsid w:val="006667DB"/>
    <w:rsid w:val="00684A74"/>
    <w:rsid w:val="0068620A"/>
    <w:rsid w:val="00690B8A"/>
    <w:rsid w:val="006E34E6"/>
    <w:rsid w:val="006E3E4F"/>
    <w:rsid w:val="006E54E0"/>
    <w:rsid w:val="006F2CF1"/>
    <w:rsid w:val="006F5FD2"/>
    <w:rsid w:val="007038ED"/>
    <w:rsid w:val="00703BC3"/>
    <w:rsid w:val="00704B61"/>
    <w:rsid w:val="0071058C"/>
    <w:rsid w:val="00715A64"/>
    <w:rsid w:val="00740C1F"/>
    <w:rsid w:val="007552A9"/>
    <w:rsid w:val="0075658A"/>
    <w:rsid w:val="00761858"/>
    <w:rsid w:val="00767D59"/>
    <w:rsid w:val="00776E97"/>
    <w:rsid w:val="00780F86"/>
    <w:rsid w:val="007912AD"/>
    <w:rsid w:val="007B0824"/>
    <w:rsid w:val="007B5D3C"/>
    <w:rsid w:val="007C04F4"/>
    <w:rsid w:val="00815011"/>
    <w:rsid w:val="00821B72"/>
    <w:rsid w:val="00823EF2"/>
    <w:rsid w:val="008303B8"/>
    <w:rsid w:val="00833DCE"/>
    <w:rsid w:val="00871D34"/>
    <w:rsid w:val="00897F77"/>
    <w:rsid w:val="008A25EC"/>
    <w:rsid w:val="008A6059"/>
    <w:rsid w:val="008B270C"/>
    <w:rsid w:val="008B5078"/>
    <w:rsid w:val="008C3D3D"/>
    <w:rsid w:val="008D4131"/>
    <w:rsid w:val="008F1932"/>
    <w:rsid w:val="0090151B"/>
    <w:rsid w:val="009042A9"/>
    <w:rsid w:val="00921062"/>
    <w:rsid w:val="009722BC"/>
    <w:rsid w:val="009727A3"/>
    <w:rsid w:val="009870CA"/>
    <w:rsid w:val="00987774"/>
    <w:rsid w:val="00993225"/>
    <w:rsid w:val="009A11E8"/>
    <w:rsid w:val="009B7433"/>
    <w:rsid w:val="009C57C8"/>
    <w:rsid w:val="009E5F9C"/>
    <w:rsid w:val="009E6555"/>
    <w:rsid w:val="009F5220"/>
    <w:rsid w:val="00A07919"/>
    <w:rsid w:val="00A15234"/>
    <w:rsid w:val="00A201AB"/>
    <w:rsid w:val="00A31C8B"/>
    <w:rsid w:val="00A3795B"/>
    <w:rsid w:val="00A43FA2"/>
    <w:rsid w:val="00A47A46"/>
    <w:rsid w:val="00A509FA"/>
    <w:rsid w:val="00A6745D"/>
    <w:rsid w:val="00A845DC"/>
    <w:rsid w:val="00A903AC"/>
    <w:rsid w:val="00A94F8E"/>
    <w:rsid w:val="00AB4612"/>
    <w:rsid w:val="00AF51A5"/>
    <w:rsid w:val="00AF700B"/>
    <w:rsid w:val="00B26AA2"/>
    <w:rsid w:val="00B3524D"/>
    <w:rsid w:val="00B40F69"/>
    <w:rsid w:val="00B46616"/>
    <w:rsid w:val="00B528BB"/>
    <w:rsid w:val="00B67996"/>
    <w:rsid w:val="00B7040A"/>
    <w:rsid w:val="00B83391"/>
    <w:rsid w:val="00B95326"/>
    <w:rsid w:val="00BA2A9D"/>
    <w:rsid w:val="00BD4196"/>
    <w:rsid w:val="00BF22CA"/>
    <w:rsid w:val="00BF23BB"/>
    <w:rsid w:val="00C26032"/>
    <w:rsid w:val="00C345E1"/>
    <w:rsid w:val="00C43BFD"/>
    <w:rsid w:val="00C6048A"/>
    <w:rsid w:val="00CB6E35"/>
    <w:rsid w:val="00CC5E6E"/>
    <w:rsid w:val="00CD3BE9"/>
    <w:rsid w:val="00CE1A46"/>
    <w:rsid w:val="00D20757"/>
    <w:rsid w:val="00D22636"/>
    <w:rsid w:val="00D22AFC"/>
    <w:rsid w:val="00D40FD9"/>
    <w:rsid w:val="00D53769"/>
    <w:rsid w:val="00D6602D"/>
    <w:rsid w:val="00D85C13"/>
    <w:rsid w:val="00D9111A"/>
    <w:rsid w:val="00D91BE3"/>
    <w:rsid w:val="00D949B7"/>
    <w:rsid w:val="00D94AFC"/>
    <w:rsid w:val="00D967B2"/>
    <w:rsid w:val="00DB70AE"/>
    <w:rsid w:val="00DD5071"/>
    <w:rsid w:val="00DD5C39"/>
    <w:rsid w:val="00DE7DB7"/>
    <w:rsid w:val="00E00A0A"/>
    <w:rsid w:val="00E066DE"/>
    <w:rsid w:val="00E07F57"/>
    <w:rsid w:val="00E27FF6"/>
    <w:rsid w:val="00E30683"/>
    <w:rsid w:val="00E42107"/>
    <w:rsid w:val="00E453D8"/>
    <w:rsid w:val="00E479DE"/>
    <w:rsid w:val="00E50BCE"/>
    <w:rsid w:val="00E574BF"/>
    <w:rsid w:val="00E61292"/>
    <w:rsid w:val="00E77C4D"/>
    <w:rsid w:val="00E81D01"/>
    <w:rsid w:val="00EB485A"/>
    <w:rsid w:val="00EE45D8"/>
    <w:rsid w:val="00F22EDA"/>
    <w:rsid w:val="00F5589A"/>
    <w:rsid w:val="00F67804"/>
    <w:rsid w:val="00FC40FA"/>
    <w:rsid w:val="00FE64C2"/>
    <w:rsid w:val="00FF6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8F238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47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u/cases/EUECJ/2014/C50712.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6756</Characters>
  <Application>Microsoft Office Word</Application>
  <DocSecurity>0</DocSecurity>
  <Lines>56</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2018-09-13T15:05:00Z</dcterms:created>
  <dcterms:modified xsi:type="dcterms:W3CDTF">2018-09-13T15:05:00Z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