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D11D0" w:rsidP="00C321B5">
      <w:pPr>
        <w:jc w:val="center"/>
        <w:rPr>
          <w:rFonts w:ascii="Book Antiqua" w:hAnsi="Book Antiqua" w:cs="Arial"/>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A713D6"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A713D6">
        <w:rPr>
          <w:rFonts w:ascii="Book Antiqua" w:hAnsi="Book Antiqua" w:cs="Arial"/>
          <w:b/>
        </w:rPr>
        <w:t xml:space="preserve">   </w:t>
      </w:r>
      <w:proofErr w:type="gramEnd"/>
      <w:r w:rsidR="00A713D6">
        <w:rPr>
          <w:rFonts w:ascii="Book Antiqua" w:hAnsi="Book Antiqua" w:cs="Arial"/>
          <w:b/>
        </w:rPr>
        <w:t xml:space="preserve">                    </w:t>
      </w:r>
      <w:r w:rsidR="00B3524D" w:rsidRPr="00A713D6">
        <w:rPr>
          <w:rFonts w:ascii="Book Antiqua" w:hAnsi="Book Antiqua" w:cs="Arial"/>
          <w:b/>
        </w:rPr>
        <w:t>Appeal Number</w:t>
      </w:r>
      <w:r w:rsidR="00D53769" w:rsidRPr="00A713D6">
        <w:rPr>
          <w:rFonts w:ascii="Book Antiqua" w:hAnsi="Book Antiqua" w:cs="Arial"/>
          <w:b/>
        </w:rPr>
        <w:t>:</w:t>
      </w:r>
      <w:r w:rsidR="00B3524D" w:rsidRPr="00A713D6">
        <w:rPr>
          <w:rFonts w:ascii="Book Antiqua" w:hAnsi="Book Antiqua" w:cs="Arial"/>
          <w:b/>
        </w:rPr>
        <w:t xml:space="preserve"> </w:t>
      </w:r>
      <w:r w:rsidR="00D96514" w:rsidRPr="00A713D6">
        <w:rPr>
          <w:rFonts w:ascii="Book Antiqua" w:hAnsi="Book Antiqua" w:cs="Arial"/>
          <w:b/>
          <w:caps/>
        </w:rPr>
        <w:t>EA/11471/2016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F5664C" w:rsidTr="00A713D6">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D96514">
              <w:rPr>
                <w:rFonts w:ascii="Book Antiqua" w:hAnsi="Book Antiqua" w:cs="Arial"/>
                <w:b/>
              </w:rPr>
              <w:t>Bradford</w:t>
            </w:r>
          </w:p>
        </w:tc>
        <w:tc>
          <w:tcPr>
            <w:tcW w:w="4763" w:type="dxa"/>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A713D6">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96514">
              <w:rPr>
                <w:rFonts w:ascii="Book Antiqua" w:hAnsi="Book Antiqua" w:cs="Arial"/>
                <w:b/>
              </w:rPr>
              <w:t>11 June 2018</w:t>
            </w:r>
          </w:p>
        </w:tc>
        <w:tc>
          <w:tcPr>
            <w:tcW w:w="4763" w:type="dxa"/>
          </w:tcPr>
          <w:p w:rsidR="00D22636" w:rsidRPr="00F5664C" w:rsidRDefault="00995291" w:rsidP="004A1848">
            <w:pPr>
              <w:jc w:val="both"/>
              <w:rPr>
                <w:rFonts w:ascii="Book Antiqua" w:hAnsi="Book Antiqua" w:cs="Arial"/>
                <w:b/>
              </w:rPr>
            </w:pPr>
            <w:r>
              <w:rPr>
                <w:rFonts w:ascii="Book Antiqua" w:hAnsi="Book Antiqua" w:cs="Arial"/>
                <w:b/>
              </w:rPr>
              <w:t>On 12 July 2018</w:t>
            </w:r>
          </w:p>
        </w:tc>
      </w:tr>
      <w:tr w:rsidR="00D22636" w:rsidRPr="00F5664C" w:rsidTr="00A713D6">
        <w:tc>
          <w:tcPr>
            <w:tcW w:w="5245" w:type="dxa"/>
          </w:tcPr>
          <w:p w:rsidR="00D22636" w:rsidRPr="00F5664C" w:rsidRDefault="00D22636" w:rsidP="004A1848">
            <w:pPr>
              <w:jc w:val="both"/>
              <w:rPr>
                <w:rFonts w:ascii="Book Antiqua" w:hAnsi="Book Antiqua" w:cs="Arial"/>
                <w:b/>
              </w:rPr>
            </w:pPr>
          </w:p>
        </w:tc>
        <w:tc>
          <w:tcPr>
            <w:tcW w:w="4763"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96514" w:rsidP="00742A8D">
      <w:pPr>
        <w:jc w:val="center"/>
        <w:rPr>
          <w:rFonts w:ascii="Book Antiqua" w:hAnsi="Book Antiqua" w:cs="Arial"/>
          <w:b/>
          <w:caps/>
        </w:rPr>
      </w:pPr>
      <w:r>
        <w:rPr>
          <w:rFonts w:ascii="Book Antiqua" w:hAnsi="Book Antiqua" w:cs="Arial"/>
          <w:b/>
          <w:caps/>
        </w:rPr>
        <w:t>nosheen zahid</w:t>
      </w:r>
    </w:p>
    <w:p w:rsidR="008508AD" w:rsidRPr="00A713D6" w:rsidRDefault="008508AD" w:rsidP="008508AD">
      <w:pPr>
        <w:jc w:val="center"/>
        <w:rPr>
          <w:rFonts w:ascii="Book Antiqua" w:hAnsi="Book Antiqua" w:cs="Arial"/>
          <w:caps/>
        </w:rPr>
      </w:pPr>
      <w:r w:rsidRPr="00A713D6">
        <w:rPr>
          <w:rFonts w:ascii="Book Antiqua" w:hAnsi="Book Antiqua" w:cs="Arial"/>
          <w:caps/>
        </w:rPr>
        <w:t xml:space="preserve">(ANONYMITY DIRECTION </w:t>
      </w:r>
      <w:r w:rsidR="00D96514" w:rsidRPr="00A713D6">
        <w:rPr>
          <w:rFonts w:ascii="Book Antiqua" w:hAnsi="Book Antiqua" w:cs="Arial"/>
          <w:caps/>
        </w:rPr>
        <w:t>not made</w:t>
      </w:r>
      <w:r w:rsidRPr="00A713D6">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A713D6" w:rsidRPr="00F5664C" w:rsidRDefault="00A713D6"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D96514">
        <w:rPr>
          <w:rFonts w:ascii="Book Antiqua" w:hAnsi="Book Antiqua" w:cs="Arial"/>
        </w:rPr>
        <w:t xml:space="preserve">Mr Ghafoor, Ghafoors </w:t>
      </w:r>
      <w:r w:rsidR="00233DE8">
        <w:rPr>
          <w:rFonts w:ascii="Book Antiqua" w:hAnsi="Book Antiqua" w:cs="Arial"/>
        </w:rPr>
        <w:t>Immigration</w:t>
      </w:r>
      <w:r w:rsidR="00D96514">
        <w:rPr>
          <w:rFonts w:ascii="Book Antiqua" w:hAnsi="Book Antiqua" w:cs="Arial"/>
        </w:rPr>
        <w:t xml:space="preserve"> Service</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D96514">
        <w:rPr>
          <w:rFonts w:ascii="Book Antiqua" w:hAnsi="Book Antiqua" w:cs="Arial"/>
        </w:rPr>
        <w:t>Mr Mills,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0F76DE" w:rsidRDefault="00D96514" w:rsidP="000F76DE">
      <w:pPr>
        <w:numPr>
          <w:ilvl w:val="0"/>
          <w:numId w:val="3"/>
        </w:numPr>
        <w:spacing w:before="240"/>
        <w:jc w:val="both"/>
        <w:rPr>
          <w:rFonts w:ascii="Book Antiqua" w:hAnsi="Book Antiqua" w:cs="Arial"/>
        </w:rPr>
      </w:pPr>
      <w:r>
        <w:rPr>
          <w:rFonts w:ascii="Book Antiqua" w:hAnsi="Book Antiqua" w:cs="Arial"/>
        </w:rPr>
        <w:t>The appellant</w:t>
      </w:r>
      <w:r w:rsidR="00F50C4B">
        <w:rPr>
          <w:rFonts w:ascii="Book Antiqua" w:hAnsi="Book Antiqua" w:cs="Arial"/>
        </w:rPr>
        <w:t>,</w:t>
      </w:r>
      <w:r>
        <w:rPr>
          <w:rFonts w:ascii="Book Antiqua" w:hAnsi="Book Antiqua" w:cs="Arial"/>
        </w:rPr>
        <w:t xml:space="preserve"> </w:t>
      </w:r>
      <w:proofErr w:type="spellStart"/>
      <w:r>
        <w:rPr>
          <w:rFonts w:ascii="Book Antiqua" w:hAnsi="Book Antiqua" w:cs="Arial"/>
        </w:rPr>
        <w:t>Nosheen</w:t>
      </w:r>
      <w:proofErr w:type="spellEnd"/>
      <w:r>
        <w:rPr>
          <w:rFonts w:ascii="Book Antiqua" w:hAnsi="Book Antiqua" w:cs="Arial"/>
        </w:rPr>
        <w:t xml:space="preserve"> Zahid, was born on 9 March 1989 and is a female citizen of Pakistan.  She is married to Zahid Ayub (hereafter referred to as the sponsor).  She applied for a residence card as confirmation of a right to reside in the United Kingdom.  Her application was refused by a decision of the respondent dated 21 January 2016.  The appellant appealed to the First-tier Tribunal (Judge Frazer) which, in a decision promulgated on 4 October 2017, dismissed the appeal.</w:t>
      </w:r>
      <w:r w:rsidR="00A67713">
        <w:rPr>
          <w:rFonts w:ascii="Book Antiqua" w:hAnsi="Book Antiqua" w:cs="Arial"/>
        </w:rPr>
        <w:t xml:space="preserve">  The appellant</w:t>
      </w:r>
      <w:r w:rsidR="0013006A">
        <w:rPr>
          <w:rFonts w:ascii="Book Antiqua" w:hAnsi="Book Antiqua" w:cs="Arial"/>
        </w:rPr>
        <w:t xml:space="preserve"> now appeals, with permission, to the Upper Tribunal.</w:t>
      </w:r>
    </w:p>
    <w:p w:rsidR="0013006A" w:rsidRDefault="0013006A" w:rsidP="000F76DE">
      <w:pPr>
        <w:numPr>
          <w:ilvl w:val="0"/>
          <w:numId w:val="3"/>
        </w:numPr>
        <w:spacing w:before="240"/>
        <w:jc w:val="both"/>
        <w:rPr>
          <w:rFonts w:ascii="Book Antiqua" w:hAnsi="Book Antiqua" w:cs="Arial"/>
        </w:rPr>
      </w:pPr>
      <w:r>
        <w:rPr>
          <w:rFonts w:ascii="Book Antiqua" w:hAnsi="Book Antiqua" w:cs="Arial"/>
        </w:rPr>
        <w:lastRenderedPageBreak/>
        <w:t>The appellant and sponsor married in Pakistan on 21 May 2012.  The sponsor is</w:t>
      </w:r>
      <w:bookmarkStart w:id="0" w:name="_GoBack"/>
      <w:bookmarkEnd w:id="0"/>
      <w:r>
        <w:rPr>
          <w:rFonts w:ascii="Book Antiqua" w:hAnsi="Book Antiqua" w:cs="Arial"/>
        </w:rPr>
        <w:t xml:space="preserve"> a British citizen.  He was granted a visa by the Irish authorities from 21 October 2014 to 20 January 2015 and again from 17 February 2015 till 18 August 2015.  He moved to Ireland because he claimed that the</w:t>
      </w:r>
      <w:r w:rsidR="00A67713">
        <w:rPr>
          <w:rFonts w:ascii="Book Antiqua" w:hAnsi="Book Antiqua" w:cs="Arial"/>
        </w:rPr>
        <w:t>re</w:t>
      </w:r>
      <w:r>
        <w:rPr>
          <w:rFonts w:ascii="Book Antiqua" w:hAnsi="Book Antiqua" w:cs="Arial"/>
        </w:rPr>
        <w:t xml:space="preserve"> were better job opportunities in that country.  The appellant and sponsor lived in Ireland from 25 November 2014 until 2 April 2015 when they returned to the United Kingdom.  The Secretary of State considered that the appellant had failed to satisfy the requirements of Regula</w:t>
      </w:r>
      <w:r w:rsidR="00F50C4B">
        <w:rPr>
          <w:rFonts w:ascii="Book Antiqua" w:hAnsi="Book Antiqua" w:cs="Arial"/>
        </w:rPr>
        <w:t>tion 9 of the 2016 Regulations:</w:t>
      </w:r>
    </w:p>
    <w:p w:rsidR="00F50C4B" w:rsidRPr="00F50C4B" w:rsidRDefault="00F50C4B" w:rsidP="00F50C4B">
      <w:pPr>
        <w:spacing w:before="240"/>
        <w:ind w:left="1134"/>
        <w:jc w:val="both"/>
        <w:rPr>
          <w:rFonts w:ascii="Book Antiqua" w:hAnsi="Book Antiqua" w:cs="Arial"/>
          <w:b/>
          <w:sz w:val="22"/>
          <w:szCs w:val="22"/>
        </w:rPr>
      </w:pPr>
      <w:r w:rsidRPr="00F50C4B">
        <w:rPr>
          <w:rFonts w:ascii="Book Antiqua" w:hAnsi="Book Antiqua" w:cs="Arial"/>
          <w:b/>
          <w:sz w:val="22"/>
          <w:szCs w:val="22"/>
        </w:rPr>
        <w:t>Family members of British citizens</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9.</w:t>
      </w:r>
      <w:proofErr w:type="gramStart"/>
      <w:r w:rsidRPr="00F50C4B">
        <w:rPr>
          <w:rFonts w:ascii="Book Antiqua" w:hAnsi="Book Antiqua" w:cs="Arial"/>
          <w:sz w:val="22"/>
          <w:szCs w:val="22"/>
        </w:rPr>
        <w:t>—(</w:t>
      </w:r>
      <w:proofErr w:type="gramEnd"/>
      <w:r w:rsidRPr="00F50C4B">
        <w:rPr>
          <w:rFonts w:ascii="Book Antiqua" w:hAnsi="Book Antiqua" w:cs="Arial"/>
          <w:sz w:val="22"/>
          <w:szCs w:val="22"/>
        </w:rPr>
        <w:t>1) If the conditions in paragraph (2) are satisfied, these Regulations apply to a person who is the family member (“F”) of a British citizen (“BC”) as though the BC were an EEA national.</w:t>
      </w:r>
    </w:p>
    <w:p w:rsidR="00F50C4B" w:rsidRPr="00F50C4B" w:rsidRDefault="00F50C4B" w:rsidP="00F50C4B">
      <w:pPr>
        <w:spacing w:before="240"/>
        <w:ind w:left="1134"/>
        <w:jc w:val="both"/>
        <w:rPr>
          <w:rFonts w:ascii="Book Antiqua" w:hAnsi="Book Antiqua" w:cs="Arial"/>
          <w:sz w:val="22"/>
          <w:szCs w:val="22"/>
        </w:rPr>
      </w:pP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(2) The conditions are that—</w:t>
      </w:r>
    </w:p>
    <w:p w:rsidR="00F50C4B" w:rsidRPr="00F50C4B" w:rsidRDefault="00F50C4B" w:rsidP="00F50C4B">
      <w:pPr>
        <w:spacing w:before="240"/>
        <w:ind w:left="1134"/>
        <w:jc w:val="both"/>
        <w:rPr>
          <w:rFonts w:ascii="Book Antiqua" w:hAnsi="Book Antiqua" w:cs="Arial"/>
          <w:sz w:val="22"/>
          <w:szCs w:val="22"/>
        </w:rPr>
      </w:pP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(a)</w:t>
      </w:r>
      <w:r>
        <w:rPr>
          <w:rFonts w:ascii="Book Antiqua" w:hAnsi="Book Antiqua" w:cs="Arial"/>
          <w:sz w:val="22"/>
          <w:szCs w:val="22"/>
        </w:rPr>
        <w:t xml:space="preserve"> </w:t>
      </w:r>
      <w:r w:rsidRPr="00F50C4B">
        <w:rPr>
          <w:rFonts w:ascii="Book Antiqua" w:hAnsi="Book Antiqua" w:cs="Arial"/>
          <w:sz w:val="22"/>
          <w:szCs w:val="22"/>
        </w:rPr>
        <w:t>BC—</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w:t>
      </w:r>
      <w:proofErr w:type="spellStart"/>
      <w:r w:rsidRPr="00F50C4B">
        <w:rPr>
          <w:rFonts w:ascii="Book Antiqua" w:hAnsi="Book Antiqua" w:cs="Arial"/>
          <w:sz w:val="22"/>
          <w:szCs w:val="22"/>
        </w:rPr>
        <w:t>i</w:t>
      </w:r>
      <w:proofErr w:type="spellEnd"/>
      <w:r w:rsidRPr="00F50C4B">
        <w:rPr>
          <w:rFonts w:ascii="Book Antiqua" w:hAnsi="Book Antiqua" w:cs="Arial"/>
          <w:sz w:val="22"/>
          <w:szCs w:val="22"/>
        </w:rPr>
        <w:t>)</w:t>
      </w:r>
      <w:r>
        <w:rPr>
          <w:rFonts w:ascii="Book Antiqua" w:hAnsi="Book Antiqua" w:cs="Arial"/>
          <w:sz w:val="22"/>
          <w:szCs w:val="22"/>
        </w:rPr>
        <w:t xml:space="preserve"> </w:t>
      </w:r>
      <w:r w:rsidRPr="00F50C4B">
        <w:rPr>
          <w:rFonts w:ascii="Book Antiqua" w:hAnsi="Book Antiqua" w:cs="Arial"/>
          <w:sz w:val="22"/>
          <w:szCs w:val="22"/>
        </w:rPr>
        <w:t>is residing in an EEA State as a worker, self-employed person, self-sufficient person or a student, or so resided immediately before returning to the United Kingdom; or</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(ii)</w:t>
      </w:r>
      <w:r>
        <w:rPr>
          <w:rFonts w:ascii="Book Antiqua" w:hAnsi="Book Antiqua" w:cs="Arial"/>
          <w:sz w:val="22"/>
          <w:szCs w:val="22"/>
        </w:rPr>
        <w:t xml:space="preserve"> </w:t>
      </w:r>
      <w:r w:rsidRPr="00F50C4B">
        <w:rPr>
          <w:rFonts w:ascii="Book Antiqua" w:hAnsi="Book Antiqua" w:cs="Arial"/>
          <w:sz w:val="22"/>
          <w:szCs w:val="22"/>
        </w:rPr>
        <w:t>has acquired the right of permanent residence in an EEA State;</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(b)</w:t>
      </w:r>
      <w:r>
        <w:rPr>
          <w:rFonts w:ascii="Book Antiqua" w:hAnsi="Book Antiqua" w:cs="Arial"/>
          <w:sz w:val="22"/>
          <w:szCs w:val="22"/>
        </w:rPr>
        <w:t xml:space="preserve"> </w:t>
      </w:r>
      <w:r w:rsidRPr="00F50C4B">
        <w:rPr>
          <w:rFonts w:ascii="Book Antiqua" w:hAnsi="Book Antiqua" w:cs="Arial"/>
          <w:sz w:val="22"/>
          <w:szCs w:val="22"/>
        </w:rPr>
        <w:t>F and BC resided together in the EEA State; and</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(c)</w:t>
      </w:r>
      <w:r>
        <w:rPr>
          <w:rFonts w:ascii="Book Antiqua" w:hAnsi="Book Antiqua" w:cs="Arial"/>
          <w:sz w:val="22"/>
          <w:szCs w:val="22"/>
        </w:rPr>
        <w:t xml:space="preserve"> </w:t>
      </w:r>
      <w:r w:rsidRPr="00F50C4B">
        <w:rPr>
          <w:rFonts w:ascii="Book Antiqua" w:hAnsi="Book Antiqua" w:cs="Arial"/>
          <w:sz w:val="22"/>
          <w:szCs w:val="22"/>
        </w:rPr>
        <w:t>F and BC’s residence in the EEA State was genuine.</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(3) Factors relevant to whether residence in the EEA State is or was genuine include—</w:t>
      </w:r>
    </w:p>
    <w:p w:rsidR="00F50C4B" w:rsidRPr="00F50C4B" w:rsidRDefault="00F50C4B" w:rsidP="00F50C4B">
      <w:pPr>
        <w:spacing w:before="240"/>
        <w:ind w:left="1134"/>
        <w:jc w:val="both"/>
        <w:rPr>
          <w:rFonts w:ascii="Book Antiqua" w:hAnsi="Book Antiqua" w:cs="Arial"/>
          <w:sz w:val="22"/>
          <w:szCs w:val="22"/>
        </w:rPr>
      </w:pP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(a)</w:t>
      </w:r>
      <w:r>
        <w:rPr>
          <w:rFonts w:ascii="Book Antiqua" w:hAnsi="Book Antiqua" w:cs="Arial"/>
          <w:sz w:val="22"/>
          <w:szCs w:val="22"/>
        </w:rPr>
        <w:t xml:space="preserve"> </w:t>
      </w:r>
      <w:r w:rsidRPr="00F50C4B">
        <w:rPr>
          <w:rFonts w:ascii="Book Antiqua" w:hAnsi="Book Antiqua" w:cs="Arial"/>
          <w:sz w:val="22"/>
          <w:szCs w:val="22"/>
        </w:rPr>
        <w:t>whether the centre of BC’s life transferred to the EEA State;</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(b)</w:t>
      </w:r>
      <w:r>
        <w:rPr>
          <w:rFonts w:ascii="Book Antiqua" w:hAnsi="Book Antiqua" w:cs="Arial"/>
          <w:sz w:val="22"/>
          <w:szCs w:val="22"/>
        </w:rPr>
        <w:t xml:space="preserve"> </w:t>
      </w:r>
      <w:r w:rsidRPr="00F50C4B">
        <w:rPr>
          <w:rFonts w:ascii="Book Antiqua" w:hAnsi="Book Antiqua" w:cs="Arial"/>
          <w:sz w:val="22"/>
          <w:szCs w:val="22"/>
        </w:rPr>
        <w:t>the length of F and BC’s joint residence in the EEA State;</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(c)</w:t>
      </w:r>
      <w:r>
        <w:rPr>
          <w:rFonts w:ascii="Book Antiqua" w:hAnsi="Book Antiqua" w:cs="Arial"/>
          <w:sz w:val="22"/>
          <w:szCs w:val="22"/>
        </w:rPr>
        <w:t xml:space="preserve"> </w:t>
      </w:r>
      <w:r w:rsidRPr="00F50C4B">
        <w:rPr>
          <w:rFonts w:ascii="Book Antiqua" w:hAnsi="Book Antiqua" w:cs="Arial"/>
          <w:sz w:val="22"/>
          <w:szCs w:val="22"/>
        </w:rPr>
        <w:t>the nature and quality of the F and BC’s accommodation in the EEA State, and whether it is or was BC’s principal residence;</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(d)</w:t>
      </w:r>
      <w:r>
        <w:rPr>
          <w:rFonts w:ascii="Book Antiqua" w:hAnsi="Book Antiqua" w:cs="Arial"/>
          <w:sz w:val="22"/>
          <w:szCs w:val="22"/>
        </w:rPr>
        <w:t xml:space="preserve"> </w:t>
      </w:r>
      <w:r w:rsidRPr="00F50C4B">
        <w:rPr>
          <w:rFonts w:ascii="Book Antiqua" w:hAnsi="Book Antiqua" w:cs="Arial"/>
          <w:sz w:val="22"/>
          <w:szCs w:val="22"/>
        </w:rPr>
        <w:t>the degree of F and BC’s integration in the EEA State;</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(e)</w:t>
      </w:r>
      <w:r>
        <w:rPr>
          <w:rFonts w:ascii="Book Antiqua" w:hAnsi="Book Antiqua" w:cs="Arial"/>
          <w:sz w:val="22"/>
          <w:szCs w:val="22"/>
        </w:rPr>
        <w:t xml:space="preserve"> </w:t>
      </w:r>
      <w:r w:rsidRPr="00F50C4B">
        <w:rPr>
          <w:rFonts w:ascii="Book Antiqua" w:hAnsi="Book Antiqua" w:cs="Arial"/>
          <w:sz w:val="22"/>
          <w:szCs w:val="22"/>
        </w:rPr>
        <w:t>whether F’s first lawful residence in the EU with BC was in the EEA State.</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(4) This regulation does not apply—</w:t>
      </w:r>
    </w:p>
    <w:p w:rsidR="00F50C4B" w:rsidRPr="00F50C4B" w:rsidRDefault="00F50C4B" w:rsidP="00F50C4B">
      <w:pPr>
        <w:spacing w:before="240"/>
        <w:ind w:left="1134"/>
        <w:jc w:val="both"/>
        <w:rPr>
          <w:rFonts w:ascii="Book Antiqua" w:hAnsi="Book Antiqua" w:cs="Arial"/>
          <w:sz w:val="22"/>
          <w:szCs w:val="22"/>
        </w:rPr>
      </w:pP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(a)</w:t>
      </w:r>
      <w:r>
        <w:rPr>
          <w:rFonts w:ascii="Book Antiqua" w:hAnsi="Book Antiqua" w:cs="Arial"/>
          <w:sz w:val="22"/>
          <w:szCs w:val="22"/>
        </w:rPr>
        <w:t xml:space="preserve"> </w:t>
      </w:r>
      <w:r w:rsidRPr="00F50C4B">
        <w:rPr>
          <w:rFonts w:ascii="Book Antiqua" w:hAnsi="Book Antiqua" w:cs="Arial"/>
          <w:sz w:val="22"/>
          <w:szCs w:val="22"/>
        </w:rPr>
        <w:t xml:space="preserve">where the purpose of the residence in the EEA State was as a means for circumventing any </w:t>
      </w:r>
      <w:proofErr w:type="gramStart"/>
      <w:r w:rsidRPr="00F50C4B">
        <w:rPr>
          <w:rFonts w:ascii="Book Antiqua" w:hAnsi="Book Antiqua" w:cs="Arial"/>
          <w:sz w:val="22"/>
          <w:szCs w:val="22"/>
        </w:rPr>
        <w:t>immigration</w:t>
      </w:r>
      <w:proofErr w:type="gramEnd"/>
      <w:r w:rsidRPr="00F50C4B">
        <w:rPr>
          <w:rFonts w:ascii="Book Antiqua" w:hAnsi="Book Antiqua" w:cs="Arial"/>
          <w:sz w:val="22"/>
          <w:szCs w:val="22"/>
        </w:rPr>
        <w:t xml:space="preserve"> laws applying to non-EEA nationals to which F would otherwise be </w:t>
      </w:r>
      <w:r w:rsidRPr="00F50C4B">
        <w:rPr>
          <w:rFonts w:ascii="Book Antiqua" w:hAnsi="Book Antiqua" w:cs="Arial"/>
          <w:sz w:val="22"/>
          <w:szCs w:val="22"/>
        </w:rPr>
        <w:lastRenderedPageBreak/>
        <w:t>subject (such as any applicable requirement under the 1971 Act to have leave to enter or remain in the United Kingdom); or</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(b)</w:t>
      </w:r>
      <w:r>
        <w:rPr>
          <w:rFonts w:ascii="Book Antiqua" w:hAnsi="Book Antiqua" w:cs="Arial"/>
          <w:sz w:val="22"/>
          <w:szCs w:val="22"/>
        </w:rPr>
        <w:t xml:space="preserve"> </w:t>
      </w:r>
      <w:r w:rsidRPr="00F50C4B">
        <w:rPr>
          <w:rFonts w:ascii="Book Antiqua" w:hAnsi="Book Antiqua" w:cs="Arial"/>
          <w:sz w:val="22"/>
          <w:szCs w:val="22"/>
        </w:rPr>
        <w:t xml:space="preserve">to a person who is only eligible to be treated as a family member </w:t>
      </w:r>
      <w:proofErr w:type="gramStart"/>
      <w:r w:rsidRPr="00F50C4B">
        <w:rPr>
          <w:rFonts w:ascii="Book Antiqua" w:hAnsi="Book Antiqua" w:cs="Arial"/>
          <w:sz w:val="22"/>
          <w:szCs w:val="22"/>
        </w:rPr>
        <w:t>as a result of</w:t>
      </w:r>
      <w:proofErr w:type="gramEnd"/>
      <w:r w:rsidRPr="00F50C4B">
        <w:rPr>
          <w:rFonts w:ascii="Book Antiqua" w:hAnsi="Book Antiqua" w:cs="Arial"/>
          <w:sz w:val="22"/>
          <w:szCs w:val="22"/>
        </w:rPr>
        <w:t xml:space="preserve"> regulation 7(3) (extended family members treated as family members).</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(5) Where these Regulations apply to F, BC is to be treated as holding a valid passport issued by an EEA State for the purposes of the application of these Regulations to F.</w:t>
      </w:r>
    </w:p>
    <w:p w:rsidR="00F50C4B" w:rsidRPr="00F50C4B" w:rsidRDefault="00F50C4B" w:rsidP="00F50C4B">
      <w:pPr>
        <w:spacing w:before="240"/>
        <w:ind w:left="1134"/>
        <w:jc w:val="both"/>
        <w:rPr>
          <w:rFonts w:ascii="Book Antiqua" w:hAnsi="Book Antiqua" w:cs="Arial"/>
          <w:sz w:val="22"/>
          <w:szCs w:val="22"/>
        </w:rPr>
      </w:pP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(6) In paragraph (2)(a)(ii), BC is only to be treated as having acquired the right of permanent residence in the EEA State if such residence would have led to the acquisition of that right under regulation 15, had it taken place in the United Kingdom.</w:t>
      </w:r>
    </w:p>
    <w:p w:rsidR="00F50C4B" w:rsidRPr="00F50C4B" w:rsidRDefault="00F50C4B" w:rsidP="00F50C4B">
      <w:pPr>
        <w:spacing w:before="240"/>
        <w:ind w:left="1134"/>
        <w:jc w:val="both"/>
        <w:rPr>
          <w:rFonts w:ascii="Book Antiqua" w:hAnsi="Book Antiqua" w:cs="Arial"/>
          <w:sz w:val="22"/>
          <w:szCs w:val="22"/>
        </w:rPr>
      </w:pP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(7) For the purposes of determining whether, when treating the BC as an EEA national under these Regulations in accordance with paragraph (1), BC would be a qualified person—</w:t>
      </w:r>
    </w:p>
    <w:p w:rsidR="00F50C4B" w:rsidRPr="00F50C4B" w:rsidRDefault="00F50C4B" w:rsidP="00F50C4B">
      <w:pPr>
        <w:spacing w:before="240"/>
        <w:ind w:left="1134"/>
        <w:jc w:val="both"/>
        <w:rPr>
          <w:rFonts w:ascii="Book Antiqua" w:hAnsi="Book Antiqua" w:cs="Arial"/>
          <w:sz w:val="22"/>
          <w:szCs w:val="22"/>
        </w:rPr>
      </w:pP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(a)</w:t>
      </w:r>
      <w:r>
        <w:rPr>
          <w:rFonts w:ascii="Book Antiqua" w:hAnsi="Book Antiqua" w:cs="Arial"/>
          <w:sz w:val="22"/>
          <w:szCs w:val="22"/>
        </w:rPr>
        <w:t xml:space="preserve"> </w:t>
      </w:r>
      <w:r w:rsidRPr="00F50C4B">
        <w:rPr>
          <w:rFonts w:ascii="Book Antiqua" w:hAnsi="Book Antiqua" w:cs="Arial"/>
          <w:sz w:val="22"/>
          <w:szCs w:val="22"/>
        </w:rPr>
        <w:t>any requirement to have comprehensive sickness insurance cover in the United Kingdom still applies, save that it does not require the cover to extend to BC;</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(b)</w:t>
      </w:r>
      <w:r>
        <w:rPr>
          <w:rFonts w:ascii="Book Antiqua" w:hAnsi="Book Antiqua" w:cs="Arial"/>
          <w:sz w:val="22"/>
          <w:szCs w:val="22"/>
        </w:rPr>
        <w:t xml:space="preserve"> </w:t>
      </w:r>
      <w:r w:rsidRPr="00F50C4B">
        <w:rPr>
          <w:rFonts w:ascii="Book Antiqua" w:hAnsi="Book Antiqua" w:cs="Arial"/>
          <w:sz w:val="22"/>
          <w:szCs w:val="22"/>
        </w:rPr>
        <w:t>in assessing whether BC can continue to be treated as a worker under regulation 6(2)(b) or (c), BC is not required to satisfy condition A;</w:t>
      </w:r>
    </w:p>
    <w:p w:rsidR="0013006A" w:rsidRPr="005155F2"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(c)</w:t>
      </w:r>
      <w:r>
        <w:rPr>
          <w:rFonts w:ascii="Book Antiqua" w:hAnsi="Book Antiqua" w:cs="Arial"/>
          <w:sz w:val="22"/>
          <w:szCs w:val="22"/>
        </w:rPr>
        <w:t xml:space="preserve"> </w:t>
      </w:r>
      <w:r w:rsidRPr="00F50C4B">
        <w:rPr>
          <w:rFonts w:ascii="Book Antiqua" w:hAnsi="Book Antiqua" w:cs="Arial"/>
          <w:sz w:val="22"/>
          <w:szCs w:val="22"/>
        </w:rPr>
        <w:t>in assessing whether BC can be treated as a jobseeker as defined in regulation 6(1), BC is not required to satisfy conditions A and, where it would otherwise be relevant, condition C.</w:t>
      </w:r>
    </w:p>
    <w:p w:rsidR="0013006A" w:rsidRDefault="0013006A" w:rsidP="000F76DE">
      <w:pPr>
        <w:numPr>
          <w:ilvl w:val="0"/>
          <w:numId w:val="3"/>
        </w:numPr>
        <w:spacing w:before="240"/>
        <w:jc w:val="both"/>
        <w:rPr>
          <w:rFonts w:ascii="Book Antiqua" w:hAnsi="Book Antiqua" w:cs="Arial"/>
        </w:rPr>
      </w:pPr>
      <w:r>
        <w:rPr>
          <w:rFonts w:ascii="Book Antiqua" w:hAnsi="Book Antiqua" w:cs="Arial"/>
        </w:rPr>
        <w:t xml:space="preserve">Judge Frazer made </w:t>
      </w:r>
      <w:proofErr w:type="gramStart"/>
      <w:r>
        <w:rPr>
          <w:rFonts w:ascii="Book Antiqua" w:hAnsi="Book Antiqua" w:cs="Arial"/>
        </w:rPr>
        <w:t>a number of</w:t>
      </w:r>
      <w:proofErr w:type="gramEnd"/>
      <w:r>
        <w:rPr>
          <w:rFonts w:ascii="Book Antiqua" w:hAnsi="Book Antiqua" w:cs="Arial"/>
        </w:rPr>
        <w:t xml:space="preserve"> findings.  The appellant and sponsor claimed that they had moved back to the United Kingdom from Ireland because of the sponsor’s mother’s ill health.  It was claimed that the mother was suffering from breast cancer.  Judge Frazer examined the medical records of the sponsor’s mother but was unable to conclude from that evidence that “the appellant and sponsor returned to the United Kingdom in order for the appellant to look after his mother subsequent to any illness that she was suffering from.”  The judge found that the couple did not intend to transfer the centre of their lives to </w:t>
      </w:r>
      <w:r w:rsidR="00187CD4">
        <w:rPr>
          <w:rFonts w:ascii="Book Antiqua" w:hAnsi="Book Antiqua" w:cs="Arial"/>
        </w:rPr>
        <w:t>Ireland from the United Kingdom.</w:t>
      </w:r>
      <w:r w:rsidR="00390AFF">
        <w:rPr>
          <w:rFonts w:ascii="Book Antiqua" w:hAnsi="Book Antiqua" w:cs="Arial"/>
        </w:rPr>
        <w:t xml:space="preserve">  He noted that the sponsor was working in the United Kingdom </w:t>
      </w:r>
      <w:r w:rsidR="00A67713">
        <w:rPr>
          <w:rFonts w:ascii="Book Antiqua" w:hAnsi="Book Antiqua" w:cs="Arial"/>
        </w:rPr>
        <w:t xml:space="preserve">but </w:t>
      </w:r>
      <w:r w:rsidR="00390AFF">
        <w:rPr>
          <w:rFonts w:ascii="Book Antiqua" w:hAnsi="Book Antiqua" w:cs="Arial"/>
        </w:rPr>
        <w:t>did not earn sufficient sums to enable him to bring the appellant to the United Kingdom.  The judge found that the couple had used their residence in Ireland in order to circumvent the Immigration Rules.  At [23] the judge concluded:-</w:t>
      </w:r>
    </w:p>
    <w:p w:rsidR="00390AFF" w:rsidRPr="005155F2" w:rsidRDefault="00390AFF" w:rsidP="005155F2">
      <w:pPr>
        <w:spacing w:before="240"/>
        <w:ind w:left="1134"/>
        <w:jc w:val="both"/>
        <w:rPr>
          <w:rFonts w:ascii="Book Antiqua" w:hAnsi="Book Antiqua" w:cs="Arial"/>
          <w:i/>
        </w:rPr>
      </w:pPr>
      <w:r w:rsidRPr="005155F2">
        <w:rPr>
          <w:rFonts w:ascii="Book Antiqua" w:hAnsi="Book Antiqua" w:cs="Arial"/>
          <w:i/>
        </w:rPr>
        <w:t>In the circumstances we do not find that there is sufficient evidence to indicate the appellant and sponsor had transferred the centre of their lives to Ireland.  I find they were only there temporarily and were not genuinely residing there pursuant to Regulat</w:t>
      </w:r>
      <w:r w:rsidR="005155F2" w:rsidRPr="005155F2">
        <w:rPr>
          <w:rFonts w:ascii="Book Antiqua" w:hAnsi="Book Antiqua" w:cs="Arial"/>
          <w:i/>
        </w:rPr>
        <w:t>io</w:t>
      </w:r>
      <w:r w:rsidRPr="005155F2">
        <w:rPr>
          <w:rFonts w:ascii="Book Antiqua" w:hAnsi="Book Antiqua" w:cs="Arial"/>
          <w:i/>
        </w:rPr>
        <w:t>n 9 of the EEA Regulations.  The appeal is therefore dismissed.</w:t>
      </w:r>
    </w:p>
    <w:p w:rsidR="00390AFF" w:rsidRDefault="00390AFF" w:rsidP="000F76DE">
      <w:pPr>
        <w:numPr>
          <w:ilvl w:val="0"/>
          <w:numId w:val="3"/>
        </w:numPr>
        <w:spacing w:before="240"/>
        <w:jc w:val="both"/>
        <w:rPr>
          <w:rFonts w:ascii="Book Antiqua" w:hAnsi="Book Antiqua" w:cs="Arial"/>
        </w:rPr>
      </w:pPr>
      <w:r>
        <w:rPr>
          <w:rFonts w:ascii="Book Antiqua" w:hAnsi="Book Antiqua" w:cs="Arial"/>
        </w:rPr>
        <w:lastRenderedPageBreak/>
        <w:t xml:space="preserve">This appeal to the Upper Tribunal focuses on the familiar tension between the decision in </w:t>
      </w:r>
      <w:r w:rsidRPr="005155F2">
        <w:rPr>
          <w:rFonts w:ascii="Book Antiqua" w:hAnsi="Book Antiqua" w:cs="Arial"/>
          <w:i/>
        </w:rPr>
        <w:t>O and B v The Netherlands</w:t>
      </w:r>
      <w:r w:rsidR="00F50C4B">
        <w:rPr>
          <w:rFonts w:ascii="Book Antiqua" w:hAnsi="Book Antiqua" w:cs="Arial"/>
        </w:rPr>
        <w:t xml:space="preserve"> [2014] </w:t>
      </w:r>
      <w:r w:rsidR="00F50C4B" w:rsidRPr="00F50C4B">
        <w:rPr>
          <w:rFonts w:ascii="Book Antiqua" w:hAnsi="Book Antiqua"/>
          <w:i/>
        </w:rPr>
        <w:t>Case C-456/12</w:t>
      </w:r>
      <w:r w:rsidR="00F50C4B">
        <w:t xml:space="preserve"> </w:t>
      </w:r>
      <w:r>
        <w:rPr>
          <w:rFonts w:ascii="Book Antiqua" w:hAnsi="Book Antiqua" w:cs="Arial"/>
        </w:rPr>
        <w:t>and Regulation 9.  The appellant argues that Regulation 9 goes beyond what is required to give effect to Article 21(1) of the treaty on the functioning of the European Union (TFEU):</w:t>
      </w: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1. Every citizen of the Union shall have the right to move and reside freely within the territory of the Member States, subject to the limitations and conditions laid down in the Treaties and by the measures adopted to give them effect.</w:t>
      </w:r>
    </w:p>
    <w:p w:rsidR="00F50C4B" w:rsidRPr="00F50C4B" w:rsidRDefault="00F50C4B" w:rsidP="00F50C4B">
      <w:pPr>
        <w:spacing w:before="240"/>
        <w:ind w:left="1134"/>
        <w:jc w:val="both"/>
        <w:rPr>
          <w:rFonts w:ascii="Book Antiqua" w:hAnsi="Book Antiqua" w:cs="Arial"/>
          <w:sz w:val="22"/>
          <w:szCs w:val="22"/>
        </w:rPr>
      </w:pPr>
    </w:p>
    <w:p w:rsidR="00F50C4B" w:rsidRPr="00F50C4B"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2. If action by the Union should prove necessary to attain this objective and the Treaties have not provided the necessary powers, the European Parliament and the Council, acting in accordance with the ordinary legislative procedure, may adopt provisions with a view to facilitating the exercise of the rights referred to in paragraph 1.</w:t>
      </w:r>
    </w:p>
    <w:p w:rsidR="00F50C4B" w:rsidRPr="00F50C4B" w:rsidRDefault="00F50C4B" w:rsidP="00F50C4B">
      <w:pPr>
        <w:spacing w:before="240"/>
        <w:ind w:left="1134"/>
        <w:jc w:val="both"/>
        <w:rPr>
          <w:rFonts w:ascii="Book Antiqua" w:hAnsi="Book Antiqua" w:cs="Arial"/>
          <w:sz w:val="22"/>
          <w:szCs w:val="22"/>
        </w:rPr>
      </w:pPr>
    </w:p>
    <w:p w:rsidR="00390AFF" w:rsidRPr="005155F2" w:rsidRDefault="00F50C4B" w:rsidP="00F50C4B">
      <w:pPr>
        <w:spacing w:before="240"/>
        <w:ind w:left="1134"/>
        <w:jc w:val="both"/>
        <w:rPr>
          <w:rFonts w:ascii="Book Antiqua" w:hAnsi="Book Antiqua" w:cs="Arial"/>
          <w:sz w:val="22"/>
          <w:szCs w:val="22"/>
        </w:rPr>
      </w:pPr>
      <w:r w:rsidRPr="00F50C4B">
        <w:rPr>
          <w:rFonts w:ascii="Book Antiqua" w:hAnsi="Book Antiqua" w:cs="Arial"/>
          <w:sz w:val="22"/>
          <w:szCs w:val="22"/>
        </w:rPr>
        <w:t>3. For the same purposes as those referred to in paragraph 1 and if the Treaties have not provided the necessary powers, the Council, acting in accordance with a special legislative procedure, may adopt measures concerning social security or social protection. The Council shall act unanimously after consulting the European Parliament.</w:t>
      </w:r>
    </w:p>
    <w:p w:rsidR="00390AFF" w:rsidRDefault="00390AFF" w:rsidP="000F76DE">
      <w:pPr>
        <w:numPr>
          <w:ilvl w:val="0"/>
          <w:numId w:val="3"/>
        </w:numPr>
        <w:spacing w:before="240"/>
        <w:jc w:val="both"/>
        <w:rPr>
          <w:rFonts w:ascii="Book Antiqua" w:hAnsi="Book Antiqua" w:cs="Arial"/>
        </w:rPr>
      </w:pPr>
      <w:r>
        <w:rPr>
          <w:rFonts w:ascii="Book Antiqua" w:hAnsi="Book Antiqua" w:cs="Arial"/>
        </w:rPr>
        <w:t>The Grand Chamber</w:t>
      </w:r>
      <w:r w:rsidR="00F50C4B">
        <w:rPr>
          <w:rFonts w:ascii="Book Antiqua" w:hAnsi="Book Antiqua" w:cs="Arial"/>
        </w:rPr>
        <w:t xml:space="preserve">’s </w:t>
      </w:r>
      <w:r>
        <w:rPr>
          <w:rFonts w:ascii="Book Antiqua" w:hAnsi="Book Antiqua" w:cs="Arial"/>
        </w:rPr>
        <w:t xml:space="preserve">decision in </w:t>
      </w:r>
      <w:r w:rsidRPr="005155F2">
        <w:rPr>
          <w:rFonts w:ascii="Book Antiqua" w:hAnsi="Book Antiqua" w:cs="Arial"/>
          <w:i/>
        </w:rPr>
        <w:t>O and B</w:t>
      </w:r>
      <w:r>
        <w:rPr>
          <w:rFonts w:ascii="Book Antiqua" w:hAnsi="Book Antiqua" w:cs="Arial"/>
        </w:rPr>
        <w:t xml:space="preserve">, unlike Regulation 9, makes no reference to any “centre of life” test, the nature and quality of accommodation, the question of principal residence and integration.  It </w:t>
      </w:r>
      <w:r w:rsidR="00F50C4B">
        <w:rPr>
          <w:rFonts w:ascii="Book Antiqua" w:hAnsi="Book Antiqua" w:cs="Arial"/>
        </w:rPr>
        <w:t>may be</w:t>
      </w:r>
      <w:r>
        <w:rPr>
          <w:rFonts w:ascii="Book Antiqua" w:hAnsi="Book Antiqua" w:cs="Arial"/>
        </w:rPr>
        <w:t xml:space="preserve"> arguable that Regulation 9 is more restrictive than the Directive to which it is intended to give force and certainly more restrictive than the judgment of the court in </w:t>
      </w:r>
      <w:r w:rsidRPr="005155F2">
        <w:rPr>
          <w:rFonts w:ascii="Book Antiqua" w:hAnsi="Book Antiqua" w:cs="Arial"/>
          <w:i/>
        </w:rPr>
        <w:t>O and B</w:t>
      </w:r>
      <w:r>
        <w:rPr>
          <w:rFonts w:ascii="Book Antiqua" w:hAnsi="Book Antiqua" w:cs="Arial"/>
        </w:rPr>
        <w:t>.</w:t>
      </w:r>
    </w:p>
    <w:p w:rsidR="00390AFF" w:rsidRDefault="00390AFF" w:rsidP="000F76DE">
      <w:pPr>
        <w:numPr>
          <w:ilvl w:val="0"/>
          <w:numId w:val="3"/>
        </w:numPr>
        <w:spacing w:before="240"/>
        <w:jc w:val="both"/>
        <w:rPr>
          <w:rFonts w:ascii="Book Antiqua" w:hAnsi="Book Antiqua" w:cs="Arial"/>
        </w:rPr>
      </w:pPr>
      <w:r>
        <w:rPr>
          <w:rFonts w:ascii="Book Antiqua" w:hAnsi="Book Antiqua" w:cs="Arial"/>
        </w:rPr>
        <w:t xml:space="preserve">Mr Mills, who appeared for the Secretary of State, submitted that Regulation 9 and </w:t>
      </w:r>
      <w:r w:rsidRPr="005155F2">
        <w:rPr>
          <w:rFonts w:ascii="Book Antiqua" w:hAnsi="Book Antiqua" w:cs="Arial"/>
          <w:i/>
        </w:rPr>
        <w:t>O and B</w:t>
      </w:r>
      <w:r>
        <w:rPr>
          <w:rFonts w:ascii="Book Antiqua" w:hAnsi="Book Antiqua" w:cs="Arial"/>
        </w:rPr>
        <w:t xml:space="preserve"> are both, in effect, concerned with the genuineness of the residence in the host Member State, in the instant case Ireland.  I agree.  In </w:t>
      </w:r>
      <w:r w:rsidRPr="005155F2">
        <w:rPr>
          <w:rFonts w:ascii="Book Antiqua" w:hAnsi="Book Antiqua" w:cs="Arial"/>
          <w:i/>
        </w:rPr>
        <w:t>O and B</w:t>
      </w:r>
      <w:r>
        <w:rPr>
          <w:rFonts w:ascii="Book Antiqua" w:hAnsi="Book Antiqua" w:cs="Arial"/>
        </w:rPr>
        <w:t xml:space="preserve"> at [54], the court stated:</w:t>
      </w:r>
    </w:p>
    <w:p w:rsidR="00390AFF" w:rsidRPr="00F50C4B" w:rsidRDefault="00F50C4B" w:rsidP="005155F2">
      <w:pPr>
        <w:spacing w:before="240"/>
        <w:ind w:left="1134"/>
        <w:jc w:val="both"/>
        <w:rPr>
          <w:rFonts w:ascii="Book Antiqua" w:hAnsi="Book Antiqua" w:cs="Arial"/>
          <w:sz w:val="22"/>
          <w:szCs w:val="22"/>
        </w:rPr>
      </w:pPr>
      <w:r w:rsidRPr="00F50C4B">
        <w:rPr>
          <w:rFonts w:ascii="Book Antiqua" w:hAnsi="Book Antiqua" w:cs="Arial"/>
          <w:sz w:val="22"/>
          <w:szCs w:val="22"/>
        </w:rPr>
        <w:t>Where, during the genuine residence of the Union citizen in the host Member State, pursuant to and in conformity with the conditions set out in Article 7(1) and (2) of Directive 2004/38, family life is created or strengthened in that Member State, the effectiveness of the rights conferred on the Union citizen by Article 21(1) TFEU requires that the citizen’s family life in the host Member State may continue on returning to the Member of State of which he is a national, through the grant of a derived right of residence to the family member who is a third</w:t>
      </w:r>
      <w:r w:rsidRPr="00F50C4B">
        <w:rPr>
          <w:rFonts w:ascii="Cambria Math" w:hAnsi="Cambria Math" w:cs="Cambria Math"/>
          <w:sz w:val="22"/>
          <w:szCs w:val="22"/>
        </w:rPr>
        <w:t>‑</w:t>
      </w:r>
      <w:r w:rsidRPr="00F50C4B">
        <w:rPr>
          <w:rFonts w:ascii="Book Antiqua" w:hAnsi="Book Antiqua" w:cs="Arial"/>
          <w:sz w:val="22"/>
          <w:szCs w:val="22"/>
        </w:rPr>
        <w:t xml:space="preserve">country national. If no such derived right of residence were granted, that Union citizen could be discouraged from leaving the Member State of which he is a national in order to exercise his right of residence under Article 21(1) TFEU in another Member State because he is uncertain whether he will be able to continue in his Member State of origin a family life with his immediate family members which has been created or strengthened in the host Member State (see, to that effect, </w:t>
      </w:r>
      <w:proofErr w:type="spellStart"/>
      <w:r w:rsidRPr="00F50C4B">
        <w:rPr>
          <w:rFonts w:ascii="Book Antiqua" w:hAnsi="Book Antiqua" w:cs="Arial"/>
          <w:sz w:val="22"/>
          <w:szCs w:val="22"/>
        </w:rPr>
        <w:t>Eind</w:t>
      </w:r>
      <w:proofErr w:type="spellEnd"/>
      <w:r w:rsidRPr="00F50C4B">
        <w:rPr>
          <w:rFonts w:ascii="Book Antiqua" w:hAnsi="Book Antiqua" w:cs="Arial"/>
          <w:sz w:val="22"/>
          <w:szCs w:val="22"/>
        </w:rPr>
        <w:t>, paragraphs 35 and 36, and Iida, paragraph 70).</w:t>
      </w:r>
    </w:p>
    <w:p w:rsidR="00390AFF" w:rsidRDefault="00390AFF" w:rsidP="000F76DE">
      <w:pPr>
        <w:numPr>
          <w:ilvl w:val="0"/>
          <w:numId w:val="3"/>
        </w:numPr>
        <w:spacing w:before="240"/>
        <w:jc w:val="both"/>
        <w:rPr>
          <w:rFonts w:ascii="Book Antiqua" w:hAnsi="Book Antiqua" w:cs="Arial"/>
        </w:rPr>
      </w:pPr>
      <w:r>
        <w:rPr>
          <w:rFonts w:ascii="Book Antiqua" w:hAnsi="Book Antiqua" w:cs="Arial"/>
        </w:rPr>
        <w:t xml:space="preserve">It was </w:t>
      </w:r>
      <w:r w:rsidR="00A67713">
        <w:rPr>
          <w:rFonts w:ascii="Book Antiqua" w:hAnsi="Book Antiqua" w:cs="Arial"/>
        </w:rPr>
        <w:t xml:space="preserve">not </w:t>
      </w:r>
      <w:r>
        <w:rPr>
          <w:rFonts w:ascii="Book Antiqua" w:hAnsi="Book Antiqua" w:cs="Arial"/>
        </w:rPr>
        <w:t xml:space="preserve">the intention of the court in </w:t>
      </w:r>
      <w:r w:rsidRPr="005155F2">
        <w:rPr>
          <w:rFonts w:ascii="Book Antiqua" w:hAnsi="Book Antiqua" w:cs="Arial"/>
          <w:i/>
        </w:rPr>
        <w:t>O and B</w:t>
      </w:r>
      <w:r>
        <w:rPr>
          <w:rFonts w:ascii="Book Antiqua" w:hAnsi="Book Antiqua" w:cs="Arial"/>
        </w:rPr>
        <w:t xml:space="preserve"> to extend Union law to cover abuses:</w:t>
      </w:r>
    </w:p>
    <w:p w:rsidR="00390AFF" w:rsidRPr="005155F2" w:rsidRDefault="00F50C4B" w:rsidP="005155F2">
      <w:pPr>
        <w:spacing w:before="240"/>
        <w:ind w:left="1134"/>
        <w:jc w:val="both"/>
        <w:rPr>
          <w:rFonts w:ascii="Book Antiqua" w:hAnsi="Book Antiqua" w:cs="Arial"/>
          <w:sz w:val="22"/>
          <w:szCs w:val="22"/>
        </w:rPr>
      </w:pPr>
      <w:r w:rsidRPr="00F50C4B">
        <w:rPr>
          <w:rFonts w:ascii="Book Antiqua" w:hAnsi="Book Antiqua" w:cs="Arial"/>
          <w:sz w:val="22"/>
          <w:szCs w:val="22"/>
        </w:rPr>
        <w:t xml:space="preserve">It should be added that the scope of Union law cannot be extended to cover abuses (see, to that effect, Case C-110/99 </w:t>
      </w:r>
      <w:proofErr w:type="spellStart"/>
      <w:r w:rsidRPr="00F50C4B">
        <w:rPr>
          <w:rFonts w:ascii="Book Antiqua" w:hAnsi="Book Antiqua" w:cs="Arial"/>
          <w:sz w:val="22"/>
          <w:szCs w:val="22"/>
        </w:rPr>
        <w:t>Emsland-Stärke</w:t>
      </w:r>
      <w:proofErr w:type="spellEnd"/>
      <w:r w:rsidRPr="00F50C4B">
        <w:rPr>
          <w:rFonts w:ascii="Book Antiqua" w:hAnsi="Book Antiqua" w:cs="Arial"/>
          <w:sz w:val="22"/>
          <w:szCs w:val="22"/>
        </w:rPr>
        <w:t xml:space="preserve"> [2000] ECR I-11569, paragraph 51, and Case C-303/08 Bozkurt [2010] ECR I-13445, paragraph 47). Proof of such an abuse requires, </w:t>
      </w:r>
      <w:r w:rsidRPr="00F50C4B">
        <w:rPr>
          <w:rFonts w:ascii="Book Antiqua" w:hAnsi="Book Antiqua" w:cs="Arial"/>
          <w:sz w:val="22"/>
          <w:szCs w:val="22"/>
        </w:rPr>
        <w:lastRenderedPageBreak/>
        <w:t>first, a combination of objective circumstances in which, despite formal observance of the conditions laid down by the European Union rules, the purpose of those rules has not been achieved, and, secondly, a subjective element consisting in the intention to obtain an advantage from the European Union rules by artificially creating the conditions laid down for obtaining it (Case C</w:t>
      </w:r>
      <w:r w:rsidRPr="00F50C4B">
        <w:rPr>
          <w:rFonts w:ascii="Cambria Math" w:hAnsi="Cambria Math" w:cs="Cambria Math"/>
          <w:sz w:val="22"/>
          <w:szCs w:val="22"/>
        </w:rPr>
        <w:t>‑</w:t>
      </w:r>
      <w:r w:rsidRPr="00F50C4B">
        <w:rPr>
          <w:rFonts w:ascii="Book Antiqua" w:hAnsi="Book Antiqua" w:cs="Arial"/>
          <w:sz w:val="22"/>
          <w:szCs w:val="22"/>
        </w:rPr>
        <w:t>364/10 Hungary v Slovakia [2012] ECR, paragraph 58).</w:t>
      </w:r>
    </w:p>
    <w:p w:rsidR="00390AFF" w:rsidRDefault="00390AFF" w:rsidP="000F76DE">
      <w:pPr>
        <w:numPr>
          <w:ilvl w:val="0"/>
          <w:numId w:val="3"/>
        </w:numPr>
        <w:spacing w:before="240"/>
        <w:jc w:val="both"/>
        <w:rPr>
          <w:rFonts w:ascii="Book Antiqua" w:hAnsi="Book Antiqua" w:cs="Arial"/>
        </w:rPr>
      </w:pPr>
      <w:r>
        <w:rPr>
          <w:rFonts w:ascii="Book Antiqua" w:hAnsi="Book Antiqua" w:cs="Arial"/>
        </w:rPr>
        <w:t xml:space="preserve">Mr Mills has deftly side-stepped the question as to whether the Regulation is compatible with Article 21 and consistent with the judgment in </w:t>
      </w:r>
      <w:r w:rsidRPr="005155F2">
        <w:rPr>
          <w:rFonts w:ascii="Book Antiqua" w:hAnsi="Book Antiqua" w:cs="Arial"/>
          <w:i/>
        </w:rPr>
        <w:t>O and B</w:t>
      </w:r>
      <w:r>
        <w:rPr>
          <w:rFonts w:ascii="Book Antiqua" w:hAnsi="Book Antiqua" w:cs="Arial"/>
        </w:rPr>
        <w:t>.  The question in the instant appeal is whether Judge Frazer has dealt only with the terms of Regulat</w:t>
      </w:r>
      <w:r w:rsidR="008B6472">
        <w:rPr>
          <w:rFonts w:ascii="Book Antiqua" w:hAnsi="Book Antiqua" w:cs="Arial"/>
        </w:rPr>
        <w:t>io</w:t>
      </w:r>
      <w:r>
        <w:rPr>
          <w:rFonts w:ascii="Book Antiqua" w:hAnsi="Book Antiqua" w:cs="Arial"/>
        </w:rPr>
        <w:t xml:space="preserve">n 9 to the exclusion of the issues raised in </w:t>
      </w:r>
      <w:r w:rsidRPr="005155F2">
        <w:rPr>
          <w:rFonts w:ascii="Book Antiqua" w:hAnsi="Book Antiqua" w:cs="Arial"/>
          <w:i/>
        </w:rPr>
        <w:t>O and B</w:t>
      </w:r>
      <w:r>
        <w:rPr>
          <w:rFonts w:ascii="Book Antiqua" w:hAnsi="Book Antiqua" w:cs="Arial"/>
        </w:rPr>
        <w:t>.  If he has, it may be necessary for the Tribunal to consider whether the Regulat</w:t>
      </w:r>
      <w:r w:rsidR="005155F2">
        <w:rPr>
          <w:rFonts w:ascii="Book Antiqua" w:hAnsi="Book Antiqua" w:cs="Arial"/>
        </w:rPr>
        <w:t>io</w:t>
      </w:r>
      <w:r>
        <w:rPr>
          <w:rFonts w:ascii="Book Antiqua" w:hAnsi="Book Antiqua" w:cs="Arial"/>
        </w:rPr>
        <w:t xml:space="preserve">n is, as the appellant submits, more restrictive than Article 21 as interpreted by the court in </w:t>
      </w:r>
      <w:r w:rsidRPr="005155F2">
        <w:rPr>
          <w:rFonts w:ascii="Book Antiqua" w:hAnsi="Book Antiqua" w:cs="Arial"/>
          <w:i/>
        </w:rPr>
        <w:t>O and B</w:t>
      </w:r>
      <w:r>
        <w:rPr>
          <w:rFonts w:ascii="Book Antiqua" w:hAnsi="Book Antiqua" w:cs="Arial"/>
        </w:rPr>
        <w:t xml:space="preserve">.  If, on the other hand, Judge Frazer’s analysis </w:t>
      </w:r>
      <w:r w:rsidR="008B6472">
        <w:rPr>
          <w:rFonts w:ascii="Book Antiqua" w:hAnsi="Book Antiqua" w:cs="Arial"/>
        </w:rPr>
        <w:t xml:space="preserve">(whatever it may say in respect of Regulation 9) is consistent with </w:t>
      </w:r>
      <w:r w:rsidR="008B6472" w:rsidRPr="008B6472">
        <w:rPr>
          <w:rFonts w:ascii="Book Antiqua" w:hAnsi="Book Antiqua" w:cs="Arial"/>
          <w:i/>
        </w:rPr>
        <w:t>O and B</w:t>
      </w:r>
      <w:r w:rsidR="008B6472">
        <w:rPr>
          <w:rFonts w:ascii="Book Antiqua" w:hAnsi="Book Antiqua" w:cs="Arial"/>
        </w:rPr>
        <w:t xml:space="preserve"> then </w:t>
      </w:r>
      <w:r w:rsidR="00F50C4B">
        <w:rPr>
          <w:rFonts w:ascii="Book Antiqua" w:hAnsi="Book Antiqua" w:cs="Arial"/>
        </w:rPr>
        <w:t xml:space="preserve">I do not consider that the Upper Tribunal will need to </w:t>
      </w:r>
      <w:r w:rsidR="008B6472">
        <w:rPr>
          <w:rFonts w:ascii="Book Antiqua" w:hAnsi="Book Antiqua" w:cs="Arial"/>
        </w:rPr>
        <w:t>interfere with the First-tier Tribunal’s decision.</w:t>
      </w:r>
    </w:p>
    <w:p w:rsidR="008B6472" w:rsidRDefault="008B6472" w:rsidP="000F76DE">
      <w:pPr>
        <w:numPr>
          <w:ilvl w:val="0"/>
          <w:numId w:val="3"/>
        </w:numPr>
        <w:spacing w:before="240"/>
        <w:jc w:val="both"/>
        <w:rPr>
          <w:rFonts w:ascii="Book Antiqua" w:hAnsi="Book Antiqua" w:cs="Arial"/>
        </w:rPr>
      </w:pPr>
      <w:r>
        <w:rPr>
          <w:rFonts w:ascii="Book Antiqua" w:hAnsi="Book Antiqua" w:cs="Arial"/>
        </w:rPr>
        <w:t xml:space="preserve">In determining whether Judge Frazer has addressed the question of “genuineness” correctly, it is important to note that the motivation of the appellant and sponsor for making use of free-movement rights is irrelevant.  The court determined in </w:t>
      </w:r>
      <w:r w:rsidRPr="008B6472">
        <w:rPr>
          <w:rFonts w:ascii="Book Antiqua" w:hAnsi="Book Antiqua" w:cs="Arial"/>
          <w:i/>
        </w:rPr>
        <w:t>Akrich</w:t>
      </w:r>
      <w:r>
        <w:rPr>
          <w:rFonts w:ascii="Book Antiqua" w:hAnsi="Book Antiqua" w:cs="Arial"/>
        </w:rPr>
        <w:t xml:space="preserve"> C-109/01:</w:t>
      </w:r>
    </w:p>
    <w:p w:rsidR="008B6472" w:rsidRPr="008B6472" w:rsidRDefault="00662177" w:rsidP="008B6472">
      <w:pPr>
        <w:spacing w:before="240"/>
        <w:ind w:left="1134"/>
        <w:jc w:val="both"/>
        <w:rPr>
          <w:rFonts w:ascii="Book Antiqua" w:hAnsi="Book Antiqua" w:cs="Arial"/>
          <w:sz w:val="22"/>
          <w:szCs w:val="22"/>
        </w:rPr>
      </w:pPr>
      <w:r w:rsidRPr="00662177">
        <w:rPr>
          <w:rFonts w:ascii="Book Antiqua" w:hAnsi="Book Antiqua" w:cs="Arial"/>
          <w:sz w:val="22"/>
          <w:szCs w:val="22"/>
        </w:rPr>
        <w:t>Where the marriage between a national of a Member State and a national of a non-Member State is genuine, the fact that the spouses installed themselves in another Member State in order, on their return to the Member State of which the former is a national, to obtain the benefit of rights conferred by Community law is not relevant to an assessment of their legal situation by the competent authorities of the latter State.</w:t>
      </w:r>
    </w:p>
    <w:p w:rsidR="00233DE8" w:rsidRPr="00233DE8" w:rsidRDefault="008B6472" w:rsidP="000F76DE">
      <w:pPr>
        <w:numPr>
          <w:ilvl w:val="0"/>
          <w:numId w:val="3"/>
        </w:numPr>
        <w:spacing w:before="240"/>
        <w:jc w:val="both"/>
        <w:rPr>
          <w:rFonts w:ascii="Book Antiqua" w:hAnsi="Book Antiqua" w:cs="Arial"/>
          <w:b/>
          <w:u w:val="single"/>
        </w:rPr>
      </w:pPr>
      <w:r w:rsidRPr="00233DE8">
        <w:rPr>
          <w:rFonts w:ascii="Book Antiqua" w:hAnsi="Book Antiqua" w:cs="Arial"/>
        </w:rPr>
        <w:t>The genuine nature of the marriage between the appellant and sponsor is not in doubt.  However, on my reading of Judge Frazer’s decision, I find that the judge has concluded that</w:t>
      </w:r>
      <w:r w:rsidR="00662177">
        <w:rPr>
          <w:rFonts w:ascii="Book Antiqua" w:hAnsi="Book Antiqua" w:cs="Arial"/>
        </w:rPr>
        <w:t>,</w:t>
      </w:r>
      <w:r w:rsidRPr="00233DE8">
        <w:rPr>
          <w:rFonts w:ascii="Book Antiqua" w:hAnsi="Book Antiqua" w:cs="Arial"/>
        </w:rPr>
        <w:t xml:space="preserve"> notwithstanding formal observance of the Rules, the appellant and sponsor never </w:t>
      </w:r>
      <w:r w:rsidR="00662177">
        <w:rPr>
          <w:rFonts w:ascii="Book Antiqua" w:hAnsi="Book Antiqua" w:cs="Arial"/>
        </w:rPr>
        <w:t xml:space="preserve">genuinely </w:t>
      </w:r>
      <w:r w:rsidRPr="00233DE8">
        <w:rPr>
          <w:rFonts w:ascii="Book Antiqua" w:hAnsi="Book Antiqua" w:cs="Arial"/>
        </w:rPr>
        <w:t>intended to remain permanently in Ireland and that, although they were resident for a period of three months in that country, they intended only to gain an advantage by artificially creating the conditions for exercising free-movement rights.  The appellant and sponsor have resided in Ireland for more than three mont</w:t>
      </w:r>
      <w:r w:rsidR="00662177">
        <w:rPr>
          <w:rFonts w:ascii="Book Antiqua" w:hAnsi="Book Antiqua" w:cs="Arial"/>
        </w:rPr>
        <w:t>hs, the minimum period in which “genuine</w:t>
      </w:r>
      <w:r w:rsidRPr="00233DE8">
        <w:rPr>
          <w:rFonts w:ascii="Book Antiqua" w:hAnsi="Book Antiqua" w:cs="Arial"/>
        </w:rPr>
        <w:t xml:space="preserve"> residence</w:t>
      </w:r>
      <w:r w:rsidR="00662177">
        <w:rPr>
          <w:rFonts w:ascii="Book Antiqua" w:hAnsi="Book Antiqua" w:cs="Arial"/>
        </w:rPr>
        <w:t xml:space="preserve"> may be established under the Regulations; however, residing </w:t>
      </w:r>
      <w:r w:rsidRPr="00233DE8">
        <w:rPr>
          <w:rFonts w:ascii="Book Antiqua" w:hAnsi="Book Antiqua" w:cs="Arial"/>
        </w:rPr>
        <w:t>for that minimum period does not in itself render the residence genuine.  Putting to one side the judge’s findings about integration, his core findings (in effect, that the appellant and sponsor have not told the truth about the reasons for their return from Ire</w:t>
      </w:r>
      <w:r w:rsidR="00662177">
        <w:rPr>
          <w:rFonts w:ascii="Book Antiqua" w:hAnsi="Book Antiqua" w:cs="Arial"/>
        </w:rPr>
        <w:t>land to the United Kingdom) and</w:t>
      </w:r>
      <w:r w:rsidRPr="00233DE8">
        <w:rPr>
          <w:rFonts w:ascii="Book Antiqua" w:hAnsi="Book Antiqua" w:cs="Arial"/>
        </w:rPr>
        <w:t xml:space="preserve"> his finding at [23] </w:t>
      </w:r>
      <w:r w:rsidR="00662177">
        <w:rPr>
          <w:rFonts w:ascii="Book Antiqua" w:hAnsi="Book Antiqua" w:cs="Arial"/>
        </w:rPr>
        <w:t>that the couple was</w:t>
      </w:r>
      <w:r w:rsidRPr="00233DE8">
        <w:rPr>
          <w:rFonts w:ascii="Book Antiqua" w:hAnsi="Book Antiqua" w:cs="Arial"/>
        </w:rPr>
        <w:t xml:space="preserve"> “not genuinely residing [in Ireland]” is applicable equally to Regulation 9 as it is to an application of the principles of </w:t>
      </w:r>
      <w:r w:rsidRPr="00233DE8">
        <w:rPr>
          <w:rFonts w:ascii="Book Antiqua" w:hAnsi="Book Antiqua" w:cs="Arial"/>
          <w:i/>
        </w:rPr>
        <w:t>O and B</w:t>
      </w:r>
      <w:r w:rsidRPr="00233DE8">
        <w:rPr>
          <w:rFonts w:ascii="Book Antiqua" w:hAnsi="Book Antiqua" w:cs="Arial"/>
        </w:rPr>
        <w:t>.</w:t>
      </w:r>
    </w:p>
    <w:p w:rsidR="008B6472" w:rsidRPr="00233DE8" w:rsidRDefault="008B6472" w:rsidP="000F76DE">
      <w:pPr>
        <w:numPr>
          <w:ilvl w:val="0"/>
          <w:numId w:val="3"/>
        </w:numPr>
        <w:spacing w:before="240"/>
        <w:jc w:val="both"/>
        <w:rPr>
          <w:rFonts w:ascii="Book Antiqua" w:hAnsi="Book Antiqua" w:cs="Arial"/>
          <w:b/>
          <w:u w:val="single"/>
        </w:rPr>
      </w:pPr>
      <w:r w:rsidRPr="00233DE8">
        <w:rPr>
          <w:rFonts w:ascii="Book Antiqua" w:hAnsi="Book Antiqua" w:cs="Arial"/>
        </w:rPr>
        <w:t xml:space="preserve">Finally, I note that the grounds of appeal to the Upper Tribunal do not challenge the judge’s findings insofar as they apply to Regulation 9.  The challenge to the judge’s decision is to the legality of the Regulation itself as considered in the light of </w:t>
      </w:r>
      <w:r w:rsidRPr="00233DE8">
        <w:rPr>
          <w:rFonts w:ascii="Book Antiqua" w:hAnsi="Book Antiqua" w:cs="Arial"/>
          <w:i/>
        </w:rPr>
        <w:t>O and B</w:t>
      </w:r>
      <w:r w:rsidRPr="00233DE8">
        <w:rPr>
          <w:rFonts w:ascii="Book Antiqua" w:hAnsi="Book Antiqua" w:cs="Arial"/>
        </w:rPr>
        <w:t xml:space="preserve">.  </w:t>
      </w:r>
      <w:r w:rsidR="00662177">
        <w:rPr>
          <w:rFonts w:ascii="Book Antiqua" w:hAnsi="Book Antiqua" w:cs="Arial"/>
        </w:rPr>
        <w:t>I have not sought to resolve any</w:t>
      </w:r>
      <w:r w:rsidRPr="00233DE8">
        <w:rPr>
          <w:rFonts w:ascii="Book Antiqua" w:hAnsi="Book Antiqua" w:cs="Arial"/>
        </w:rPr>
        <w:t xml:space="preserve"> tension between </w:t>
      </w:r>
      <w:r w:rsidRPr="00233DE8">
        <w:rPr>
          <w:rFonts w:ascii="Book Antiqua" w:hAnsi="Book Antiqua" w:cs="Arial"/>
          <w:i/>
        </w:rPr>
        <w:t>O and B</w:t>
      </w:r>
      <w:r w:rsidRPr="00233DE8">
        <w:rPr>
          <w:rFonts w:ascii="Book Antiqua" w:hAnsi="Book Antiqua" w:cs="Arial"/>
        </w:rPr>
        <w:t xml:space="preserve"> and the 2016 Regulations but, in my opinion, Judge Frazer’s decision, that the residence in Ireland was not genuine, is sound and renders any further analysis unnecessary.</w:t>
      </w:r>
    </w:p>
    <w:p w:rsidR="008B6472" w:rsidRPr="008B6472" w:rsidRDefault="008508AD" w:rsidP="008B6472">
      <w:pPr>
        <w:spacing w:before="240"/>
        <w:jc w:val="both"/>
        <w:rPr>
          <w:rFonts w:ascii="Book Antiqua" w:hAnsi="Book Antiqua" w:cs="Arial"/>
        </w:rPr>
      </w:pPr>
      <w:r w:rsidRPr="008B6472">
        <w:rPr>
          <w:rFonts w:ascii="Book Antiqua" w:hAnsi="Book Antiqua" w:cs="Arial"/>
          <w:b/>
          <w:u w:val="single"/>
        </w:rPr>
        <w:lastRenderedPageBreak/>
        <w:t>Notice of Decision</w:t>
      </w:r>
    </w:p>
    <w:p w:rsidR="008B6472" w:rsidRPr="008B6472" w:rsidRDefault="008B6472" w:rsidP="008508AD">
      <w:pPr>
        <w:numPr>
          <w:ilvl w:val="0"/>
          <w:numId w:val="3"/>
        </w:numPr>
        <w:spacing w:before="240"/>
        <w:jc w:val="both"/>
        <w:rPr>
          <w:rFonts w:ascii="Book Antiqua" w:hAnsi="Book Antiqua" w:cs="Arial"/>
        </w:rPr>
      </w:pPr>
      <w:r w:rsidRPr="008B6472">
        <w:rPr>
          <w:rFonts w:ascii="Book Antiqua" w:hAnsi="Book Antiqua" w:cs="Arial"/>
        </w:rPr>
        <w:t>This appeal is dismissed.</w:t>
      </w:r>
    </w:p>
    <w:p w:rsidR="008508AD" w:rsidRPr="008B6472" w:rsidRDefault="008508AD" w:rsidP="008508AD">
      <w:pPr>
        <w:numPr>
          <w:ilvl w:val="0"/>
          <w:numId w:val="3"/>
        </w:numPr>
        <w:spacing w:before="240"/>
        <w:jc w:val="both"/>
        <w:rPr>
          <w:rFonts w:ascii="Book Antiqua" w:hAnsi="Book Antiqua" w:cs="Arial"/>
        </w:rPr>
      </w:pPr>
      <w:r w:rsidRPr="008B6472">
        <w:rPr>
          <w:rFonts w:ascii="Book Antiqua" w:hAnsi="Book Antiqua" w:cs="Arial"/>
        </w:rPr>
        <w:t>No anonymity direction is made.</w:t>
      </w:r>
    </w:p>
    <w:p w:rsidR="008508AD" w:rsidRPr="008508AD" w:rsidRDefault="008508AD" w:rsidP="008508AD">
      <w:pPr>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662177">
        <w:rPr>
          <w:rFonts w:ascii="Book Antiqua" w:hAnsi="Book Antiqua" w:cs="Arial"/>
        </w:rPr>
        <w:t>1 JULY 2018</w:t>
      </w:r>
    </w:p>
    <w:p w:rsidR="00F60D99" w:rsidRPr="00F5664C" w:rsidRDefault="00F60D99"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8508AD" w:rsidRDefault="008508AD"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rsidR="008508AD" w:rsidRPr="008508AD" w:rsidRDefault="008508AD" w:rsidP="008508AD">
      <w:pPr>
        <w:ind w:left="567" w:hanging="567"/>
        <w:jc w:val="both"/>
        <w:rPr>
          <w:rFonts w:ascii="Book Antiqua" w:hAnsi="Book Antiqua" w:cs="Arial"/>
        </w:rPr>
      </w:pPr>
    </w:p>
    <w:p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662177">
        <w:rPr>
          <w:rFonts w:ascii="Book Antiqua" w:hAnsi="Book Antiqua" w:cs="Arial"/>
        </w:rPr>
        <w:t>1 JULY 2018</w:t>
      </w:r>
    </w:p>
    <w:p w:rsidR="008508AD" w:rsidRPr="00F5664C" w:rsidRDefault="008508AD" w:rsidP="008508AD">
      <w:pPr>
        <w:tabs>
          <w:tab w:val="left" w:pos="2520"/>
        </w:tabs>
        <w:jc w:val="both"/>
        <w:rPr>
          <w:rFonts w:ascii="Book Antiqua" w:hAnsi="Book Antiqua" w:cs="Arial"/>
        </w:rPr>
      </w:pPr>
    </w:p>
    <w:p w:rsidR="008508AD" w:rsidRPr="00F5664C" w:rsidRDefault="008508AD" w:rsidP="008508AD">
      <w:pPr>
        <w:tabs>
          <w:tab w:val="left" w:pos="2520"/>
        </w:tabs>
        <w:jc w:val="both"/>
        <w:rPr>
          <w:rFonts w:ascii="Book Antiqua" w:hAnsi="Book Antiqua" w:cs="Arial"/>
        </w:rPr>
      </w:pPr>
    </w:p>
    <w:p w:rsidR="005B7789" w:rsidRPr="00F5664C" w:rsidRDefault="008508AD" w:rsidP="0057606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sectPr w:rsidR="005B7789" w:rsidRPr="00F5664C" w:rsidSect="00A713D6">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F8F" w:rsidRDefault="00512F8F">
      <w:r>
        <w:separator/>
      </w:r>
    </w:p>
  </w:endnote>
  <w:endnote w:type="continuationSeparator" w:id="0">
    <w:p w:rsidR="00512F8F" w:rsidRDefault="00512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A713D6" w:rsidRDefault="00ED338F" w:rsidP="00593795">
    <w:pPr>
      <w:pStyle w:val="Footer"/>
      <w:jc w:val="center"/>
      <w:rPr>
        <w:rFonts w:ascii="Book Antiqua" w:hAnsi="Book Antiqua" w:cs="Arial"/>
      </w:rPr>
    </w:pPr>
    <w:r w:rsidRPr="00A713D6">
      <w:rPr>
        <w:rStyle w:val="PageNumber"/>
        <w:rFonts w:ascii="Book Antiqua" w:hAnsi="Book Antiqua" w:cs="Arial"/>
      </w:rPr>
      <w:fldChar w:fldCharType="begin"/>
    </w:r>
    <w:r w:rsidRPr="00A713D6">
      <w:rPr>
        <w:rStyle w:val="PageNumber"/>
        <w:rFonts w:ascii="Book Antiqua" w:hAnsi="Book Antiqua" w:cs="Arial"/>
      </w:rPr>
      <w:instrText xml:space="preserve"> PAGE </w:instrText>
    </w:r>
    <w:r w:rsidRPr="00A713D6">
      <w:rPr>
        <w:rStyle w:val="PageNumber"/>
        <w:rFonts w:ascii="Book Antiqua" w:hAnsi="Book Antiqua" w:cs="Arial"/>
      </w:rPr>
      <w:fldChar w:fldCharType="separate"/>
    </w:r>
    <w:r w:rsidR="00B46C15">
      <w:rPr>
        <w:rStyle w:val="PageNumber"/>
        <w:rFonts w:ascii="Book Antiqua" w:hAnsi="Book Antiqua" w:cs="Arial"/>
        <w:noProof/>
      </w:rPr>
      <w:t>6</w:t>
    </w:r>
    <w:r w:rsidRPr="00A713D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F8F" w:rsidRDefault="00512F8F">
      <w:r>
        <w:separator/>
      </w:r>
    </w:p>
  </w:footnote>
  <w:footnote w:type="continuationSeparator" w:id="0">
    <w:p w:rsidR="00512F8F" w:rsidRDefault="00512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96514">
      <w:rPr>
        <w:rFonts w:ascii="Book Antiqua" w:hAnsi="Book Antiqua" w:cs="Arial"/>
        <w:sz w:val="16"/>
        <w:szCs w:val="16"/>
      </w:rPr>
      <w:t>EA/11471/2016</w:t>
    </w:r>
  </w:p>
  <w:p w:rsidR="00A713D6" w:rsidRPr="00F5664C" w:rsidRDefault="00A713D6"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F96EB60A"/>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D0"/>
    <w:rsid w:val="00000621"/>
    <w:rsid w:val="00001A2D"/>
    <w:rsid w:val="000036C2"/>
    <w:rsid w:val="000168E1"/>
    <w:rsid w:val="00027641"/>
    <w:rsid w:val="00033D3D"/>
    <w:rsid w:val="000369F5"/>
    <w:rsid w:val="00060ED5"/>
    <w:rsid w:val="00071602"/>
    <w:rsid w:val="00071A7E"/>
    <w:rsid w:val="000746C0"/>
    <w:rsid w:val="00074D1D"/>
    <w:rsid w:val="00092580"/>
    <w:rsid w:val="000D5D94"/>
    <w:rsid w:val="000E0923"/>
    <w:rsid w:val="000F76DE"/>
    <w:rsid w:val="001165A7"/>
    <w:rsid w:val="0013006A"/>
    <w:rsid w:val="00130ABD"/>
    <w:rsid w:val="00151BB7"/>
    <w:rsid w:val="00155BA9"/>
    <w:rsid w:val="0016457F"/>
    <w:rsid w:val="00167D3A"/>
    <w:rsid w:val="001723AE"/>
    <w:rsid w:val="00183D32"/>
    <w:rsid w:val="00187CD4"/>
    <w:rsid w:val="001A1E2C"/>
    <w:rsid w:val="001F2716"/>
    <w:rsid w:val="0020133A"/>
    <w:rsid w:val="00207617"/>
    <w:rsid w:val="00233DE8"/>
    <w:rsid w:val="00264A24"/>
    <w:rsid w:val="00275F0C"/>
    <w:rsid w:val="00283659"/>
    <w:rsid w:val="002C4E73"/>
    <w:rsid w:val="002D68BF"/>
    <w:rsid w:val="00336CBF"/>
    <w:rsid w:val="003546C8"/>
    <w:rsid w:val="003763A9"/>
    <w:rsid w:val="00381177"/>
    <w:rsid w:val="00390AFF"/>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E2759"/>
    <w:rsid w:val="00507FEC"/>
    <w:rsid w:val="00510F0E"/>
    <w:rsid w:val="00511891"/>
    <w:rsid w:val="00512F8F"/>
    <w:rsid w:val="005155F2"/>
    <w:rsid w:val="0051790E"/>
    <w:rsid w:val="00521F6E"/>
    <w:rsid w:val="005479E1"/>
    <w:rsid w:val="005570FD"/>
    <w:rsid w:val="005575EA"/>
    <w:rsid w:val="005744A4"/>
    <w:rsid w:val="00576065"/>
    <w:rsid w:val="0057790C"/>
    <w:rsid w:val="0058661C"/>
    <w:rsid w:val="00593795"/>
    <w:rsid w:val="00594638"/>
    <w:rsid w:val="005A75FF"/>
    <w:rsid w:val="005B7789"/>
    <w:rsid w:val="0065791C"/>
    <w:rsid w:val="00662177"/>
    <w:rsid w:val="00666416"/>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303B8"/>
    <w:rsid w:val="00833DCE"/>
    <w:rsid w:val="00842418"/>
    <w:rsid w:val="008508AD"/>
    <w:rsid w:val="008639DC"/>
    <w:rsid w:val="00871D34"/>
    <w:rsid w:val="00872944"/>
    <w:rsid w:val="00897D75"/>
    <w:rsid w:val="008B270C"/>
    <w:rsid w:val="008B6472"/>
    <w:rsid w:val="008C3D3D"/>
    <w:rsid w:val="008D4131"/>
    <w:rsid w:val="008E29BA"/>
    <w:rsid w:val="008F1932"/>
    <w:rsid w:val="008F294D"/>
    <w:rsid w:val="00921062"/>
    <w:rsid w:val="0093083E"/>
    <w:rsid w:val="00940FE3"/>
    <w:rsid w:val="00966ECF"/>
    <w:rsid w:val="009727A3"/>
    <w:rsid w:val="00987774"/>
    <w:rsid w:val="00995291"/>
    <w:rsid w:val="009A0FDC"/>
    <w:rsid w:val="009A11E8"/>
    <w:rsid w:val="009D11D0"/>
    <w:rsid w:val="009E4E62"/>
    <w:rsid w:val="009F5220"/>
    <w:rsid w:val="009F7C4D"/>
    <w:rsid w:val="00A15234"/>
    <w:rsid w:val="00A15560"/>
    <w:rsid w:val="00A16AE1"/>
    <w:rsid w:val="00A201AB"/>
    <w:rsid w:val="00A31C8B"/>
    <w:rsid w:val="00A67713"/>
    <w:rsid w:val="00A713D6"/>
    <w:rsid w:val="00A845DC"/>
    <w:rsid w:val="00A97AEE"/>
    <w:rsid w:val="00AC5CF6"/>
    <w:rsid w:val="00B00CC0"/>
    <w:rsid w:val="00B106DA"/>
    <w:rsid w:val="00B144FA"/>
    <w:rsid w:val="00B16F58"/>
    <w:rsid w:val="00B30648"/>
    <w:rsid w:val="00B3524D"/>
    <w:rsid w:val="00B40F69"/>
    <w:rsid w:val="00B46616"/>
    <w:rsid w:val="00B46C15"/>
    <w:rsid w:val="00B54950"/>
    <w:rsid w:val="00B610E3"/>
    <w:rsid w:val="00B61205"/>
    <w:rsid w:val="00B617C4"/>
    <w:rsid w:val="00B626FA"/>
    <w:rsid w:val="00B7040A"/>
    <w:rsid w:val="00B96FA0"/>
    <w:rsid w:val="00BA1D45"/>
    <w:rsid w:val="00BD4196"/>
    <w:rsid w:val="00BF22CA"/>
    <w:rsid w:val="00C07D81"/>
    <w:rsid w:val="00C26032"/>
    <w:rsid w:val="00C265B0"/>
    <w:rsid w:val="00C321B5"/>
    <w:rsid w:val="00C345E1"/>
    <w:rsid w:val="00C977BA"/>
    <w:rsid w:val="00CB6E35"/>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96514"/>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50C4B"/>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2E8924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2181</Words>
  <Characters>10611</Characters>
  <Application>Microsoft Office Word</Application>
  <DocSecurity>0</DocSecurity>
  <Lines>88</Lines>
  <Paragraphs>25</Paragraphs>
  <ScaleCrop>false</ScaleCrop>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2018-07-26T15:54:00Z</dcterms:created>
  <dcterms:modified xsi:type="dcterms:W3CDTF">2018-07-26T15:54:00Z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