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9F40C7" w:rsidRDefault="00DE12F6" w:rsidP="0050388A">
      <w:pPr>
        <w:jc w:val="center"/>
        <w:rPr>
          <w:rFonts w:ascii="Book Antiqua" w:hAnsi="Book Antiqua" w:cs="Arial"/>
          <w:caps/>
          <w:color w:val="000000"/>
          <w:sz w:val="16"/>
          <w:szCs w:val="16"/>
        </w:rPr>
      </w:pPr>
      <w:r w:rsidRPr="009F40C7">
        <w:rPr>
          <w:noProof/>
          <w:sz w:val="16"/>
          <w:szCs w:val="16"/>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9F40C7"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8971D8">
        <w:rPr>
          <w:rFonts w:ascii="Book Antiqua" w:hAnsi="Book Antiqua" w:cs="Arial"/>
          <w:caps/>
          <w:color w:val="000000"/>
        </w:rPr>
        <w:t>ea/12082/2016</w:t>
      </w:r>
      <w:bookmarkEnd w:id="0"/>
    </w:p>
    <w:p w:rsidR="00C345E1" w:rsidRPr="00AE6DDE" w:rsidRDefault="00C345E1" w:rsidP="00C345E1">
      <w:pPr>
        <w:jc w:val="center"/>
        <w:rPr>
          <w:rFonts w:ascii="Book Antiqua" w:hAnsi="Book Antiqua" w:cs="Arial"/>
          <w:color w:val="000000"/>
        </w:rPr>
      </w:pPr>
    </w:p>
    <w:p w:rsidR="009F40C7" w:rsidRDefault="009F40C7"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9F40C7" w:rsidRPr="00AE6DDE" w:rsidRDefault="009F40C7" w:rsidP="00C345E1">
      <w:pPr>
        <w:jc w:val="center"/>
        <w:rPr>
          <w:rFonts w:ascii="Book Antiqua" w:hAnsi="Book Antiqua" w:cs="Arial"/>
          <w:b/>
          <w:color w:val="000000"/>
          <w:u w:val="single"/>
        </w:rPr>
      </w:pP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350"/>
        <w:gridCol w:w="3896"/>
      </w:tblGrid>
      <w:tr w:rsidR="00D22636" w:rsidRPr="00AE6DDE" w:rsidTr="00530005">
        <w:tc>
          <w:tcPr>
            <w:tcW w:w="5382"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885DA4">
              <w:rPr>
                <w:rFonts w:ascii="Book Antiqua" w:hAnsi="Book Antiqua" w:cs="Arial"/>
                <w:b/>
              </w:rPr>
              <w:t xml:space="preserve">Field House </w:t>
            </w:r>
          </w:p>
        </w:tc>
        <w:tc>
          <w:tcPr>
            <w:tcW w:w="4246" w:type="dxa"/>
            <w:gridSpan w:val="2"/>
          </w:tcPr>
          <w:p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530005">
        <w:tc>
          <w:tcPr>
            <w:tcW w:w="5382"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885DA4">
              <w:rPr>
                <w:rFonts w:ascii="Book Antiqua" w:hAnsi="Book Antiqua" w:cs="Arial"/>
                <w:b/>
              </w:rPr>
              <w:t>15 March 2018</w:t>
            </w:r>
          </w:p>
        </w:tc>
        <w:tc>
          <w:tcPr>
            <w:tcW w:w="4246" w:type="dxa"/>
            <w:gridSpan w:val="2"/>
          </w:tcPr>
          <w:p w:rsidR="00D22636" w:rsidRPr="00AE6DDE" w:rsidRDefault="00530005" w:rsidP="004A1848">
            <w:pPr>
              <w:jc w:val="both"/>
              <w:rPr>
                <w:rFonts w:ascii="Book Antiqua" w:hAnsi="Book Antiqua" w:cs="Arial"/>
                <w:b/>
              </w:rPr>
            </w:pPr>
            <w:r>
              <w:rPr>
                <w:rFonts w:ascii="Book Antiqua" w:hAnsi="Book Antiqua" w:cs="Arial"/>
                <w:b/>
              </w:rPr>
              <w:t xml:space="preserve">On 18 May 2018 </w:t>
            </w:r>
          </w:p>
        </w:tc>
      </w:tr>
      <w:tr w:rsidR="00D22636" w:rsidRPr="00AE6DDE" w:rsidTr="00530005">
        <w:tc>
          <w:tcPr>
            <w:tcW w:w="5732" w:type="dxa"/>
            <w:gridSpan w:val="2"/>
          </w:tcPr>
          <w:p w:rsidR="00D22636" w:rsidRPr="00AE6DDE" w:rsidRDefault="00D22636" w:rsidP="004A1848">
            <w:pPr>
              <w:jc w:val="both"/>
              <w:rPr>
                <w:rFonts w:ascii="Book Antiqua" w:hAnsi="Book Antiqua" w:cs="Arial"/>
                <w:b/>
              </w:rPr>
            </w:pPr>
          </w:p>
        </w:tc>
        <w:tc>
          <w:tcPr>
            <w:tcW w:w="3896"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347A9C" w:rsidP="008971D8">
      <w:pPr>
        <w:jc w:val="center"/>
        <w:rPr>
          <w:rFonts w:ascii="Book Antiqua" w:hAnsi="Book Antiqua" w:cs="Arial"/>
          <w:b/>
          <w:color w:val="000000"/>
        </w:rPr>
      </w:pPr>
      <w:r>
        <w:rPr>
          <w:rFonts w:ascii="Book Antiqua" w:hAnsi="Book Antiqua" w:cs="Arial"/>
          <w:b/>
          <w:color w:val="000000"/>
        </w:rPr>
        <w:t>DEPUTY UPPER TRIBUNAL JUDGE I A LEWIS</w:t>
      </w:r>
    </w:p>
    <w:p w:rsidR="00A845DC" w:rsidRDefault="00A845DC" w:rsidP="00A15234">
      <w:pPr>
        <w:jc w:val="center"/>
        <w:rPr>
          <w:rFonts w:ascii="Book Antiqua" w:hAnsi="Book Antiqua" w:cs="Arial"/>
          <w:b/>
        </w:rPr>
      </w:pPr>
    </w:p>
    <w:p w:rsidR="009F40C7" w:rsidRPr="00AE6DDE" w:rsidRDefault="009F40C7"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8971D8" w:rsidP="00A15234">
      <w:pPr>
        <w:jc w:val="center"/>
        <w:rPr>
          <w:rFonts w:ascii="Book Antiqua" w:hAnsi="Book Antiqua" w:cs="Arial"/>
          <w:b/>
          <w:caps/>
        </w:rPr>
      </w:pPr>
      <w:r>
        <w:rPr>
          <w:rFonts w:ascii="Book Antiqua" w:hAnsi="Book Antiqua" w:cs="Arial"/>
          <w:b/>
          <w:caps/>
        </w:rPr>
        <w:t xml:space="preserve">rudolph </w:t>
      </w:r>
      <w:r w:rsidR="005C0D31">
        <w:rPr>
          <w:rFonts w:ascii="Book Antiqua" w:hAnsi="Book Antiqua" w:cs="Arial"/>
          <w:b/>
          <w:caps/>
        </w:rPr>
        <w:t>[</w:t>
      </w:r>
      <w:r>
        <w:rPr>
          <w:rFonts w:ascii="Book Antiqua" w:hAnsi="Book Antiqua" w:cs="Arial"/>
          <w:b/>
          <w:caps/>
        </w:rPr>
        <w:t>m</w:t>
      </w:r>
      <w:r w:rsidR="005C0D31">
        <w:rPr>
          <w:rFonts w:ascii="Book Antiqua" w:hAnsi="Book Antiqua" w:cs="Arial"/>
          <w:b/>
          <w:caps/>
        </w:rPr>
        <w:t>]</w:t>
      </w:r>
    </w:p>
    <w:p w:rsidR="00847259" w:rsidRPr="009F40C7" w:rsidRDefault="00847259" w:rsidP="00A15234">
      <w:pPr>
        <w:jc w:val="center"/>
        <w:rPr>
          <w:rFonts w:ascii="Book Antiqua" w:hAnsi="Book Antiqua" w:cs="Arial"/>
          <w:b/>
          <w:caps/>
          <w:sz w:val="22"/>
          <w:szCs w:val="22"/>
        </w:rPr>
      </w:pPr>
      <w:r w:rsidRPr="009F40C7">
        <w:rPr>
          <w:rFonts w:ascii="Book Antiqua" w:hAnsi="Book Antiqua" w:cs="Arial"/>
          <w:b/>
          <w:caps/>
          <w:sz w:val="22"/>
          <w:szCs w:val="22"/>
        </w:rPr>
        <w:t xml:space="preserve">(anonymity direction </w:t>
      </w:r>
      <w:r w:rsidR="00002165" w:rsidRPr="009F40C7">
        <w:rPr>
          <w:rFonts w:ascii="Book Antiqua" w:hAnsi="Book Antiqua" w:cs="Arial"/>
          <w:b/>
          <w:caps/>
          <w:sz w:val="22"/>
          <w:szCs w:val="22"/>
        </w:rPr>
        <w:t>NOT MADE</w:t>
      </w:r>
      <w:r w:rsidRPr="009F40C7">
        <w:rPr>
          <w:rFonts w:ascii="Book Antiqua" w:hAnsi="Book Antiqua" w:cs="Arial"/>
          <w:b/>
          <w:caps/>
          <w:sz w:val="22"/>
          <w:szCs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002165"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Default="00DD5071" w:rsidP="00DD5071">
      <w:pPr>
        <w:rPr>
          <w:rFonts w:ascii="Book Antiqua" w:hAnsi="Book Antiqua" w:cs="Arial"/>
          <w:u w:val="single"/>
        </w:rPr>
      </w:pPr>
    </w:p>
    <w:p w:rsidR="009F40C7" w:rsidRPr="00AE6DDE" w:rsidRDefault="009F40C7"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775A17">
        <w:rPr>
          <w:rFonts w:ascii="Book Antiqua" w:hAnsi="Book Antiqua" w:cs="Arial"/>
        </w:rPr>
        <w:t xml:space="preserve">Mr </w:t>
      </w:r>
      <w:r w:rsidR="00002165">
        <w:rPr>
          <w:rFonts w:ascii="Book Antiqua" w:hAnsi="Book Antiqua" w:cs="Arial"/>
        </w:rPr>
        <w:t xml:space="preserve">B </w:t>
      </w:r>
      <w:r w:rsidR="00775A17">
        <w:rPr>
          <w:rFonts w:ascii="Book Antiqua" w:hAnsi="Book Antiqua" w:cs="Arial"/>
        </w:rPr>
        <w:t>Malik</w:t>
      </w:r>
      <w:r w:rsidR="00002165">
        <w:rPr>
          <w:rFonts w:ascii="Book Antiqua" w:hAnsi="Book Antiqua" w:cs="Arial"/>
        </w:rPr>
        <w:t xml:space="preserve"> of Counsel instructed by Direct Access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002165">
        <w:rPr>
          <w:rFonts w:ascii="Book Antiqua" w:hAnsi="Book Antiqua" w:cs="Arial"/>
        </w:rPr>
        <w:t>Mr T Wilding, Senior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775A17" w:rsidRDefault="00402B9E" w:rsidP="005C0D31">
      <w:pPr>
        <w:spacing w:before="24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8971D8">
        <w:rPr>
          <w:rFonts w:ascii="Book Antiqua" w:hAnsi="Book Antiqua" w:cs="Arial"/>
        </w:rPr>
        <w:t>This is an appeal against the decision of First-tier Tribunal Judge Andrew promulgated on 28 July 2017 in which she dismissed the Appellant’s appeal against a decision of the Respondent dated 20 September 2016 to refuse to issue a derivative residence card pursuant to the Immigration (European Economic Area) Regulations 2006</w:t>
      </w:r>
      <w:r w:rsidR="00002165">
        <w:rPr>
          <w:rFonts w:ascii="Book Antiqua" w:hAnsi="Book Antiqua" w:cs="Arial"/>
        </w:rPr>
        <w:t>, with particular reference to r</w:t>
      </w:r>
      <w:r w:rsidR="008971D8">
        <w:rPr>
          <w:rFonts w:ascii="Book Antiqua" w:hAnsi="Book Antiqua" w:cs="Arial"/>
        </w:rPr>
        <w:t>egulation 15A(4A), 15</w:t>
      </w:r>
      <w:proofErr w:type="gramStart"/>
      <w:r w:rsidR="008971D8">
        <w:rPr>
          <w:rFonts w:ascii="Book Antiqua" w:hAnsi="Book Antiqua" w:cs="Arial"/>
        </w:rPr>
        <w:t>A(</w:t>
      </w:r>
      <w:proofErr w:type="gramEnd"/>
      <w:r w:rsidR="008971D8">
        <w:rPr>
          <w:rFonts w:ascii="Book Antiqua" w:hAnsi="Book Antiqua" w:cs="Arial"/>
        </w:rPr>
        <w:t xml:space="preserve">7) and 18(A).  The appeal is brought to the Upper Tribunal with the permission of Designated First-tier Tribunal Judge </w:t>
      </w:r>
      <w:proofErr w:type="spellStart"/>
      <w:r w:rsidR="008971D8">
        <w:rPr>
          <w:rFonts w:ascii="Book Antiqua" w:hAnsi="Book Antiqua" w:cs="Arial"/>
        </w:rPr>
        <w:t>Shaerf</w:t>
      </w:r>
      <w:proofErr w:type="spellEnd"/>
      <w:r w:rsidR="008971D8">
        <w:rPr>
          <w:rFonts w:ascii="Book Antiqua" w:hAnsi="Book Antiqua" w:cs="Arial"/>
        </w:rPr>
        <w:t xml:space="preserve"> granted on 19 January 2018.  </w:t>
      </w:r>
    </w:p>
    <w:p w:rsidR="00775A17" w:rsidRDefault="00775A17" w:rsidP="005C0D31">
      <w:pPr>
        <w:spacing w:before="240"/>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r>
      <w:r w:rsidR="008971D8">
        <w:rPr>
          <w:rFonts w:ascii="Book Antiqua" w:hAnsi="Book Antiqua" w:cs="Arial"/>
        </w:rPr>
        <w:t xml:space="preserve">The Appellant is a citizen of St Lucia born on </w:t>
      </w:r>
      <w:proofErr w:type="gramStart"/>
      <w:r w:rsidR="005C0D31">
        <w:rPr>
          <w:rFonts w:ascii="Book Antiqua" w:hAnsi="Book Antiqua" w:cs="Arial"/>
        </w:rPr>
        <w:t>[ ]</w:t>
      </w:r>
      <w:proofErr w:type="gramEnd"/>
      <w:r w:rsidR="005C0D31">
        <w:rPr>
          <w:rFonts w:ascii="Book Antiqua" w:hAnsi="Book Antiqua" w:cs="Arial"/>
        </w:rPr>
        <w:t xml:space="preserve"> </w:t>
      </w:r>
      <w:r w:rsidR="008971D8">
        <w:rPr>
          <w:rFonts w:ascii="Book Antiqua" w:hAnsi="Book Antiqua" w:cs="Arial"/>
        </w:rPr>
        <w:t xml:space="preserve">1989.  He claims to have arrived in the United Kingdom in April 2014.  He made an application </w:t>
      </w:r>
      <w:r w:rsidR="00002165">
        <w:rPr>
          <w:rFonts w:ascii="Book Antiqua" w:hAnsi="Book Antiqua" w:cs="Arial"/>
        </w:rPr>
        <w:t xml:space="preserve">for a derivative residence card under the EEA Regulations </w:t>
      </w:r>
      <w:r w:rsidR="008971D8">
        <w:rPr>
          <w:rFonts w:ascii="Book Antiqua" w:hAnsi="Book Antiqua" w:cs="Arial"/>
        </w:rPr>
        <w:t xml:space="preserve">by way of </w:t>
      </w:r>
      <w:r w:rsidR="00165D99">
        <w:rPr>
          <w:rFonts w:ascii="Book Antiqua" w:hAnsi="Book Antiqua" w:cs="Arial"/>
        </w:rPr>
        <w:t>a</w:t>
      </w:r>
      <w:r w:rsidR="00002165">
        <w:rPr>
          <w:rFonts w:ascii="Book Antiqua" w:hAnsi="Book Antiqua" w:cs="Arial"/>
        </w:rPr>
        <w:t>n application</w:t>
      </w:r>
      <w:r w:rsidR="00165D99">
        <w:rPr>
          <w:rFonts w:ascii="Book Antiqua" w:hAnsi="Book Antiqua" w:cs="Arial"/>
        </w:rPr>
        <w:t xml:space="preserve"> form signed on 16 July 2014 received by the Respondent on 18 July 2014.  </w:t>
      </w:r>
    </w:p>
    <w:p w:rsidR="00773D6D" w:rsidRDefault="00775A17" w:rsidP="005C0D31">
      <w:pPr>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r>
      <w:r w:rsidR="00165D99">
        <w:rPr>
          <w:rFonts w:ascii="Book Antiqua" w:hAnsi="Book Antiqua" w:cs="Arial"/>
        </w:rPr>
        <w:t xml:space="preserve">The application was made on the basis of being the primary carer </w:t>
      </w:r>
      <w:r w:rsidR="00773D6D">
        <w:rPr>
          <w:rFonts w:ascii="Book Antiqua" w:hAnsi="Book Antiqua" w:cs="Arial"/>
        </w:rPr>
        <w:t>of his British citizen son,</w:t>
      </w:r>
      <w:r w:rsidR="00165D99">
        <w:rPr>
          <w:rFonts w:ascii="Book Antiqua" w:hAnsi="Book Antiqua" w:cs="Arial"/>
        </w:rPr>
        <w:t xml:space="preserve">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 xml:space="preserve">] </w:t>
      </w:r>
      <w:r w:rsidR="00773D6D">
        <w:rPr>
          <w:rFonts w:ascii="Book Antiqua" w:hAnsi="Book Antiqua" w:cs="Arial"/>
        </w:rPr>
        <w:t>(</w:t>
      </w:r>
      <w:proofErr w:type="spellStart"/>
      <w:r w:rsidR="00773D6D">
        <w:rPr>
          <w:rFonts w:ascii="Book Antiqua" w:hAnsi="Book Antiqua" w:cs="Arial"/>
        </w:rPr>
        <w:t>d.o.b</w:t>
      </w:r>
      <w:proofErr w:type="spellEnd"/>
      <w:r w:rsidR="00773D6D">
        <w:rPr>
          <w:rFonts w:ascii="Book Antiqua" w:hAnsi="Book Antiqua" w:cs="Arial"/>
        </w:rPr>
        <w:t xml:space="preserve">. </w:t>
      </w:r>
      <w:proofErr w:type="gramStart"/>
      <w:r w:rsidR="00D338B7">
        <w:rPr>
          <w:rFonts w:ascii="Book Antiqua" w:hAnsi="Book Antiqua" w:cs="Arial"/>
        </w:rPr>
        <w:t>[ ]</w:t>
      </w:r>
      <w:proofErr w:type="gramEnd"/>
      <w:r w:rsidR="00D338B7">
        <w:rPr>
          <w:rFonts w:ascii="Book Antiqua" w:hAnsi="Book Antiqua" w:cs="Arial"/>
        </w:rPr>
        <w:t xml:space="preserve"> </w:t>
      </w:r>
      <w:r w:rsidR="00165D99">
        <w:rPr>
          <w:rFonts w:ascii="Book Antiqua" w:hAnsi="Book Antiqua" w:cs="Arial"/>
        </w:rPr>
        <w:t>2012</w:t>
      </w:r>
      <w:r w:rsidR="00773D6D">
        <w:rPr>
          <w:rFonts w:ascii="Book Antiqua" w:hAnsi="Book Antiqua" w:cs="Arial"/>
        </w:rPr>
        <w:t>)</w:t>
      </w:r>
      <w:r w:rsidR="00165D99">
        <w:rPr>
          <w:rFonts w:ascii="Book Antiqua" w:hAnsi="Book Antiqua" w:cs="Arial"/>
        </w:rPr>
        <w:t xml:space="preserve">.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165D99">
        <w:rPr>
          <w:rFonts w:ascii="Book Antiqua" w:hAnsi="Book Antiqua" w:cs="Arial"/>
        </w:rPr>
        <w:t xml:space="preserve">’s mother </w:t>
      </w:r>
      <w:r w:rsidR="00773D6D">
        <w:rPr>
          <w:rFonts w:ascii="Book Antiqua" w:hAnsi="Book Antiqua" w:cs="Arial"/>
        </w:rPr>
        <w:t>i</w:t>
      </w:r>
      <w:r w:rsidR="00165D99">
        <w:rPr>
          <w:rFonts w:ascii="Book Antiqua" w:hAnsi="Book Antiqua" w:cs="Arial"/>
        </w:rPr>
        <w:t xml:space="preserve">s </w:t>
      </w:r>
      <w:r w:rsidR="00D338B7">
        <w:rPr>
          <w:rFonts w:ascii="Book Antiqua" w:hAnsi="Book Antiqua" w:cs="Arial"/>
        </w:rPr>
        <w:t>[</w:t>
      </w:r>
      <w:r w:rsidR="00165D99">
        <w:rPr>
          <w:rFonts w:ascii="Book Antiqua" w:hAnsi="Book Antiqua" w:cs="Arial"/>
        </w:rPr>
        <w:t>SJ</w:t>
      </w:r>
      <w:r w:rsidR="00D338B7">
        <w:rPr>
          <w:rFonts w:ascii="Book Antiqua" w:hAnsi="Book Antiqua" w:cs="Arial"/>
        </w:rPr>
        <w:t>]</w:t>
      </w:r>
      <w:r w:rsidR="00773D6D">
        <w:rPr>
          <w:rFonts w:ascii="Book Antiqua" w:hAnsi="Book Antiqua" w:cs="Arial"/>
        </w:rPr>
        <w:t>,</w:t>
      </w:r>
      <w:r w:rsidR="00165D99">
        <w:rPr>
          <w:rFonts w:ascii="Book Antiqua" w:hAnsi="Book Antiqua" w:cs="Arial"/>
        </w:rPr>
        <w:t xml:space="preserve"> a British citi</w:t>
      </w:r>
      <w:r w:rsidR="00773D6D">
        <w:rPr>
          <w:rFonts w:ascii="Book Antiqua" w:hAnsi="Book Antiqua" w:cs="Arial"/>
        </w:rPr>
        <w:t xml:space="preserve">zen born on </w:t>
      </w:r>
      <w:proofErr w:type="gramStart"/>
      <w:r w:rsidR="00D338B7">
        <w:rPr>
          <w:rFonts w:ascii="Book Antiqua" w:hAnsi="Book Antiqua" w:cs="Arial"/>
        </w:rPr>
        <w:t>[ ]</w:t>
      </w:r>
      <w:proofErr w:type="gramEnd"/>
      <w:r w:rsidR="00773D6D">
        <w:rPr>
          <w:rFonts w:ascii="Book Antiqua" w:hAnsi="Book Antiqua" w:cs="Arial"/>
        </w:rPr>
        <w:t xml:space="preserve"> 1979.</w:t>
      </w:r>
    </w:p>
    <w:p w:rsidR="00775A17" w:rsidRDefault="00773D6D" w:rsidP="005C0D31">
      <w:pPr>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r>
      <w:r w:rsidR="00165D99">
        <w:rPr>
          <w:rFonts w:ascii="Book Antiqua" w:hAnsi="Book Antiqua" w:cs="Arial"/>
        </w:rPr>
        <w:t xml:space="preserve">In the </w:t>
      </w:r>
      <w:r>
        <w:rPr>
          <w:rFonts w:ascii="Book Antiqua" w:hAnsi="Book Antiqua" w:cs="Arial"/>
        </w:rPr>
        <w:t xml:space="preserve">Appellant’s </w:t>
      </w:r>
      <w:r w:rsidR="00165D99">
        <w:rPr>
          <w:rFonts w:ascii="Book Antiqua" w:hAnsi="Book Antiqua" w:cs="Arial"/>
        </w:rPr>
        <w:t xml:space="preserve">application </w:t>
      </w:r>
      <w:proofErr w:type="gramStart"/>
      <w:r w:rsidR="00165D99">
        <w:rPr>
          <w:rFonts w:ascii="Book Antiqua" w:hAnsi="Book Antiqua" w:cs="Arial"/>
        </w:rPr>
        <w:t>form</w:t>
      </w:r>
      <w:proofErr w:type="gramEnd"/>
      <w:r w:rsidR="00165D99">
        <w:rPr>
          <w:rFonts w:ascii="Book Antiqua" w:hAnsi="Book Antiqua" w:cs="Arial"/>
        </w:rPr>
        <w:t xml:space="preserve"> it was i</w:t>
      </w:r>
      <w:r>
        <w:rPr>
          <w:rFonts w:ascii="Book Antiqua" w:hAnsi="Book Antiqua" w:cs="Arial"/>
        </w:rPr>
        <w:t>ndicat</w:t>
      </w:r>
      <w:r w:rsidR="00165D99">
        <w:rPr>
          <w:rFonts w:ascii="Book Antiqua" w:hAnsi="Book Antiqua" w:cs="Arial"/>
        </w:rPr>
        <w:t xml:space="preserve">ed that the Appellant </w:t>
      </w:r>
      <w:r w:rsidR="00376C1D">
        <w:rPr>
          <w:rFonts w:ascii="Book Antiqua" w:hAnsi="Book Antiqua" w:cs="Arial"/>
        </w:rPr>
        <w:t xml:space="preserve">was </w:t>
      </w:r>
      <w:r w:rsidR="00165D99">
        <w:rPr>
          <w:rFonts w:ascii="Book Antiqua" w:hAnsi="Book Antiqua" w:cs="Arial"/>
        </w:rPr>
        <w:t xml:space="preserve">no longer in a relationship with </w:t>
      </w:r>
      <w:r w:rsidR="00D338B7">
        <w:rPr>
          <w:rFonts w:ascii="Book Antiqua" w:hAnsi="Book Antiqua" w:cs="Arial"/>
        </w:rPr>
        <w:t>[SJ]</w:t>
      </w:r>
      <w:r>
        <w:rPr>
          <w:rFonts w:ascii="Book Antiqua" w:hAnsi="Book Antiqua" w:cs="Arial"/>
        </w:rPr>
        <w:t>,</w:t>
      </w:r>
      <w:r w:rsidR="00165D99">
        <w:rPr>
          <w:rFonts w:ascii="Book Antiqua" w:hAnsi="Book Antiqua" w:cs="Arial"/>
        </w:rPr>
        <w:t xml:space="preserve"> and it was also i</w:t>
      </w:r>
      <w:r>
        <w:rPr>
          <w:rFonts w:ascii="Book Antiqua" w:hAnsi="Book Antiqua" w:cs="Arial"/>
        </w:rPr>
        <w:t>n</w:t>
      </w:r>
      <w:r w:rsidR="00165D99">
        <w:rPr>
          <w:rFonts w:ascii="Book Antiqua" w:hAnsi="Book Antiqua" w:cs="Arial"/>
        </w:rPr>
        <w:t>di</w:t>
      </w:r>
      <w:r>
        <w:rPr>
          <w:rFonts w:ascii="Book Antiqua" w:hAnsi="Book Antiqua" w:cs="Arial"/>
        </w:rPr>
        <w:t>cat</w:t>
      </w:r>
      <w:r w:rsidR="00165D99">
        <w:rPr>
          <w:rFonts w:ascii="Book Antiqua" w:hAnsi="Book Antiqua" w:cs="Arial"/>
        </w:rPr>
        <w:t xml:space="preserve">ed that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9F40C7">
        <w:rPr>
          <w:rFonts w:ascii="Book Antiqua" w:hAnsi="Book Antiqua" w:cs="Arial"/>
        </w:rPr>
        <w:t xml:space="preserve"> </w:t>
      </w:r>
      <w:r w:rsidR="00165D99">
        <w:rPr>
          <w:rFonts w:ascii="Book Antiqua" w:hAnsi="Book Antiqua" w:cs="Arial"/>
        </w:rPr>
        <w:t>lived with his mother</w:t>
      </w:r>
      <w:r>
        <w:rPr>
          <w:rFonts w:ascii="Book Antiqua" w:hAnsi="Book Antiqua" w:cs="Arial"/>
        </w:rPr>
        <w:t xml:space="preserve">. </w:t>
      </w:r>
      <w:r w:rsidR="00165D99">
        <w:rPr>
          <w:rFonts w:ascii="Book Antiqua" w:hAnsi="Book Antiqua" w:cs="Arial"/>
        </w:rPr>
        <w:t xml:space="preserve"> </w:t>
      </w:r>
      <w:r>
        <w:rPr>
          <w:rFonts w:ascii="Book Antiqua" w:hAnsi="Book Antiqua" w:cs="Arial"/>
        </w:rPr>
        <w:t>Section 7 of the application form was completed on the ba</w:t>
      </w:r>
      <w:r w:rsidR="009335A1">
        <w:rPr>
          <w:rFonts w:ascii="Book Antiqua" w:hAnsi="Book Antiqua" w:cs="Arial"/>
        </w:rPr>
        <w:t>s</w:t>
      </w:r>
      <w:r>
        <w:rPr>
          <w:rFonts w:ascii="Book Antiqua" w:hAnsi="Book Antiqua" w:cs="Arial"/>
        </w:rPr>
        <w:t xml:space="preserve">is that the Appellant and </w:t>
      </w:r>
      <w:r w:rsidR="00D338B7">
        <w:rPr>
          <w:rFonts w:ascii="Book Antiqua" w:hAnsi="Book Antiqua" w:cs="Arial"/>
        </w:rPr>
        <w:t>[SJ]</w:t>
      </w:r>
      <w:r w:rsidR="00D338B7">
        <w:rPr>
          <w:rFonts w:ascii="Book Antiqua" w:hAnsi="Book Antiqua" w:cs="Arial"/>
        </w:rPr>
        <w:t xml:space="preserve"> </w:t>
      </w:r>
      <w:r w:rsidR="00165D99">
        <w:rPr>
          <w:rFonts w:ascii="Book Antiqua" w:hAnsi="Book Antiqua" w:cs="Arial"/>
        </w:rPr>
        <w:t xml:space="preserve">were said to be joint primary carers for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165D99">
        <w:rPr>
          <w:rFonts w:ascii="Book Antiqua" w:hAnsi="Book Antiqua" w:cs="Arial"/>
        </w:rPr>
        <w:t>.</w:t>
      </w:r>
      <w:r w:rsidR="0023252F">
        <w:rPr>
          <w:rFonts w:ascii="Book Antiqua" w:hAnsi="Book Antiqua" w:cs="Arial"/>
        </w:rPr>
        <w:t xml:space="preserve">  </w:t>
      </w:r>
    </w:p>
    <w:p w:rsidR="00775A17" w:rsidRDefault="00773D6D" w:rsidP="005C0D31">
      <w:pPr>
        <w:spacing w:before="240"/>
        <w:ind w:left="567" w:hanging="567"/>
        <w:jc w:val="both"/>
        <w:rPr>
          <w:rFonts w:ascii="Book Antiqua" w:hAnsi="Book Antiqua" w:cs="Arial"/>
        </w:rPr>
      </w:pPr>
      <w:r>
        <w:rPr>
          <w:rFonts w:ascii="Book Antiqua" w:hAnsi="Book Antiqua" w:cs="Arial"/>
        </w:rPr>
        <w:t>5</w:t>
      </w:r>
      <w:r w:rsidR="00775A17">
        <w:rPr>
          <w:rFonts w:ascii="Book Antiqua" w:hAnsi="Book Antiqua" w:cs="Arial"/>
        </w:rPr>
        <w:t>.</w:t>
      </w:r>
      <w:r w:rsidR="00775A17">
        <w:rPr>
          <w:rFonts w:ascii="Book Antiqua" w:hAnsi="Book Antiqua" w:cs="Arial"/>
        </w:rPr>
        <w:tab/>
      </w:r>
      <w:r w:rsidR="0023252F">
        <w:rPr>
          <w:rFonts w:ascii="Book Antiqua" w:hAnsi="Book Antiqua" w:cs="Arial"/>
        </w:rPr>
        <w:t>The Appellant’s appli</w:t>
      </w:r>
      <w:r>
        <w:rPr>
          <w:rFonts w:ascii="Book Antiqua" w:hAnsi="Book Antiqua" w:cs="Arial"/>
        </w:rPr>
        <w:t>cation was refused by way of a N</w:t>
      </w:r>
      <w:r w:rsidR="0023252F">
        <w:rPr>
          <w:rFonts w:ascii="Book Antiqua" w:hAnsi="Book Antiqua" w:cs="Arial"/>
        </w:rPr>
        <w:t xml:space="preserve">otice of </w:t>
      </w:r>
      <w:r>
        <w:rPr>
          <w:rFonts w:ascii="Book Antiqua" w:hAnsi="Book Antiqua" w:cs="Arial"/>
        </w:rPr>
        <w:t>I</w:t>
      </w:r>
      <w:r w:rsidR="0023252F">
        <w:rPr>
          <w:rFonts w:ascii="Book Antiqua" w:hAnsi="Book Antiqua" w:cs="Arial"/>
        </w:rPr>
        <w:t xml:space="preserve">mmigration </w:t>
      </w:r>
      <w:r>
        <w:rPr>
          <w:rFonts w:ascii="Book Antiqua" w:hAnsi="Book Antiqua" w:cs="Arial"/>
        </w:rPr>
        <w:t>D</w:t>
      </w:r>
      <w:r w:rsidR="0023252F">
        <w:rPr>
          <w:rFonts w:ascii="Book Antiqua" w:hAnsi="Book Antiqua" w:cs="Arial"/>
        </w:rPr>
        <w:t>ecision dated 20 December</w:t>
      </w:r>
      <w:r>
        <w:rPr>
          <w:rFonts w:ascii="Book Antiqua" w:hAnsi="Book Antiqua" w:cs="Arial"/>
        </w:rPr>
        <w:t xml:space="preserve"> 2016 for reasons set out in a ‘r</w:t>
      </w:r>
      <w:r w:rsidR="0023252F">
        <w:rPr>
          <w:rFonts w:ascii="Book Antiqua" w:hAnsi="Book Antiqua" w:cs="Arial"/>
        </w:rPr>
        <w:t xml:space="preserve">easons for </w:t>
      </w:r>
      <w:r>
        <w:rPr>
          <w:rFonts w:ascii="Book Antiqua" w:hAnsi="Book Antiqua" w:cs="Arial"/>
        </w:rPr>
        <w:t>r</w:t>
      </w:r>
      <w:r w:rsidR="0023252F">
        <w:rPr>
          <w:rFonts w:ascii="Book Antiqua" w:hAnsi="Book Antiqua" w:cs="Arial"/>
        </w:rPr>
        <w:t>efusal</w:t>
      </w:r>
      <w:r>
        <w:rPr>
          <w:rFonts w:ascii="Book Antiqua" w:hAnsi="Book Antiqua" w:cs="Arial"/>
        </w:rPr>
        <w:t>’</w:t>
      </w:r>
      <w:r w:rsidR="0023252F">
        <w:rPr>
          <w:rFonts w:ascii="Book Antiqua" w:hAnsi="Book Antiqua" w:cs="Arial"/>
        </w:rPr>
        <w:t xml:space="preserve"> </w:t>
      </w:r>
      <w:r>
        <w:rPr>
          <w:rFonts w:ascii="Book Antiqua" w:hAnsi="Book Antiqua" w:cs="Arial"/>
        </w:rPr>
        <w:t>l</w:t>
      </w:r>
      <w:r w:rsidR="0023252F">
        <w:rPr>
          <w:rFonts w:ascii="Book Antiqua" w:hAnsi="Book Antiqua" w:cs="Arial"/>
        </w:rPr>
        <w:t>etter</w:t>
      </w:r>
      <w:r>
        <w:rPr>
          <w:rFonts w:ascii="Book Antiqua" w:hAnsi="Book Antiqua" w:cs="Arial"/>
        </w:rPr>
        <w:t xml:space="preserve"> (‘RFRL’)</w:t>
      </w:r>
      <w:r w:rsidR="0023252F">
        <w:rPr>
          <w:rFonts w:ascii="Book Antiqua" w:hAnsi="Book Antiqua" w:cs="Arial"/>
        </w:rPr>
        <w:t xml:space="preserve"> of the same date</w:t>
      </w:r>
      <w:r>
        <w:rPr>
          <w:rFonts w:ascii="Book Antiqua" w:hAnsi="Book Antiqua" w:cs="Arial"/>
        </w:rPr>
        <w:t>.</w:t>
      </w:r>
      <w:r w:rsidR="0023252F">
        <w:rPr>
          <w:rFonts w:ascii="Book Antiqua" w:hAnsi="Book Antiqua" w:cs="Arial"/>
        </w:rPr>
        <w:t xml:space="preserve"> </w:t>
      </w:r>
      <w:r>
        <w:rPr>
          <w:rFonts w:ascii="Book Antiqua" w:hAnsi="Book Antiqua" w:cs="Arial"/>
        </w:rPr>
        <w:t>Reference was made to the r</w:t>
      </w:r>
      <w:r w:rsidR="0023252F">
        <w:rPr>
          <w:rFonts w:ascii="Book Antiqua" w:hAnsi="Book Antiqua" w:cs="Arial"/>
        </w:rPr>
        <w:t>egulations to which I have referred above</w:t>
      </w:r>
      <w:r w:rsidR="00775A17">
        <w:rPr>
          <w:rFonts w:ascii="Book Antiqua" w:hAnsi="Book Antiqua" w:cs="Arial"/>
        </w:rPr>
        <w:t xml:space="preserve">. </w:t>
      </w:r>
      <w:r w:rsidR="00376C1D">
        <w:rPr>
          <w:rFonts w:ascii="Book Antiqua" w:hAnsi="Book Antiqua" w:cs="Arial"/>
        </w:rPr>
        <w:t xml:space="preserve"> </w:t>
      </w:r>
      <w:r w:rsidR="00775A17">
        <w:rPr>
          <w:rFonts w:ascii="Book Antiqua" w:hAnsi="Book Antiqua" w:cs="Arial"/>
        </w:rPr>
        <w:t xml:space="preserve">In </w:t>
      </w:r>
      <w:r w:rsidR="00376C1D">
        <w:rPr>
          <w:rFonts w:ascii="Book Antiqua" w:hAnsi="Book Antiqua" w:cs="Arial"/>
        </w:rPr>
        <w:t>particular</w:t>
      </w:r>
      <w:r>
        <w:rPr>
          <w:rFonts w:ascii="Book Antiqua" w:hAnsi="Book Antiqua" w:cs="Arial"/>
        </w:rPr>
        <w:t>,</w:t>
      </w:r>
      <w:r w:rsidR="00376C1D">
        <w:rPr>
          <w:rFonts w:ascii="Book Antiqua" w:hAnsi="Book Antiqua" w:cs="Arial"/>
        </w:rPr>
        <w:t xml:space="preserve"> with reference to </w:t>
      </w:r>
      <w:r>
        <w:rPr>
          <w:rFonts w:ascii="Book Antiqua" w:hAnsi="Book Antiqua" w:cs="Arial"/>
        </w:rPr>
        <w:t xml:space="preserve">regulation 15A(7)(ii) </w:t>
      </w:r>
      <w:r w:rsidR="00376C1D">
        <w:rPr>
          <w:rFonts w:ascii="Book Antiqua" w:hAnsi="Book Antiqua" w:cs="Arial"/>
        </w:rPr>
        <w:t>t</w:t>
      </w:r>
      <w:r>
        <w:rPr>
          <w:rFonts w:ascii="Book Antiqua" w:hAnsi="Book Antiqua" w:cs="Arial"/>
        </w:rPr>
        <w:t>he Respondent</w:t>
      </w:r>
      <w:r w:rsidR="00376C1D">
        <w:rPr>
          <w:rFonts w:ascii="Book Antiqua" w:hAnsi="Book Antiqua" w:cs="Arial"/>
        </w:rPr>
        <w:t xml:space="preserve"> noted that the Appellant could not be considered to be a primary carer </w:t>
      </w:r>
      <w:r w:rsidR="00EF1A7D">
        <w:rPr>
          <w:rFonts w:ascii="Book Antiqua" w:hAnsi="Book Antiqua" w:cs="Arial"/>
        </w:rPr>
        <w:t xml:space="preserve">for the purposes of the Regulations </w:t>
      </w:r>
      <w:r w:rsidR="00376C1D">
        <w:rPr>
          <w:rFonts w:ascii="Book Antiqua" w:hAnsi="Book Antiqua" w:cs="Arial"/>
        </w:rPr>
        <w:t xml:space="preserve">because insofar as there was </w:t>
      </w:r>
      <w:r w:rsidR="00EF1A7D">
        <w:rPr>
          <w:rFonts w:ascii="Book Antiqua" w:hAnsi="Book Antiqua" w:cs="Arial"/>
        </w:rPr>
        <w:t>‘</w:t>
      </w:r>
      <w:r w:rsidR="00376C1D">
        <w:rPr>
          <w:rFonts w:ascii="Book Antiqua" w:hAnsi="Book Antiqua" w:cs="Arial"/>
        </w:rPr>
        <w:t>joint responsibility</w:t>
      </w:r>
      <w:r w:rsidR="00EF1A7D">
        <w:rPr>
          <w:rFonts w:ascii="Book Antiqua" w:hAnsi="Book Antiqua" w:cs="Arial"/>
        </w:rPr>
        <w:t>’</w:t>
      </w:r>
      <w:r w:rsidR="00376C1D">
        <w:rPr>
          <w:rFonts w:ascii="Book Antiqua" w:hAnsi="Book Antiqua" w:cs="Arial"/>
        </w:rPr>
        <w:t xml:space="preserve"> it was </w:t>
      </w:r>
      <w:r w:rsidR="00EF1A7D">
        <w:rPr>
          <w:rFonts w:ascii="Book Antiqua" w:hAnsi="Book Antiqua" w:cs="Arial"/>
        </w:rPr>
        <w:t>shared</w:t>
      </w:r>
      <w:r w:rsidR="00376C1D">
        <w:rPr>
          <w:rFonts w:ascii="Book Antiqua" w:hAnsi="Book Antiqua" w:cs="Arial"/>
        </w:rPr>
        <w:t xml:space="preserve"> with an </w:t>
      </w:r>
      <w:r w:rsidR="00EF1A7D">
        <w:rPr>
          <w:rFonts w:ascii="Book Antiqua" w:hAnsi="Book Antiqua" w:cs="Arial"/>
        </w:rPr>
        <w:t>‘</w:t>
      </w:r>
      <w:r w:rsidR="00376C1D">
        <w:rPr>
          <w:rFonts w:ascii="Book Antiqua" w:hAnsi="Book Antiqua" w:cs="Arial"/>
        </w:rPr>
        <w:t>exempt person</w:t>
      </w:r>
      <w:r w:rsidR="00EF1A7D">
        <w:rPr>
          <w:rFonts w:ascii="Book Antiqua" w:hAnsi="Book Antiqua" w:cs="Arial"/>
        </w:rPr>
        <w:t>’,</w:t>
      </w:r>
      <w:r w:rsidR="00376C1D">
        <w:rPr>
          <w:rFonts w:ascii="Book Antiqua" w:hAnsi="Book Antiqua" w:cs="Arial"/>
        </w:rPr>
        <w:t xml:space="preserve"> and therefore did not avail the Appellant under the Regulations.  </w:t>
      </w:r>
    </w:p>
    <w:p w:rsidR="00BF23BB" w:rsidRDefault="00EF1A7D" w:rsidP="005C0D31">
      <w:pPr>
        <w:spacing w:before="240"/>
        <w:ind w:left="567" w:hanging="567"/>
        <w:jc w:val="both"/>
        <w:rPr>
          <w:rFonts w:ascii="Book Antiqua" w:hAnsi="Book Antiqua" w:cs="Arial"/>
        </w:rPr>
      </w:pPr>
      <w:r>
        <w:rPr>
          <w:rFonts w:ascii="Book Antiqua" w:hAnsi="Book Antiqua" w:cs="Arial"/>
        </w:rPr>
        <w:t>6</w:t>
      </w:r>
      <w:r w:rsidR="00775A17">
        <w:rPr>
          <w:rFonts w:ascii="Book Antiqua" w:hAnsi="Book Antiqua" w:cs="Arial"/>
        </w:rPr>
        <w:t>.</w:t>
      </w:r>
      <w:r w:rsidR="00775A17">
        <w:rPr>
          <w:rFonts w:ascii="Book Antiqua" w:hAnsi="Book Antiqua" w:cs="Arial"/>
        </w:rPr>
        <w:tab/>
      </w:r>
      <w:r w:rsidR="00240728">
        <w:rPr>
          <w:rFonts w:ascii="Book Antiqua" w:hAnsi="Book Antiqua" w:cs="Arial"/>
        </w:rPr>
        <w:t xml:space="preserve">It was also observed </w:t>
      </w:r>
      <w:r>
        <w:rPr>
          <w:rFonts w:ascii="Book Antiqua" w:hAnsi="Book Antiqua" w:cs="Arial"/>
        </w:rPr>
        <w:t>in the RFRL, with regard to r</w:t>
      </w:r>
      <w:r w:rsidR="00240728">
        <w:rPr>
          <w:rFonts w:ascii="Book Antiqua" w:hAnsi="Book Antiqua" w:cs="Arial"/>
        </w:rPr>
        <w:t>egulation 15A(4</w:t>
      </w:r>
      <w:proofErr w:type="gramStart"/>
      <w:r w:rsidR="00240728">
        <w:rPr>
          <w:rFonts w:ascii="Book Antiqua" w:hAnsi="Book Antiqua" w:cs="Arial"/>
        </w:rPr>
        <w:t>A)(</w:t>
      </w:r>
      <w:proofErr w:type="gramEnd"/>
      <w:r w:rsidR="00240728">
        <w:rPr>
          <w:rFonts w:ascii="Book Antiqua" w:hAnsi="Book Antiqua" w:cs="Arial"/>
        </w:rPr>
        <w:t>c)</w:t>
      </w:r>
      <w:r>
        <w:rPr>
          <w:rFonts w:ascii="Book Antiqua" w:hAnsi="Book Antiqua" w:cs="Arial"/>
        </w:rPr>
        <w:t>,</w:t>
      </w:r>
      <w:r w:rsidR="00240728">
        <w:rPr>
          <w:rFonts w:ascii="Book Antiqua" w:hAnsi="Book Antiqua" w:cs="Arial"/>
        </w:rPr>
        <w:t xml:space="preserve"> that given that </w:t>
      </w:r>
      <w:r w:rsidR="00D338B7">
        <w:rPr>
          <w:rFonts w:ascii="Book Antiqua" w:hAnsi="Book Antiqua" w:cs="Arial"/>
        </w:rPr>
        <w:t>[SJ]</w:t>
      </w:r>
      <w:r w:rsidR="00D338B7">
        <w:rPr>
          <w:rFonts w:ascii="Book Antiqua" w:hAnsi="Book Antiqua" w:cs="Arial"/>
        </w:rPr>
        <w:t xml:space="preserve"> </w:t>
      </w:r>
      <w:r w:rsidR="00240728">
        <w:rPr>
          <w:rFonts w:ascii="Book Antiqua" w:hAnsi="Book Antiqua" w:cs="Arial"/>
        </w:rPr>
        <w:t xml:space="preserve">lived with the Appellant’s son </w:t>
      </w:r>
      <w:r>
        <w:rPr>
          <w:rFonts w:ascii="Book Antiqua" w:hAnsi="Book Antiqua" w:cs="Arial"/>
        </w:rPr>
        <w:t>“</w:t>
      </w:r>
      <w:r w:rsidRPr="00EF1A7D">
        <w:rPr>
          <w:rFonts w:ascii="Book Antiqua" w:hAnsi="Book Antiqua" w:cs="Arial"/>
          <w:i/>
        </w:rPr>
        <w:t>there i</w:t>
      </w:r>
      <w:r w:rsidR="00240728" w:rsidRPr="00EF1A7D">
        <w:rPr>
          <w:rFonts w:ascii="Book Antiqua" w:hAnsi="Book Antiqua" w:cs="Arial"/>
          <w:i/>
        </w:rPr>
        <w:t xml:space="preserve">s no reason </w:t>
      </w:r>
      <w:r w:rsidRPr="00EF1A7D">
        <w:rPr>
          <w:rFonts w:ascii="Book Antiqua" w:hAnsi="Book Antiqua" w:cs="Arial"/>
          <w:i/>
        </w:rPr>
        <w:t>why</w:t>
      </w:r>
      <w:r w:rsidR="00240728" w:rsidRPr="00EF1A7D">
        <w:rPr>
          <w:rFonts w:ascii="Book Antiqua" w:hAnsi="Book Antiqua" w:cs="Arial"/>
          <w:i/>
        </w:rPr>
        <w:t xml:space="preserve"> she </w:t>
      </w:r>
      <w:r w:rsidRPr="00EF1A7D">
        <w:rPr>
          <w:rFonts w:ascii="Book Antiqua" w:hAnsi="Book Antiqua" w:cs="Arial"/>
          <w:i/>
        </w:rPr>
        <w:t>c</w:t>
      </w:r>
      <w:r w:rsidR="00240728" w:rsidRPr="00EF1A7D">
        <w:rPr>
          <w:rFonts w:ascii="Book Antiqua" w:hAnsi="Book Antiqua" w:cs="Arial"/>
          <w:i/>
        </w:rPr>
        <w:t xml:space="preserve">ould not continue to do so </w:t>
      </w:r>
      <w:r w:rsidRPr="00EF1A7D">
        <w:rPr>
          <w:rFonts w:ascii="Book Antiqua" w:hAnsi="Book Antiqua" w:cs="Arial"/>
          <w:i/>
        </w:rPr>
        <w:t xml:space="preserve">and to </w:t>
      </w:r>
      <w:r w:rsidR="00240728" w:rsidRPr="00EF1A7D">
        <w:rPr>
          <w:rFonts w:ascii="Book Antiqua" w:hAnsi="Book Antiqua" w:cs="Arial"/>
          <w:i/>
        </w:rPr>
        <w:t xml:space="preserve">care for the child if </w:t>
      </w:r>
      <w:r w:rsidRPr="00EF1A7D">
        <w:rPr>
          <w:rFonts w:ascii="Book Antiqua" w:hAnsi="Book Antiqua" w:cs="Arial"/>
          <w:i/>
        </w:rPr>
        <w:t>[</w:t>
      </w:r>
      <w:r w:rsidR="00240728" w:rsidRPr="00EF1A7D">
        <w:rPr>
          <w:rFonts w:ascii="Book Antiqua" w:hAnsi="Book Antiqua" w:cs="Arial"/>
          <w:i/>
        </w:rPr>
        <w:t>the Appellant</w:t>
      </w:r>
      <w:r w:rsidRPr="00EF1A7D">
        <w:rPr>
          <w:rFonts w:ascii="Book Antiqua" w:hAnsi="Book Antiqua" w:cs="Arial"/>
          <w:i/>
        </w:rPr>
        <w:t>]</w:t>
      </w:r>
      <w:r w:rsidR="00240728" w:rsidRPr="00EF1A7D">
        <w:rPr>
          <w:rFonts w:ascii="Book Antiqua" w:hAnsi="Book Antiqua" w:cs="Arial"/>
          <w:i/>
        </w:rPr>
        <w:t xml:space="preserve"> were forced to leave the United Kingdom</w:t>
      </w:r>
      <w:r>
        <w:rPr>
          <w:rFonts w:ascii="Book Antiqua" w:hAnsi="Book Antiqua" w:cs="Arial"/>
        </w:rPr>
        <w:t>”.</w:t>
      </w:r>
      <w:r w:rsidR="00240728">
        <w:rPr>
          <w:rFonts w:ascii="Book Antiqua" w:hAnsi="Book Antiqua" w:cs="Arial"/>
        </w:rPr>
        <w:t xml:space="preserve"> </w:t>
      </w:r>
      <w:r>
        <w:rPr>
          <w:rFonts w:ascii="Book Antiqua" w:hAnsi="Book Antiqua" w:cs="Arial"/>
        </w:rPr>
        <w:t>T</w:t>
      </w:r>
      <w:r w:rsidR="00240728">
        <w:rPr>
          <w:rFonts w:ascii="Book Antiqua" w:hAnsi="Book Antiqua" w:cs="Arial"/>
        </w:rPr>
        <w:t>o that extent the</w:t>
      </w:r>
      <w:r>
        <w:rPr>
          <w:rFonts w:ascii="Book Antiqua" w:hAnsi="Book Antiqua" w:cs="Arial"/>
        </w:rPr>
        <w:t xml:space="preserve"> Respondent considered ther</w:t>
      </w:r>
      <w:r w:rsidR="00240728">
        <w:rPr>
          <w:rFonts w:ascii="Book Antiqua" w:hAnsi="Book Antiqua" w:cs="Arial"/>
        </w:rPr>
        <w:t xml:space="preserve">e was insufficient evidence to show that </w:t>
      </w:r>
      <w:r>
        <w:rPr>
          <w:rFonts w:ascii="Book Antiqua" w:hAnsi="Book Antiqua" w:cs="Arial"/>
        </w:rPr>
        <w:t>“</w:t>
      </w:r>
      <w:r w:rsidR="00240728" w:rsidRPr="00EF1A7D">
        <w:rPr>
          <w:rFonts w:ascii="Book Antiqua" w:hAnsi="Book Antiqua" w:cs="Arial"/>
          <w:i/>
        </w:rPr>
        <w:t>the</w:t>
      </w:r>
      <w:r w:rsidRPr="00EF1A7D">
        <w:rPr>
          <w:rFonts w:ascii="Book Antiqua" w:hAnsi="Book Antiqua" w:cs="Arial"/>
          <w:i/>
        </w:rPr>
        <w:t xml:space="preserve"> relevant</w:t>
      </w:r>
      <w:r w:rsidR="00240728" w:rsidRPr="00EF1A7D">
        <w:rPr>
          <w:rFonts w:ascii="Book Antiqua" w:hAnsi="Book Antiqua" w:cs="Arial"/>
          <w:i/>
        </w:rPr>
        <w:t xml:space="preserve"> British c</w:t>
      </w:r>
      <w:r w:rsidRPr="00EF1A7D">
        <w:rPr>
          <w:rFonts w:ascii="Book Antiqua" w:hAnsi="Book Antiqua" w:cs="Arial"/>
          <w:i/>
        </w:rPr>
        <w:t>itizen</w:t>
      </w:r>
      <w:r w:rsidR="00240728" w:rsidRPr="00EF1A7D">
        <w:rPr>
          <w:rFonts w:ascii="Book Antiqua" w:hAnsi="Book Antiqua" w:cs="Arial"/>
          <w:i/>
        </w:rPr>
        <w:t xml:space="preserve"> would be unable to re</w:t>
      </w:r>
      <w:r w:rsidRPr="00EF1A7D">
        <w:rPr>
          <w:rFonts w:ascii="Book Antiqua" w:hAnsi="Book Antiqua" w:cs="Arial"/>
          <w:i/>
        </w:rPr>
        <w:t>side</w:t>
      </w:r>
      <w:r w:rsidR="00240728" w:rsidRPr="00EF1A7D">
        <w:rPr>
          <w:rFonts w:ascii="Book Antiqua" w:hAnsi="Book Antiqua" w:cs="Arial"/>
          <w:i/>
        </w:rPr>
        <w:t xml:space="preserve"> in the</w:t>
      </w:r>
      <w:r w:rsidRPr="00EF1A7D">
        <w:rPr>
          <w:rFonts w:ascii="Book Antiqua" w:hAnsi="Book Antiqua" w:cs="Arial"/>
          <w:i/>
        </w:rPr>
        <w:t xml:space="preserve"> UK or in another </w:t>
      </w:r>
      <w:r w:rsidR="00240728" w:rsidRPr="00EF1A7D">
        <w:rPr>
          <w:rFonts w:ascii="Book Antiqua" w:hAnsi="Book Antiqua" w:cs="Arial"/>
          <w:i/>
        </w:rPr>
        <w:t xml:space="preserve">EEA </w:t>
      </w:r>
      <w:r w:rsidRPr="00EF1A7D">
        <w:rPr>
          <w:rFonts w:ascii="Book Antiqua" w:hAnsi="Book Antiqua" w:cs="Arial"/>
          <w:i/>
        </w:rPr>
        <w:t xml:space="preserve">State </w:t>
      </w:r>
      <w:r w:rsidR="00240728" w:rsidRPr="00EF1A7D">
        <w:rPr>
          <w:rFonts w:ascii="Book Antiqua" w:hAnsi="Book Antiqua" w:cs="Arial"/>
          <w:i/>
        </w:rPr>
        <w:t xml:space="preserve">if </w:t>
      </w:r>
      <w:r w:rsidRPr="00EF1A7D">
        <w:rPr>
          <w:rFonts w:ascii="Book Antiqua" w:hAnsi="Book Antiqua" w:cs="Arial"/>
          <w:i/>
        </w:rPr>
        <w:t>[</w:t>
      </w:r>
      <w:r w:rsidR="00240728" w:rsidRPr="00EF1A7D">
        <w:rPr>
          <w:rFonts w:ascii="Book Antiqua" w:hAnsi="Book Antiqua" w:cs="Arial"/>
          <w:i/>
        </w:rPr>
        <w:t>the Appellant</w:t>
      </w:r>
      <w:r w:rsidRPr="00EF1A7D">
        <w:rPr>
          <w:rFonts w:ascii="Book Antiqua" w:hAnsi="Book Antiqua" w:cs="Arial"/>
          <w:i/>
        </w:rPr>
        <w:t>]</w:t>
      </w:r>
      <w:r w:rsidR="00240728" w:rsidRPr="00EF1A7D">
        <w:rPr>
          <w:rFonts w:ascii="Book Antiqua" w:hAnsi="Book Antiqua" w:cs="Arial"/>
          <w:i/>
        </w:rPr>
        <w:t xml:space="preserve"> were </w:t>
      </w:r>
      <w:r w:rsidRPr="00EF1A7D">
        <w:rPr>
          <w:rFonts w:ascii="Book Antiqua" w:hAnsi="Book Antiqua" w:cs="Arial"/>
          <w:i/>
        </w:rPr>
        <w:t>requir</w:t>
      </w:r>
      <w:r w:rsidR="00240728" w:rsidRPr="00EF1A7D">
        <w:rPr>
          <w:rFonts w:ascii="Book Antiqua" w:hAnsi="Book Antiqua" w:cs="Arial"/>
          <w:i/>
        </w:rPr>
        <w:t>ed to leave</w:t>
      </w:r>
      <w:r>
        <w:rPr>
          <w:rFonts w:ascii="Book Antiqua" w:hAnsi="Book Antiqua" w:cs="Arial"/>
        </w:rPr>
        <w:t>”</w:t>
      </w:r>
      <w:r w:rsidR="00240728">
        <w:rPr>
          <w:rFonts w:ascii="Book Antiqua" w:hAnsi="Book Antiqua" w:cs="Arial"/>
        </w:rPr>
        <w:t>.</w:t>
      </w:r>
    </w:p>
    <w:p w:rsidR="00EF1A7D" w:rsidRDefault="00EF1A7D" w:rsidP="005C0D31">
      <w:pPr>
        <w:spacing w:before="240"/>
        <w:ind w:left="567" w:hanging="567"/>
        <w:jc w:val="both"/>
        <w:rPr>
          <w:rFonts w:ascii="Book Antiqua" w:hAnsi="Book Antiqua" w:cs="Arial"/>
        </w:rPr>
      </w:pPr>
      <w:r>
        <w:rPr>
          <w:rFonts w:ascii="Book Antiqua" w:hAnsi="Book Antiqua" w:cs="Arial"/>
        </w:rPr>
        <w:t>7</w:t>
      </w:r>
      <w:r w:rsidR="008971D8">
        <w:rPr>
          <w:rFonts w:ascii="Book Antiqua" w:hAnsi="Book Antiqua" w:cs="Arial"/>
        </w:rPr>
        <w:t>.</w:t>
      </w:r>
      <w:r w:rsidR="00102B82">
        <w:rPr>
          <w:rFonts w:ascii="Book Antiqua" w:hAnsi="Book Antiqua" w:cs="Arial"/>
        </w:rPr>
        <w:tab/>
        <w:t>The Appellant appealed to the IAC</w:t>
      </w:r>
      <w:r>
        <w:rPr>
          <w:rFonts w:ascii="Book Antiqua" w:hAnsi="Book Antiqua" w:cs="Arial"/>
        </w:rPr>
        <w:t>.</w:t>
      </w:r>
    </w:p>
    <w:p w:rsidR="00104BFE" w:rsidRDefault="00EF1A7D" w:rsidP="005C0D31">
      <w:pPr>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r>
      <w:r w:rsidR="003B08AC">
        <w:rPr>
          <w:rFonts w:ascii="Book Antiqua" w:hAnsi="Book Antiqua" w:cs="Arial"/>
        </w:rPr>
        <w:t>A bundle of documents was</w:t>
      </w:r>
      <w:r w:rsidR="00102B82">
        <w:rPr>
          <w:rFonts w:ascii="Book Antiqua" w:hAnsi="Book Antiqua" w:cs="Arial"/>
        </w:rPr>
        <w:t xml:space="preserve"> filed by the Appellant</w:t>
      </w:r>
      <w:r w:rsidRPr="00EF1A7D">
        <w:rPr>
          <w:rFonts w:ascii="Book Antiqua" w:hAnsi="Book Antiqua" w:cs="Arial"/>
        </w:rPr>
        <w:t xml:space="preserve"> </w:t>
      </w:r>
      <w:r>
        <w:rPr>
          <w:rFonts w:ascii="Book Antiqua" w:hAnsi="Book Antiqua" w:cs="Arial"/>
        </w:rPr>
        <w:t xml:space="preserve">before the First-tier Tribunal which </w:t>
      </w:r>
      <w:r w:rsidR="008214A0">
        <w:rPr>
          <w:rFonts w:ascii="Book Antiqua" w:hAnsi="Book Antiqua" w:cs="Arial"/>
        </w:rPr>
        <w:t>co</w:t>
      </w:r>
      <w:r>
        <w:rPr>
          <w:rFonts w:ascii="Book Antiqua" w:hAnsi="Book Antiqua" w:cs="Arial"/>
        </w:rPr>
        <w:t>mpris</w:t>
      </w:r>
      <w:r w:rsidR="00102B82">
        <w:rPr>
          <w:rFonts w:ascii="Book Antiqua" w:hAnsi="Book Antiqua" w:cs="Arial"/>
        </w:rPr>
        <w:t>ed</w:t>
      </w:r>
      <w:r>
        <w:rPr>
          <w:rFonts w:ascii="Book Antiqua" w:hAnsi="Book Antiqua" w:cs="Arial"/>
        </w:rPr>
        <w:t>:</w:t>
      </w:r>
      <w:r w:rsidR="00102B82">
        <w:rPr>
          <w:rFonts w:ascii="Book Antiqua" w:hAnsi="Book Antiqua" w:cs="Arial"/>
        </w:rPr>
        <w:t xml:space="preserve"> </w:t>
      </w:r>
      <w:r w:rsidR="008214A0">
        <w:rPr>
          <w:rFonts w:ascii="Book Antiqua" w:hAnsi="Book Antiqua" w:cs="Arial"/>
        </w:rPr>
        <w:t xml:space="preserve">a skeleton argument; </w:t>
      </w:r>
      <w:r w:rsidR="00102B82">
        <w:rPr>
          <w:rFonts w:ascii="Book Antiqua" w:hAnsi="Book Antiqua" w:cs="Arial"/>
        </w:rPr>
        <w:t>source materials with regard to legislation</w:t>
      </w:r>
      <w:r>
        <w:rPr>
          <w:rFonts w:ascii="Book Antiqua" w:hAnsi="Book Antiqua" w:cs="Arial"/>
        </w:rPr>
        <w:t>;</w:t>
      </w:r>
      <w:r w:rsidR="00102B82">
        <w:rPr>
          <w:rFonts w:ascii="Book Antiqua" w:hAnsi="Book Antiqua" w:cs="Arial"/>
        </w:rPr>
        <w:t xml:space="preserve"> </w:t>
      </w:r>
      <w:r>
        <w:rPr>
          <w:rFonts w:ascii="Book Antiqua" w:hAnsi="Book Antiqua" w:cs="Arial"/>
        </w:rPr>
        <w:t>a</w:t>
      </w:r>
      <w:r w:rsidR="00102B82">
        <w:rPr>
          <w:rFonts w:ascii="Book Antiqua" w:hAnsi="Book Antiqua" w:cs="Arial"/>
        </w:rPr>
        <w:t xml:space="preserve"> marriage certificate in respect of a marriage on 21 February 2013 between the Appellant and </w:t>
      </w:r>
      <w:r w:rsidR="00D338B7">
        <w:rPr>
          <w:rFonts w:ascii="Book Antiqua" w:hAnsi="Book Antiqua" w:cs="Arial"/>
        </w:rPr>
        <w:t>[</w:t>
      </w:r>
      <w:r w:rsidR="00102B82">
        <w:rPr>
          <w:rFonts w:ascii="Book Antiqua" w:hAnsi="Book Antiqua" w:cs="Arial"/>
        </w:rPr>
        <w:t>SW</w:t>
      </w:r>
      <w:r w:rsidR="00D338B7">
        <w:rPr>
          <w:rFonts w:ascii="Book Antiqua" w:hAnsi="Book Antiqua" w:cs="Arial"/>
        </w:rPr>
        <w:t xml:space="preserve">] </w:t>
      </w:r>
      <w:r w:rsidR="008214A0">
        <w:rPr>
          <w:rFonts w:ascii="Book Antiqua" w:hAnsi="Book Antiqua" w:cs="Arial"/>
        </w:rPr>
        <w:t>(</w:t>
      </w:r>
      <w:r w:rsidR="00102B82">
        <w:rPr>
          <w:rFonts w:ascii="Book Antiqua" w:hAnsi="Book Antiqua" w:cs="Arial"/>
        </w:rPr>
        <w:t xml:space="preserve">otherwise </w:t>
      </w:r>
      <w:r w:rsidR="00D338B7">
        <w:rPr>
          <w:rFonts w:ascii="Book Antiqua" w:hAnsi="Book Antiqua" w:cs="Arial"/>
        </w:rPr>
        <w:t>[</w:t>
      </w:r>
      <w:r w:rsidR="00102B82">
        <w:rPr>
          <w:rFonts w:ascii="Book Antiqua" w:hAnsi="Book Antiqua" w:cs="Arial"/>
        </w:rPr>
        <w:t>S</w:t>
      </w:r>
      <w:r w:rsidR="00D338B7">
        <w:rPr>
          <w:rFonts w:ascii="Book Antiqua" w:hAnsi="Book Antiqua" w:cs="Arial"/>
        </w:rPr>
        <w:t>S</w:t>
      </w:r>
      <w:r w:rsidR="00EE7061">
        <w:rPr>
          <w:rFonts w:ascii="Book Antiqua" w:hAnsi="Book Antiqua" w:cs="Arial"/>
        </w:rPr>
        <w:t>S</w:t>
      </w:r>
      <w:r w:rsidR="00D338B7">
        <w:rPr>
          <w:rFonts w:ascii="Book Antiqua" w:hAnsi="Book Antiqua" w:cs="Arial"/>
        </w:rPr>
        <w:t>W]</w:t>
      </w:r>
      <w:r w:rsidR="008214A0">
        <w:rPr>
          <w:rFonts w:ascii="Book Antiqua" w:hAnsi="Book Antiqua" w:cs="Arial"/>
        </w:rPr>
        <w:t>);</w:t>
      </w:r>
      <w:r w:rsidR="008B6CDF">
        <w:rPr>
          <w:rFonts w:ascii="Book Antiqua" w:hAnsi="Book Antiqua" w:cs="Arial"/>
        </w:rPr>
        <w:t xml:space="preserve"> </w:t>
      </w:r>
      <w:r w:rsidR="008214A0">
        <w:rPr>
          <w:rFonts w:ascii="Book Antiqua" w:hAnsi="Book Antiqua" w:cs="Arial"/>
        </w:rPr>
        <w:t>a</w:t>
      </w:r>
      <w:r w:rsidR="008B6CDF">
        <w:rPr>
          <w:rFonts w:ascii="Book Antiqua" w:hAnsi="Book Antiqua" w:cs="Arial"/>
        </w:rPr>
        <w:t xml:space="preserve"> birth certificate</w:t>
      </w:r>
      <w:r w:rsidR="008214A0">
        <w:rPr>
          <w:rFonts w:ascii="Book Antiqua" w:hAnsi="Book Antiqua" w:cs="Arial"/>
        </w:rPr>
        <w:t xml:space="preserve"> for</w:t>
      </w:r>
      <w:r w:rsidR="008B6CDF">
        <w:rPr>
          <w:rFonts w:ascii="Book Antiqua" w:hAnsi="Book Antiqua" w:cs="Arial"/>
        </w:rPr>
        <w:t xml:space="preserve">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8214A0">
        <w:rPr>
          <w:rFonts w:ascii="Book Antiqua" w:hAnsi="Book Antiqua" w:cs="Arial"/>
        </w:rPr>
        <w:t xml:space="preserve">; </w:t>
      </w:r>
      <w:r w:rsidR="00104BFE">
        <w:rPr>
          <w:rFonts w:ascii="Book Antiqua" w:hAnsi="Book Antiqua" w:cs="Arial"/>
        </w:rPr>
        <w:t xml:space="preserve">and </w:t>
      </w:r>
      <w:r w:rsidR="008214A0">
        <w:rPr>
          <w:rFonts w:ascii="Book Antiqua" w:hAnsi="Book Antiqua" w:cs="Arial"/>
        </w:rPr>
        <w:t>a birth certificate for</w:t>
      </w:r>
      <w:r w:rsidR="008B6CDF">
        <w:rPr>
          <w:rFonts w:ascii="Book Antiqua" w:hAnsi="Book Antiqua" w:cs="Arial"/>
        </w:rPr>
        <w:t xml:space="preserve"> </w:t>
      </w:r>
      <w:r w:rsidR="00D338B7">
        <w:rPr>
          <w:rFonts w:ascii="Book Antiqua" w:hAnsi="Book Antiqua" w:cs="Arial"/>
        </w:rPr>
        <w:t>[</w:t>
      </w:r>
      <w:r w:rsidR="008B6CDF">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 xml:space="preserve">] </w:t>
      </w:r>
      <w:r w:rsidR="008214A0">
        <w:rPr>
          <w:rFonts w:ascii="Book Antiqua" w:hAnsi="Book Antiqua" w:cs="Arial"/>
        </w:rPr>
        <w:t>(</w:t>
      </w:r>
      <w:proofErr w:type="spellStart"/>
      <w:r w:rsidR="008214A0">
        <w:rPr>
          <w:rFonts w:ascii="Book Antiqua" w:hAnsi="Book Antiqua" w:cs="Arial"/>
        </w:rPr>
        <w:t>d.o.</w:t>
      </w:r>
      <w:r w:rsidR="008B6CDF">
        <w:rPr>
          <w:rFonts w:ascii="Book Antiqua" w:hAnsi="Book Antiqua" w:cs="Arial"/>
        </w:rPr>
        <w:t>b</w:t>
      </w:r>
      <w:proofErr w:type="spellEnd"/>
      <w:r w:rsidR="008214A0">
        <w:rPr>
          <w:rFonts w:ascii="Book Antiqua" w:hAnsi="Book Antiqua" w:cs="Arial"/>
        </w:rPr>
        <w:t>.</w:t>
      </w:r>
      <w:r w:rsidR="008B6CDF">
        <w:rPr>
          <w:rFonts w:ascii="Book Antiqua" w:hAnsi="Book Antiqua" w:cs="Arial"/>
        </w:rPr>
        <w:t xml:space="preserve"> </w:t>
      </w:r>
      <w:proofErr w:type="gramStart"/>
      <w:r w:rsidR="00D338B7">
        <w:rPr>
          <w:rFonts w:ascii="Book Antiqua" w:hAnsi="Book Antiqua" w:cs="Arial"/>
        </w:rPr>
        <w:t>[ ]</w:t>
      </w:r>
      <w:proofErr w:type="gramEnd"/>
      <w:r w:rsidR="00D338B7">
        <w:rPr>
          <w:rFonts w:ascii="Book Antiqua" w:hAnsi="Book Antiqua" w:cs="Arial"/>
        </w:rPr>
        <w:t xml:space="preserve"> </w:t>
      </w:r>
      <w:r w:rsidR="008B6CDF">
        <w:rPr>
          <w:rFonts w:ascii="Book Antiqua" w:hAnsi="Book Antiqua" w:cs="Arial"/>
        </w:rPr>
        <w:t>2014</w:t>
      </w:r>
      <w:r w:rsidR="008214A0">
        <w:rPr>
          <w:rFonts w:ascii="Book Antiqua" w:hAnsi="Book Antiqua" w:cs="Arial"/>
        </w:rPr>
        <w:t>)</w:t>
      </w:r>
      <w:r w:rsidR="00104BFE">
        <w:rPr>
          <w:rFonts w:ascii="Book Antiqua" w:hAnsi="Book Antiqua" w:cs="Arial"/>
        </w:rPr>
        <w:t>. The latter birth certificate showed</w:t>
      </w:r>
      <w:r w:rsidR="008B6CDF">
        <w:rPr>
          <w:rFonts w:ascii="Book Antiqua" w:hAnsi="Book Antiqua" w:cs="Arial"/>
        </w:rPr>
        <w:t xml:space="preserve"> </w:t>
      </w:r>
      <w:r w:rsidR="008214A0">
        <w:rPr>
          <w:rFonts w:ascii="Book Antiqua" w:hAnsi="Book Antiqua" w:cs="Arial"/>
        </w:rPr>
        <w:t>t</w:t>
      </w:r>
      <w:r w:rsidR="008B6CDF">
        <w:rPr>
          <w:rFonts w:ascii="Book Antiqua" w:hAnsi="Book Antiqua" w:cs="Arial"/>
        </w:rPr>
        <w:t xml:space="preserve">he mother as </w:t>
      </w:r>
      <w:r w:rsidR="00104BFE">
        <w:rPr>
          <w:rFonts w:ascii="Book Antiqua" w:hAnsi="Book Antiqua" w:cs="Arial"/>
        </w:rPr>
        <w:t>‘</w:t>
      </w:r>
      <w:r w:rsidR="00D338B7">
        <w:rPr>
          <w:rFonts w:ascii="Book Antiqua" w:hAnsi="Book Antiqua" w:cs="Arial"/>
        </w:rPr>
        <w:t>[</w:t>
      </w:r>
      <w:r w:rsidR="008B6CDF">
        <w:rPr>
          <w:rFonts w:ascii="Book Antiqua" w:hAnsi="Book Antiqua" w:cs="Arial"/>
        </w:rPr>
        <w:t>SM</w:t>
      </w:r>
      <w:r w:rsidR="00D338B7">
        <w:rPr>
          <w:rFonts w:ascii="Book Antiqua" w:hAnsi="Book Antiqua" w:cs="Arial"/>
        </w:rPr>
        <w:t xml:space="preserve">] </w:t>
      </w:r>
      <w:r w:rsidR="008B6CDF">
        <w:rPr>
          <w:rFonts w:ascii="Book Antiqua" w:hAnsi="Book Antiqua" w:cs="Arial"/>
        </w:rPr>
        <w:t xml:space="preserve">otherwise </w:t>
      </w:r>
      <w:r w:rsidR="00D338B7">
        <w:rPr>
          <w:rFonts w:ascii="Book Antiqua" w:hAnsi="Book Antiqua" w:cs="Arial"/>
        </w:rPr>
        <w:t>[</w:t>
      </w:r>
      <w:r w:rsidR="008B6CDF">
        <w:rPr>
          <w:rFonts w:ascii="Book Antiqua" w:hAnsi="Book Antiqua" w:cs="Arial"/>
        </w:rPr>
        <w:t>SSSW</w:t>
      </w:r>
      <w:r w:rsidR="00104BFE">
        <w:rPr>
          <w:rFonts w:ascii="Book Antiqua" w:hAnsi="Book Antiqua" w:cs="Arial"/>
        </w:rPr>
        <w:t>-</w:t>
      </w:r>
      <w:r w:rsidR="008B6CDF">
        <w:rPr>
          <w:rFonts w:ascii="Book Antiqua" w:hAnsi="Book Antiqua" w:cs="Arial"/>
        </w:rPr>
        <w:t>G</w:t>
      </w:r>
      <w:r w:rsidR="00D338B7">
        <w:rPr>
          <w:rFonts w:ascii="Book Antiqua" w:hAnsi="Book Antiqua" w:cs="Arial"/>
        </w:rPr>
        <w:t>]</w:t>
      </w:r>
      <w:r w:rsidR="00104BFE">
        <w:rPr>
          <w:rFonts w:ascii="Book Antiqua" w:hAnsi="Book Antiqua" w:cs="Arial"/>
        </w:rPr>
        <w:t>’ (whose</w:t>
      </w:r>
      <w:r w:rsidR="008B6CDF">
        <w:rPr>
          <w:rFonts w:ascii="Book Antiqua" w:hAnsi="Book Antiqua" w:cs="Arial"/>
        </w:rPr>
        <w:t xml:space="preserve"> maiden name </w:t>
      </w:r>
      <w:r w:rsidR="00104BFE">
        <w:rPr>
          <w:rFonts w:ascii="Book Antiqua" w:hAnsi="Book Antiqua" w:cs="Arial"/>
        </w:rPr>
        <w:t>was</w:t>
      </w:r>
      <w:r w:rsidR="008B6CDF">
        <w:rPr>
          <w:rFonts w:ascii="Book Antiqua" w:hAnsi="Book Antiqua" w:cs="Arial"/>
        </w:rPr>
        <w:t xml:space="preserve"> given as </w:t>
      </w:r>
      <w:r w:rsidR="00D338B7">
        <w:rPr>
          <w:rFonts w:ascii="Book Antiqua" w:hAnsi="Book Antiqua" w:cs="Arial"/>
        </w:rPr>
        <w:t>[</w:t>
      </w:r>
      <w:r w:rsidR="00104BFE">
        <w:rPr>
          <w:rFonts w:ascii="Book Antiqua" w:hAnsi="Book Antiqua" w:cs="Arial"/>
        </w:rPr>
        <w:t>‘</w:t>
      </w:r>
      <w:r w:rsidR="008B6CDF">
        <w:rPr>
          <w:rFonts w:ascii="Book Antiqua" w:hAnsi="Book Antiqua" w:cs="Arial"/>
        </w:rPr>
        <w:t>W</w:t>
      </w:r>
      <w:r w:rsidR="00104BFE">
        <w:rPr>
          <w:rFonts w:ascii="Book Antiqua" w:hAnsi="Book Antiqua" w:cs="Arial"/>
        </w:rPr>
        <w:t>’</w:t>
      </w:r>
      <w:r w:rsidR="00D338B7">
        <w:rPr>
          <w:rFonts w:ascii="Book Antiqua" w:hAnsi="Book Antiqua" w:cs="Arial"/>
        </w:rPr>
        <w:t>]</w:t>
      </w:r>
      <w:r w:rsidR="00104BFE">
        <w:rPr>
          <w:rFonts w:ascii="Book Antiqua" w:hAnsi="Book Antiqua" w:cs="Arial"/>
        </w:rPr>
        <w:t>. Both birth certificates named the Appellant as father.</w:t>
      </w:r>
    </w:p>
    <w:p w:rsidR="00EE7061" w:rsidRDefault="00104BFE" w:rsidP="005C0D31">
      <w:pPr>
        <w:spacing w:before="240"/>
        <w:ind w:left="567" w:hanging="567"/>
        <w:jc w:val="both"/>
        <w:rPr>
          <w:rFonts w:ascii="Book Antiqua" w:hAnsi="Book Antiqua" w:cs="Arial"/>
        </w:rPr>
      </w:pPr>
      <w:r>
        <w:rPr>
          <w:rFonts w:ascii="Book Antiqua" w:hAnsi="Book Antiqua" w:cs="Arial"/>
        </w:rPr>
        <w:t>9.</w:t>
      </w:r>
      <w:r>
        <w:rPr>
          <w:rFonts w:ascii="Book Antiqua" w:hAnsi="Book Antiqua" w:cs="Arial"/>
        </w:rPr>
        <w:tab/>
      </w:r>
      <w:r w:rsidR="008B6CDF">
        <w:rPr>
          <w:rFonts w:ascii="Book Antiqua" w:hAnsi="Book Antiqua" w:cs="Arial"/>
        </w:rPr>
        <w:t>There was nothing in the materials filed before the First-tier Tribunal by way of a witness statement from the Appellant</w:t>
      </w:r>
      <w:r w:rsidR="006F38DD">
        <w:rPr>
          <w:rFonts w:ascii="Book Antiqua" w:hAnsi="Book Antiqua" w:cs="Arial"/>
        </w:rPr>
        <w:t xml:space="preserve"> (albeit the skeleton argument, which contained some </w:t>
      </w:r>
      <w:r w:rsidR="002C07EE">
        <w:rPr>
          <w:rFonts w:ascii="Book Antiqua" w:hAnsi="Book Antiqua" w:cs="Arial"/>
        </w:rPr>
        <w:t xml:space="preserve">limited </w:t>
      </w:r>
      <w:r w:rsidR="006F38DD">
        <w:rPr>
          <w:rFonts w:ascii="Book Antiqua" w:hAnsi="Book Antiqua" w:cs="Arial"/>
        </w:rPr>
        <w:t xml:space="preserve">factual assertions, was signed by him). There was no witness statement from either </w:t>
      </w:r>
      <w:r w:rsidR="00D338B7">
        <w:rPr>
          <w:rFonts w:ascii="Book Antiqua" w:hAnsi="Book Antiqua" w:cs="Arial"/>
        </w:rPr>
        <w:t>[SJ]</w:t>
      </w:r>
      <w:r w:rsidR="00D338B7">
        <w:rPr>
          <w:rFonts w:ascii="Book Antiqua" w:hAnsi="Book Antiqua" w:cs="Arial"/>
        </w:rPr>
        <w:t xml:space="preserve"> </w:t>
      </w:r>
      <w:r w:rsidR="006F38DD">
        <w:rPr>
          <w:rFonts w:ascii="Book Antiqua" w:hAnsi="Book Antiqua" w:cs="Arial"/>
        </w:rPr>
        <w:t xml:space="preserve">or </w:t>
      </w:r>
      <w:r w:rsidR="00D338B7">
        <w:rPr>
          <w:rFonts w:ascii="Book Antiqua" w:hAnsi="Book Antiqua" w:cs="Arial"/>
        </w:rPr>
        <w:t>[S</w:t>
      </w:r>
      <w:r w:rsidR="006F38DD">
        <w:rPr>
          <w:rFonts w:ascii="Book Antiqua" w:hAnsi="Book Antiqua" w:cs="Arial"/>
        </w:rPr>
        <w:t>W</w:t>
      </w:r>
      <w:r w:rsidR="00D338B7">
        <w:rPr>
          <w:rFonts w:ascii="Book Antiqua" w:hAnsi="Book Antiqua" w:cs="Arial"/>
        </w:rPr>
        <w:t>]</w:t>
      </w:r>
      <w:r w:rsidR="008B6CDF">
        <w:rPr>
          <w:rFonts w:ascii="Book Antiqua" w:hAnsi="Book Antiqua" w:cs="Arial"/>
        </w:rPr>
        <w:t xml:space="preserve">.  </w:t>
      </w:r>
    </w:p>
    <w:p w:rsidR="008B6CDF" w:rsidRDefault="00104BFE" w:rsidP="005C0D31">
      <w:pPr>
        <w:spacing w:before="240"/>
        <w:ind w:left="567" w:hanging="567"/>
        <w:jc w:val="both"/>
        <w:rPr>
          <w:rFonts w:ascii="Book Antiqua" w:hAnsi="Book Antiqua" w:cs="Arial"/>
        </w:rPr>
      </w:pPr>
      <w:r>
        <w:rPr>
          <w:rFonts w:ascii="Book Antiqua" w:hAnsi="Book Antiqua" w:cs="Arial"/>
        </w:rPr>
        <w:t>10</w:t>
      </w:r>
      <w:r w:rsidR="00B1196D">
        <w:rPr>
          <w:rFonts w:ascii="Book Antiqua" w:hAnsi="Book Antiqua" w:cs="Arial"/>
        </w:rPr>
        <w:t>.</w:t>
      </w:r>
      <w:r w:rsidR="00B1196D">
        <w:rPr>
          <w:rFonts w:ascii="Book Antiqua" w:hAnsi="Book Antiqua" w:cs="Arial"/>
        </w:rPr>
        <w:tab/>
      </w:r>
      <w:r>
        <w:rPr>
          <w:rFonts w:ascii="Book Antiqua" w:hAnsi="Book Antiqua" w:cs="Arial"/>
        </w:rPr>
        <w:t>T</w:t>
      </w:r>
      <w:r w:rsidR="008B6CDF">
        <w:rPr>
          <w:rFonts w:ascii="Book Antiqua" w:hAnsi="Book Antiqua" w:cs="Arial"/>
        </w:rPr>
        <w:t>he</w:t>
      </w:r>
      <w:r>
        <w:rPr>
          <w:rFonts w:ascii="Book Antiqua" w:hAnsi="Book Antiqua" w:cs="Arial"/>
        </w:rPr>
        <w:t xml:space="preserve"> Decision of the</w:t>
      </w:r>
      <w:r w:rsidR="008B6CDF">
        <w:rPr>
          <w:rFonts w:ascii="Book Antiqua" w:hAnsi="Book Antiqua" w:cs="Arial"/>
        </w:rPr>
        <w:t xml:space="preserve"> </w:t>
      </w:r>
      <w:r w:rsidR="00696111">
        <w:rPr>
          <w:rFonts w:ascii="Book Antiqua" w:hAnsi="Book Antiqua" w:cs="Arial"/>
        </w:rPr>
        <w:t>First-tier Tribunal Judge indicate</w:t>
      </w:r>
      <w:r w:rsidR="008B6CDF">
        <w:rPr>
          <w:rFonts w:ascii="Book Antiqua" w:hAnsi="Book Antiqua" w:cs="Arial"/>
        </w:rPr>
        <w:t>s that the Appellant attended unrepresented</w:t>
      </w:r>
      <w:r w:rsidR="00696111">
        <w:rPr>
          <w:rFonts w:ascii="Book Antiqua" w:hAnsi="Book Antiqua" w:cs="Arial"/>
        </w:rPr>
        <w:t>, but was</w:t>
      </w:r>
      <w:r w:rsidR="008B6CDF">
        <w:rPr>
          <w:rFonts w:ascii="Book Antiqua" w:hAnsi="Book Antiqua" w:cs="Arial"/>
        </w:rPr>
        <w:t xml:space="preserve"> </w:t>
      </w:r>
      <w:r w:rsidR="00696111">
        <w:rPr>
          <w:rFonts w:ascii="Book Antiqua" w:hAnsi="Book Antiqua" w:cs="Arial"/>
        </w:rPr>
        <w:t xml:space="preserve">present in court </w:t>
      </w:r>
      <w:r w:rsidR="008B6CDF">
        <w:rPr>
          <w:rFonts w:ascii="Book Antiqua" w:hAnsi="Book Antiqua" w:cs="Arial"/>
        </w:rPr>
        <w:t>with a woman and a child.  The Judge refers to th</w:t>
      </w:r>
      <w:r w:rsidR="00696111">
        <w:rPr>
          <w:rFonts w:ascii="Book Antiqua" w:hAnsi="Book Antiqua" w:cs="Arial"/>
        </w:rPr>
        <w:t xml:space="preserve">is woman as the </w:t>
      </w:r>
      <w:r w:rsidR="008B6CDF">
        <w:rPr>
          <w:rFonts w:ascii="Book Antiqua" w:hAnsi="Book Antiqua" w:cs="Arial"/>
        </w:rPr>
        <w:t>Appellant’s “</w:t>
      </w:r>
      <w:r w:rsidR="008B6CDF" w:rsidRPr="008B6CDF">
        <w:rPr>
          <w:rFonts w:ascii="Book Antiqua" w:hAnsi="Book Antiqua" w:cs="Arial"/>
          <w:i/>
        </w:rPr>
        <w:t>partner</w:t>
      </w:r>
      <w:r w:rsidR="008B6CDF">
        <w:rPr>
          <w:rFonts w:ascii="Book Antiqua" w:hAnsi="Book Antiqua" w:cs="Arial"/>
        </w:rPr>
        <w:t>”</w:t>
      </w:r>
      <w:r w:rsidR="00696111">
        <w:rPr>
          <w:rFonts w:ascii="Book Antiqua" w:hAnsi="Book Antiqua" w:cs="Arial"/>
        </w:rPr>
        <w:t>,</w:t>
      </w:r>
      <w:r w:rsidR="008B6CDF">
        <w:rPr>
          <w:rFonts w:ascii="Book Antiqua" w:hAnsi="Book Antiqua" w:cs="Arial"/>
        </w:rPr>
        <w:t xml:space="preserve"> noting that both the Appellant and partner were “</w:t>
      </w:r>
      <w:r w:rsidR="00696111">
        <w:rPr>
          <w:rFonts w:ascii="Book Antiqua" w:hAnsi="Book Antiqua" w:cs="Arial"/>
          <w:i/>
        </w:rPr>
        <w:t>present in C</w:t>
      </w:r>
      <w:r w:rsidR="008B6CDF" w:rsidRPr="008B6CDF">
        <w:rPr>
          <w:rFonts w:ascii="Book Antiqua" w:hAnsi="Book Antiqua" w:cs="Arial"/>
          <w:i/>
        </w:rPr>
        <w:t>ourt with their child</w:t>
      </w:r>
      <w:r w:rsidR="008B6CDF">
        <w:rPr>
          <w:rFonts w:ascii="Book Antiqua" w:hAnsi="Book Antiqua" w:cs="Arial"/>
        </w:rPr>
        <w:t xml:space="preserve">” </w:t>
      </w:r>
      <w:r w:rsidR="00696111">
        <w:rPr>
          <w:rFonts w:ascii="Book Antiqua" w:hAnsi="Book Antiqua" w:cs="Arial"/>
        </w:rPr>
        <w:t>(p</w:t>
      </w:r>
      <w:r w:rsidR="008B6CDF">
        <w:rPr>
          <w:rFonts w:ascii="Book Antiqua" w:hAnsi="Book Antiqua" w:cs="Arial"/>
        </w:rPr>
        <w:t xml:space="preserve">aragraph </w:t>
      </w:r>
      <w:r w:rsidR="00696111">
        <w:rPr>
          <w:rFonts w:ascii="Book Antiqua" w:hAnsi="Book Antiqua" w:cs="Arial"/>
        </w:rPr>
        <w:t>2).</w:t>
      </w:r>
      <w:r w:rsidR="008B6CDF">
        <w:rPr>
          <w:rFonts w:ascii="Book Antiqua" w:hAnsi="Book Antiqua" w:cs="Arial"/>
        </w:rPr>
        <w:t xml:space="preserve"> </w:t>
      </w:r>
      <w:r w:rsidR="00696111">
        <w:rPr>
          <w:rFonts w:ascii="Book Antiqua" w:hAnsi="Book Antiqua" w:cs="Arial"/>
        </w:rPr>
        <w:t>The</w:t>
      </w:r>
      <w:r w:rsidR="008B6CDF">
        <w:rPr>
          <w:rFonts w:ascii="Book Antiqua" w:hAnsi="Book Antiqua" w:cs="Arial"/>
        </w:rPr>
        <w:t xml:space="preserve"> Judge records the following:</w:t>
      </w:r>
    </w:p>
    <w:p w:rsidR="008B6CDF" w:rsidRPr="005C0D31" w:rsidRDefault="00696111" w:rsidP="005C0D31">
      <w:pPr>
        <w:spacing w:before="120" w:after="120"/>
        <w:ind w:left="1134" w:right="567"/>
        <w:jc w:val="both"/>
        <w:rPr>
          <w:rFonts w:ascii="Book Antiqua" w:hAnsi="Book Antiqua" w:cs="Arial"/>
          <w:sz w:val="22"/>
          <w:szCs w:val="22"/>
        </w:rPr>
      </w:pPr>
      <w:r w:rsidRPr="005C0D31">
        <w:rPr>
          <w:rFonts w:ascii="Book Antiqua" w:hAnsi="Book Antiqua" w:cs="Arial"/>
          <w:i/>
          <w:sz w:val="22"/>
          <w:szCs w:val="22"/>
        </w:rPr>
        <w:lastRenderedPageBreak/>
        <w:t>“T</w:t>
      </w:r>
      <w:r w:rsidR="008B6CDF" w:rsidRPr="005C0D31">
        <w:rPr>
          <w:rFonts w:ascii="Book Antiqua" w:hAnsi="Book Antiqua" w:cs="Arial"/>
          <w:i/>
          <w:sz w:val="22"/>
          <w:szCs w:val="22"/>
        </w:rPr>
        <w:t>he Appellant went on to tell me that he is not the primary carer of his and his partner’s child.  The care of the child is shared between himself and his partner</w:t>
      </w:r>
      <w:r w:rsidRPr="005C0D31">
        <w:rPr>
          <w:rFonts w:ascii="Book Antiqua" w:hAnsi="Book Antiqua" w:cs="Arial"/>
          <w:i/>
          <w:sz w:val="22"/>
          <w:szCs w:val="22"/>
        </w:rPr>
        <w:t>:</w:t>
      </w:r>
      <w:r w:rsidR="008B6CDF" w:rsidRPr="005C0D31">
        <w:rPr>
          <w:rFonts w:ascii="Book Antiqua" w:hAnsi="Book Antiqua" w:cs="Arial"/>
          <w:i/>
          <w:sz w:val="22"/>
          <w:szCs w:val="22"/>
        </w:rPr>
        <w:t xml:space="preserve"> </w:t>
      </w:r>
      <w:r w:rsidRPr="005C0D31">
        <w:rPr>
          <w:rFonts w:ascii="Book Antiqua" w:hAnsi="Book Antiqua" w:cs="Arial"/>
          <w:i/>
          <w:sz w:val="22"/>
          <w:szCs w:val="22"/>
        </w:rPr>
        <w:t>t</w:t>
      </w:r>
      <w:r w:rsidR="008B6CDF" w:rsidRPr="005C0D31">
        <w:rPr>
          <w:rFonts w:ascii="Book Antiqua" w:hAnsi="Book Antiqua" w:cs="Arial"/>
          <w:i/>
          <w:sz w:val="22"/>
          <w:szCs w:val="22"/>
        </w:rPr>
        <w:t>he removal of the Appellant would not force the child</w:t>
      </w:r>
      <w:r w:rsidRPr="005C0D31">
        <w:rPr>
          <w:rFonts w:ascii="Book Antiqua" w:hAnsi="Book Antiqua" w:cs="Arial"/>
          <w:i/>
          <w:sz w:val="22"/>
          <w:szCs w:val="22"/>
        </w:rPr>
        <w:t>,</w:t>
      </w:r>
      <w:r w:rsidR="008B6CDF" w:rsidRPr="005C0D31">
        <w:rPr>
          <w:rFonts w:ascii="Book Antiqua" w:hAnsi="Book Antiqua" w:cs="Arial"/>
          <w:i/>
          <w:sz w:val="22"/>
          <w:szCs w:val="22"/>
        </w:rPr>
        <w:t xml:space="preserve"> who is a British citizen to leave the United Kingdom or the EEA as he could remain in the United Kingdom with the Appellant’s British citizen partner.”</w:t>
      </w:r>
      <w:r w:rsidRPr="005C0D31">
        <w:rPr>
          <w:rFonts w:ascii="Book Antiqua" w:hAnsi="Book Antiqua" w:cs="Arial"/>
          <w:sz w:val="22"/>
          <w:szCs w:val="22"/>
        </w:rPr>
        <w:t xml:space="preserve"> (paragraph 3).</w:t>
      </w:r>
    </w:p>
    <w:p w:rsidR="008B6CDF" w:rsidRDefault="00696111" w:rsidP="005C0D31">
      <w:pPr>
        <w:spacing w:before="240"/>
        <w:ind w:left="567" w:hanging="567"/>
        <w:jc w:val="both"/>
        <w:rPr>
          <w:rFonts w:ascii="Book Antiqua" w:hAnsi="Book Antiqua" w:cs="Arial"/>
        </w:rPr>
      </w:pPr>
      <w:r>
        <w:rPr>
          <w:rFonts w:ascii="Book Antiqua" w:hAnsi="Book Antiqua" w:cs="Arial"/>
        </w:rPr>
        <w:t>11</w:t>
      </w:r>
      <w:r w:rsidR="00B1196D">
        <w:rPr>
          <w:rFonts w:ascii="Book Antiqua" w:hAnsi="Book Antiqua" w:cs="Arial"/>
        </w:rPr>
        <w:t>.</w:t>
      </w:r>
      <w:r w:rsidR="00B1196D">
        <w:rPr>
          <w:rFonts w:ascii="Book Antiqua" w:hAnsi="Book Antiqua" w:cs="Arial"/>
        </w:rPr>
        <w:tab/>
      </w:r>
      <w:r w:rsidR="008B6CDF">
        <w:rPr>
          <w:rFonts w:ascii="Book Antiqua" w:hAnsi="Book Antiqua" w:cs="Arial"/>
        </w:rPr>
        <w:t>The Judge continues at paragraph 4:</w:t>
      </w:r>
    </w:p>
    <w:p w:rsidR="008B6CDF" w:rsidRPr="005C0D31" w:rsidRDefault="008B6CDF" w:rsidP="005C0D31">
      <w:pPr>
        <w:spacing w:before="120" w:after="120"/>
        <w:ind w:left="1134" w:right="567"/>
        <w:jc w:val="both"/>
        <w:rPr>
          <w:rFonts w:ascii="Book Antiqua" w:hAnsi="Book Antiqua" w:cs="Arial"/>
          <w:i/>
          <w:sz w:val="22"/>
          <w:szCs w:val="22"/>
        </w:rPr>
      </w:pPr>
      <w:r w:rsidRPr="005C0D31">
        <w:rPr>
          <w:rFonts w:ascii="Book Antiqua" w:hAnsi="Book Antiqua" w:cs="Arial"/>
          <w:sz w:val="22"/>
          <w:szCs w:val="22"/>
        </w:rPr>
        <w:t>“</w:t>
      </w:r>
      <w:r w:rsidRPr="005C0D31">
        <w:rPr>
          <w:rFonts w:ascii="Book Antiqua" w:hAnsi="Book Antiqua" w:cs="Arial"/>
          <w:i/>
          <w:sz w:val="22"/>
          <w:szCs w:val="22"/>
        </w:rPr>
        <w:t>I explained that in these circumstances I must dismiss the appeal.”</w:t>
      </w:r>
    </w:p>
    <w:p w:rsidR="008B6CDF" w:rsidRDefault="00696111" w:rsidP="005C0D31">
      <w:pPr>
        <w:spacing w:before="240"/>
        <w:ind w:left="567" w:hanging="567"/>
        <w:jc w:val="both"/>
        <w:rPr>
          <w:rFonts w:ascii="Book Antiqua" w:hAnsi="Book Antiqua" w:cs="Arial"/>
        </w:rPr>
      </w:pPr>
      <w:r>
        <w:rPr>
          <w:rFonts w:ascii="Book Antiqua" w:hAnsi="Book Antiqua" w:cs="Arial"/>
        </w:rPr>
        <w:t>12</w:t>
      </w:r>
      <w:r w:rsidR="00B1196D">
        <w:rPr>
          <w:rFonts w:ascii="Book Antiqua" w:hAnsi="Book Antiqua" w:cs="Arial"/>
        </w:rPr>
        <w:t>.</w:t>
      </w:r>
      <w:r w:rsidR="00B1196D">
        <w:rPr>
          <w:rFonts w:ascii="Book Antiqua" w:hAnsi="Book Antiqua" w:cs="Arial"/>
        </w:rPr>
        <w:tab/>
      </w:r>
      <w:r w:rsidR="008B6CDF">
        <w:rPr>
          <w:rFonts w:ascii="Book Antiqua" w:hAnsi="Book Antiqua" w:cs="Arial"/>
        </w:rPr>
        <w:t xml:space="preserve">The Judge then </w:t>
      </w:r>
      <w:r w:rsidR="009335A1">
        <w:rPr>
          <w:rFonts w:ascii="Book Antiqua" w:hAnsi="Book Antiqua" w:cs="Arial"/>
        </w:rPr>
        <w:t xml:space="preserve">discusses </w:t>
      </w:r>
      <w:r w:rsidR="008B6CDF">
        <w:rPr>
          <w:rFonts w:ascii="Book Antiqua" w:hAnsi="Book Antiqua" w:cs="Arial"/>
        </w:rPr>
        <w:t>Article 8</w:t>
      </w:r>
      <w:r w:rsidR="009335A1">
        <w:rPr>
          <w:rFonts w:ascii="Book Antiqua" w:hAnsi="Book Antiqua" w:cs="Arial"/>
        </w:rPr>
        <w:t xml:space="preserve"> of the ECHR: it is </w:t>
      </w:r>
      <w:r w:rsidR="008B6CDF">
        <w:rPr>
          <w:rFonts w:ascii="Book Antiqua" w:hAnsi="Book Antiqua" w:cs="Arial"/>
        </w:rPr>
        <w:t>observ</w:t>
      </w:r>
      <w:r w:rsidR="009335A1">
        <w:rPr>
          <w:rFonts w:ascii="Book Antiqua" w:hAnsi="Book Antiqua" w:cs="Arial"/>
        </w:rPr>
        <w:t xml:space="preserve">ed </w:t>
      </w:r>
      <w:r w:rsidR="008B6CDF">
        <w:rPr>
          <w:rFonts w:ascii="Book Antiqua" w:hAnsi="Book Antiqua" w:cs="Arial"/>
        </w:rPr>
        <w:t xml:space="preserve">that because this was an EEA case and there were no removal directions Article 8 was not really </w:t>
      </w:r>
      <w:r w:rsidR="009335A1">
        <w:rPr>
          <w:rFonts w:ascii="Book Antiqua" w:hAnsi="Book Antiqua" w:cs="Arial"/>
        </w:rPr>
        <w:t>‘</w:t>
      </w:r>
      <w:r w:rsidR="008B6CDF">
        <w:rPr>
          <w:rFonts w:ascii="Book Antiqua" w:hAnsi="Book Antiqua" w:cs="Arial"/>
        </w:rPr>
        <w:t>in play</w:t>
      </w:r>
      <w:r w:rsidR="009335A1">
        <w:rPr>
          <w:rFonts w:ascii="Book Antiqua" w:hAnsi="Book Antiqua" w:cs="Arial"/>
        </w:rPr>
        <w:t>’;</w:t>
      </w:r>
      <w:r w:rsidR="008B6CDF">
        <w:rPr>
          <w:rFonts w:ascii="Book Antiqua" w:hAnsi="Book Antiqua" w:cs="Arial"/>
        </w:rPr>
        <w:t xml:space="preserve"> </w:t>
      </w:r>
      <w:r w:rsidR="009335A1">
        <w:rPr>
          <w:rFonts w:ascii="Book Antiqua" w:hAnsi="Book Antiqua" w:cs="Arial"/>
        </w:rPr>
        <w:t>n</w:t>
      </w:r>
      <w:r w:rsidR="008B6CDF">
        <w:rPr>
          <w:rFonts w:ascii="Book Antiqua" w:hAnsi="Book Antiqua" w:cs="Arial"/>
        </w:rPr>
        <w:t xml:space="preserve">onetheless the Judge </w:t>
      </w:r>
      <w:r w:rsidR="009335A1">
        <w:rPr>
          <w:rFonts w:ascii="Book Antiqua" w:hAnsi="Book Antiqua" w:cs="Arial"/>
        </w:rPr>
        <w:t xml:space="preserve">comments that had it been, she would not have </w:t>
      </w:r>
      <w:r w:rsidR="008B6CDF">
        <w:rPr>
          <w:rFonts w:ascii="Book Antiqua" w:hAnsi="Book Antiqua" w:cs="Arial"/>
        </w:rPr>
        <w:t>allow</w:t>
      </w:r>
      <w:r w:rsidR="009335A1">
        <w:rPr>
          <w:rFonts w:ascii="Book Antiqua" w:hAnsi="Book Antiqua" w:cs="Arial"/>
        </w:rPr>
        <w:t>ed</w:t>
      </w:r>
      <w:r w:rsidR="008B6CDF">
        <w:rPr>
          <w:rFonts w:ascii="Book Antiqua" w:hAnsi="Book Antiqua" w:cs="Arial"/>
        </w:rPr>
        <w:t xml:space="preserve"> the appeal on </w:t>
      </w:r>
      <w:r w:rsidR="009335A1">
        <w:rPr>
          <w:rFonts w:ascii="Book Antiqua" w:hAnsi="Book Antiqua" w:cs="Arial"/>
        </w:rPr>
        <w:t>such</w:t>
      </w:r>
      <w:r w:rsidR="008B6CDF">
        <w:rPr>
          <w:rFonts w:ascii="Book Antiqua" w:hAnsi="Book Antiqua" w:cs="Arial"/>
        </w:rPr>
        <w:t xml:space="preserve"> basis.  For the avoidance of any doubt</w:t>
      </w:r>
      <w:r w:rsidR="009335A1">
        <w:rPr>
          <w:rFonts w:ascii="Book Antiqua" w:hAnsi="Book Antiqua" w:cs="Arial"/>
        </w:rPr>
        <w:t>,</w:t>
      </w:r>
      <w:r w:rsidR="008B6CDF">
        <w:rPr>
          <w:rFonts w:ascii="Book Antiqua" w:hAnsi="Book Antiqua" w:cs="Arial"/>
        </w:rPr>
        <w:t xml:space="preserve"> no point is </w:t>
      </w:r>
      <w:r w:rsidR="002D070B">
        <w:rPr>
          <w:rFonts w:ascii="Book Antiqua" w:hAnsi="Book Antiqua" w:cs="Arial"/>
        </w:rPr>
        <w:t xml:space="preserve">now </w:t>
      </w:r>
      <w:r w:rsidR="008B6CDF">
        <w:rPr>
          <w:rFonts w:ascii="Book Antiqua" w:hAnsi="Book Antiqua" w:cs="Arial"/>
        </w:rPr>
        <w:t xml:space="preserve">pursued in respect of Article 8 </w:t>
      </w:r>
      <w:r w:rsidR="00C43EFF">
        <w:rPr>
          <w:rFonts w:ascii="Book Antiqua" w:hAnsi="Book Antiqua" w:cs="Arial"/>
        </w:rPr>
        <w:t>before</w:t>
      </w:r>
      <w:r w:rsidR="008B6CDF">
        <w:rPr>
          <w:rFonts w:ascii="Book Antiqua" w:hAnsi="Book Antiqua" w:cs="Arial"/>
        </w:rPr>
        <w:t xml:space="preserve"> the Upper </w:t>
      </w:r>
      <w:r w:rsidR="00C43EFF">
        <w:rPr>
          <w:rFonts w:ascii="Book Antiqua" w:hAnsi="Book Antiqua" w:cs="Arial"/>
        </w:rPr>
        <w:t>Tribunal</w:t>
      </w:r>
      <w:r w:rsidR="009335A1">
        <w:rPr>
          <w:rFonts w:ascii="Book Antiqua" w:hAnsi="Book Antiqua" w:cs="Arial"/>
        </w:rPr>
        <w:t xml:space="preserve"> -</w:t>
      </w:r>
      <w:r w:rsidR="00C43EFF">
        <w:rPr>
          <w:rFonts w:ascii="Book Antiqua" w:hAnsi="Book Antiqua" w:cs="Arial"/>
        </w:rPr>
        <w:t xml:space="preserve"> it being acknowledged that it </w:t>
      </w:r>
      <w:r w:rsidR="009335A1">
        <w:rPr>
          <w:rFonts w:ascii="Book Antiqua" w:hAnsi="Book Antiqua" w:cs="Arial"/>
        </w:rPr>
        <w:t>i</w:t>
      </w:r>
      <w:r w:rsidR="00C43EFF">
        <w:rPr>
          <w:rFonts w:ascii="Book Antiqua" w:hAnsi="Book Antiqua" w:cs="Arial"/>
        </w:rPr>
        <w:t xml:space="preserve">s </w:t>
      </w:r>
      <w:proofErr w:type="spellStart"/>
      <w:r w:rsidR="009335A1">
        <w:rPr>
          <w:rFonts w:ascii="Book Antiqua" w:hAnsi="Book Antiqua" w:cs="Arial"/>
        </w:rPr>
        <w:t>outwith</w:t>
      </w:r>
      <w:proofErr w:type="spellEnd"/>
      <w:r w:rsidR="00C43EFF">
        <w:rPr>
          <w:rFonts w:ascii="Book Antiqua" w:hAnsi="Book Antiqua" w:cs="Arial"/>
        </w:rPr>
        <w:t xml:space="preserve"> the jurisdiction of the Tribunal.</w:t>
      </w:r>
    </w:p>
    <w:p w:rsidR="002D070B" w:rsidRDefault="00553B2D" w:rsidP="005C0D31">
      <w:pPr>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t>The Appellant’s Grounds of Appeal in support of his application for permission to appeal</w:t>
      </w:r>
      <w:r w:rsidR="002D070B">
        <w:rPr>
          <w:rFonts w:ascii="Book Antiqua" w:hAnsi="Book Antiqua" w:cs="Arial"/>
        </w:rPr>
        <w:t>, however,</w:t>
      </w:r>
      <w:r>
        <w:rPr>
          <w:rFonts w:ascii="Book Antiqua" w:hAnsi="Book Antiqua" w:cs="Arial"/>
        </w:rPr>
        <w:t xml:space="preserve"> for the main part</w:t>
      </w:r>
      <w:r w:rsidR="002D070B">
        <w:rPr>
          <w:rFonts w:ascii="Book Antiqua" w:hAnsi="Book Antiqua" w:cs="Arial"/>
        </w:rPr>
        <w:t xml:space="preserve"> did</w:t>
      </w:r>
      <w:r>
        <w:rPr>
          <w:rFonts w:ascii="Book Antiqua" w:hAnsi="Book Antiqua" w:cs="Arial"/>
        </w:rPr>
        <w:t xml:space="preserve"> focus on Article 8 matters.</w:t>
      </w:r>
      <w:r w:rsidR="002D070B">
        <w:rPr>
          <w:rFonts w:ascii="Book Antiqua" w:hAnsi="Book Antiqua" w:cs="Arial"/>
        </w:rPr>
        <w:t xml:space="preserve"> Nonetheless Judge </w:t>
      </w:r>
      <w:proofErr w:type="spellStart"/>
      <w:r w:rsidR="002D070B">
        <w:rPr>
          <w:rFonts w:ascii="Book Antiqua" w:hAnsi="Book Antiqua" w:cs="Arial"/>
        </w:rPr>
        <w:t>Shaerf</w:t>
      </w:r>
      <w:proofErr w:type="spellEnd"/>
      <w:r w:rsidR="002D070B">
        <w:rPr>
          <w:rFonts w:ascii="Book Antiqua" w:hAnsi="Book Antiqua" w:cs="Arial"/>
        </w:rPr>
        <w:t xml:space="preserve">, recognising that the Appellant had appeared unrepresented and had seemingly prepared the grounds himself, gave scrutiny to the First-tier Tribunal’s decision beyond the limited scope of the grounds. </w:t>
      </w:r>
      <w:r>
        <w:rPr>
          <w:rFonts w:ascii="Book Antiqua" w:hAnsi="Book Antiqua" w:cs="Arial"/>
        </w:rPr>
        <w:t xml:space="preserve"> </w:t>
      </w:r>
      <w:r w:rsidR="002D070B">
        <w:rPr>
          <w:rFonts w:ascii="Book Antiqua" w:hAnsi="Book Antiqua" w:cs="Arial"/>
        </w:rPr>
        <w:t xml:space="preserve">Permission to appeal appears to have been granted pursuant to the following observations of Judge </w:t>
      </w:r>
      <w:proofErr w:type="spellStart"/>
      <w:r w:rsidR="002D070B">
        <w:rPr>
          <w:rFonts w:ascii="Book Antiqua" w:hAnsi="Book Antiqua" w:cs="Arial"/>
        </w:rPr>
        <w:t>Shaerf</w:t>
      </w:r>
      <w:proofErr w:type="spellEnd"/>
      <w:r w:rsidR="002D070B">
        <w:rPr>
          <w:rFonts w:ascii="Book Antiqua" w:hAnsi="Book Antiqua" w:cs="Arial"/>
        </w:rPr>
        <w:t>:</w:t>
      </w:r>
    </w:p>
    <w:p w:rsidR="002D070B" w:rsidRPr="005C0D31" w:rsidRDefault="002D070B" w:rsidP="005C0D31">
      <w:pPr>
        <w:spacing w:before="120" w:after="120"/>
        <w:ind w:left="1134" w:right="567"/>
        <w:jc w:val="both"/>
        <w:rPr>
          <w:rFonts w:ascii="Book Antiqua" w:hAnsi="Book Antiqua" w:cs="Arial"/>
          <w:sz w:val="22"/>
          <w:szCs w:val="22"/>
        </w:rPr>
      </w:pPr>
      <w:r w:rsidRPr="005C0D31">
        <w:rPr>
          <w:rFonts w:ascii="Book Antiqua" w:hAnsi="Book Antiqua" w:cs="Arial"/>
          <w:sz w:val="22"/>
          <w:szCs w:val="22"/>
        </w:rPr>
        <w:tab/>
        <w:t>“</w:t>
      </w:r>
      <w:r w:rsidRPr="005C0D31">
        <w:rPr>
          <w:rFonts w:ascii="Book Antiqua" w:hAnsi="Book Antiqua" w:cs="Arial"/>
          <w:i/>
          <w:sz w:val="22"/>
          <w:szCs w:val="22"/>
        </w:rPr>
        <w:t>The Appellant did not he</w:t>
      </w:r>
      <w:r w:rsidR="007F0F24" w:rsidRPr="005C0D31">
        <w:rPr>
          <w:rFonts w:ascii="Book Antiqua" w:hAnsi="Book Antiqua" w:cs="Arial"/>
          <w:i/>
          <w:sz w:val="22"/>
          <w:szCs w:val="22"/>
        </w:rPr>
        <w:t>l</w:t>
      </w:r>
      <w:r w:rsidRPr="005C0D31">
        <w:rPr>
          <w:rFonts w:ascii="Book Antiqua" w:hAnsi="Book Antiqua" w:cs="Arial"/>
          <w:i/>
          <w:sz w:val="22"/>
          <w:szCs w:val="22"/>
        </w:rPr>
        <w:t>p himself with the litt</w:t>
      </w:r>
      <w:r w:rsidR="007F0F24" w:rsidRPr="005C0D31">
        <w:rPr>
          <w:rFonts w:ascii="Book Antiqua" w:hAnsi="Book Antiqua" w:cs="Arial"/>
          <w:i/>
          <w:sz w:val="22"/>
          <w:szCs w:val="22"/>
        </w:rPr>
        <w:t>l</w:t>
      </w:r>
      <w:r w:rsidRPr="005C0D31">
        <w:rPr>
          <w:rFonts w:ascii="Book Antiqua" w:hAnsi="Book Antiqua" w:cs="Arial"/>
          <w:i/>
          <w:sz w:val="22"/>
          <w:szCs w:val="22"/>
        </w:rPr>
        <w:t>e documentary evidence that he submitted. However, included in this evidence was t</w:t>
      </w:r>
      <w:r w:rsidR="007F0F24" w:rsidRPr="005C0D31">
        <w:rPr>
          <w:rFonts w:ascii="Book Antiqua" w:hAnsi="Book Antiqua" w:cs="Arial"/>
          <w:i/>
          <w:sz w:val="22"/>
          <w:szCs w:val="22"/>
        </w:rPr>
        <w:t>h</w:t>
      </w:r>
      <w:r w:rsidRPr="005C0D31">
        <w:rPr>
          <w:rFonts w:ascii="Book Antiqua" w:hAnsi="Book Antiqua" w:cs="Arial"/>
          <w:i/>
          <w:sz w:val="22"/>
          <w:szCs w:val="22"/>
        </w:rPr>
        <w:t>e birth certificate of his 2</w:t>
      </w:r>
      <w:r w:rsidRPr="005C0D31">
        <w:rPr>
          <w:rFonts w:ascii="Book Antiqua" w:hAnsi="Book Antiqua" w:cs="Arial"/>
          <w:i/>
          <w:sz w:val="22"/>
          <w:szCs w:val="22"/>
          <w:vertAlign w:val="superscript"/>
        </w:rPr>
        <w:t>nd</w:t>
      </w:r>
      <w:r w:rsidRPr="005C0D31">
        <w:rPr>
          <w:rFonts w:ascii="Book Antiqua" w:hAnsi="Book Antiqua" w:cs="Arial"/>
          <w:i/>
          <w:sz w:val="22"/>
          <w:szCs w:val="22"/>
        </w:rPr>
        <w:t xml:space="preserve"> child born on </w:t>
      </w:r>
      <w:proofErr w:type="gramStart"/>
      <w:r w:rsidR="005C0D31">
        <w:rPr>
          <w:rFonts w:ascii="Book Antiqua" w:hAnsi="Book Antiqua" w:cs="Arial"/>
          <w:i/>
          <w:sz w:val="22"/>
          <w:szCs w:val="22"/>
        </w:rPr>
        <w:t>[ ]</w:t>
      </w:r>
      <w:proofErr w:type="gramEnd"/>
      <w:r w:rsidR="005C0D31">
        <w:rPr>
          <w:rFonts w:ascii="Book Antiqua" w:hAnsi="Book Antiqua" w:cs="Arial"/>
          <w:i/>
          <w:sz w:val="22"/>
          <w:szCs w:val="22"/>
        </w:rPr>
        <w:t xml:space="preserve"> </w:t>
      </w:r>
      <w:r w:rsidRPr="005C0D31">
        <w:rPr>
          <w:rFonts w:ascii="Book Antiqua" w:hAnsi="Book Antiqua" w:cs="Arial"/>
          <w:i/>
          <w:sz w:val="22"/>
          <w:szCs w:val="22"/>
        </w:rPr>
        <w:t>2014, some 3 weeks before his application</w:t>
      </w:r>
      <w:r w:rsidR="007F0F24" w:rsidRPr="005C0D31">
        <w:rPr>
          <w:rFonts w:ascii="Book Antiqua" w:hAnsi="Book Antiqua" w:cs="Arial"/>
          <w:i/>
          <w:sz w:val="22"/>
          <w:szCs w:val="22"/>
        </w:rPr>
        <w:t>. The Respond</w:t>
      </w:r>
      <w:r w:rsidRPr="005C0D31">
        <w:rPr>
          <w:rFonts w:ascii="Book Antiqua" w:hAnsi="Book Antiqua" w:cs="Arial"/>
          <w:i/>
          <w:sz w:val="22"/>
          <w:szCs w:val="22"/>
        </w:rPr>
        <w:t>e</w:t>
      </w:r>
      <w:r w:rsidR="007F0F24" w:rsidRPr="005C0D31">
        <w:rPr>
          <w:rFonts w:ascii="Book Antiqua" w:hAnsi="Book Antiqua" w:cs="Arial"/>
          <w:i/>
          <w:sz w:val="22"/>
          <w:szCs w:val="22"/>
        </w:rPr>
        <w:t>n</w:t>
      </w:r>
      <w:r w:rsidRPr="005C0D31">
        <w:rPr>
          <w:rFonts w:ascii="Book Antiqua" w:hAnsi="Book Antiqua" w:cs="Arial"/>
          <w:i/>
          <w:sz w:val="22"/>
          <w:szCs w:val="22"/>
        </w:rPr>
        <w:t>t’s reasons for refusal do not refer to the 2</w:t>
      </w:r>
      <w:r w:rsidRPr="005C0D31">
        <w:rPr>
          <w:rFonts w:ascii="Book Antiqua" w:hAnsi="Book Antiqua" w:cs="Arial"/>
          <w:i/>
          <w:sz w:val="22"/>
          <w:szCs w:val="22"/>
          <w:vertAlign w:val="superscript"/>
        </w:rPr>
        <w:t>nd</w:t>
      </w:r>
      <w:r w:rsidRPr="005C0D31">
        <w:rPr>
          <w:rFonts w:ascii="Book Antiqua" w:hAnsi="Book Antiqua" w:cs="Arial"/>
          <w:i/>
          <w:sz w:val="22"/>
          <w:szCs w:val="22"/>
        </w:rPr>
        <w:t xml:space="preserve"> child and nor did the Judge. It is arguable that she should have considered the position, even if the App</w:t>
      </w:r>
      <w:r w:rsidR="007F0F24" w:rsidRPr="005C0D31">
        <w:rPr>
          <w:rFonts w:ascii="Book Antiqua" w:hAnsi="Book Antiqua" w:cs="Arial"/>
          <w:i/>
          <w:sz w:val="22"/>
          <w:szCs w:val="22"/>
        </w:rPr>
        <w:t>e</w:t>
      </w:r>
      <w:r w:rsidRPr="005C0D31">
        <w:rPr>
          <w:rFonts w:ascii="Book Antiqua" w:hAnsi="Book Antiqua" w:cs="Arial"/>
          <w:i/>
          <w:sz w:val="22"/>
          <w:szCs w:val="22"/>
        </w:rPr>
        <w:t>llant had f</w:t>
      </w:r>
      <w:r w:rsidR="007F0F24" w:rsidRPr="005C0D31">
        <w:rPr>
          <w:rFonts w:ascii="Book Antiqua" w:hAnsi="Book Antiqua" w:cs="Arial"/>
          <w:i/>
          <w:sz w:val="22"/>
          <w:szCs w:val="22"/>
        </w:rPr>
        <w:t>ailed to inform the Respond</w:t>
      </w:r>
      <w:r w:rsidRPr="005C0D31">
        <w:rPr>
          <w:rFonts w:ascii="Book Antiqua" w:hAnsi="Book Antiqua" w:cs="Arial"/>
          <w:i/>
          <w:sz w:val="22"/>
          <w:szCs w:val="22"/>
        </w:rPr>
        <w:t>e</w:t>
      </w:r>
      <w:r w:rsidR="007F0F24" w:rsidRPr="005C0D31">
        <w:rPr>
          <w:rFonts w:ascii="Book Antiqua" w:hAnsi="Book Antiqua" w:cs="Arial"/>
          <w:i/>
          <w:sz w:val="22"/>
          <w:szCs w:val="22"/>
        </w:rPr>
        <w:t>n</w:t>
      </w:r>
      <w:r w:rsidRPr="005C0D31">
        <w:rPr>
          <w:rFonts w:ascii="Book Antiqua" w:hAnsi="Book Antiqua" w:cs="Arial"/>
          <w:i/>
          <w:sz w:val="22"/>
          <w:szCs w:val="22"/>
        </w:rPr>
        <w:t xml:space="preserve">t. The Judge </w:t>
      </w:r>
      <w:r w:rsidR="007F0F24" w:rsidRPr="005C0D31">
        <w:rPr>
          <w:rFonts w:ascii="Book Antiqua" w:hAnsi="Book Antiqua" w:cs="Arial"/>
          <w:i/>
          <w:sz w:val="22"/>
          <w:szCs w:val="22"/>
        </w:rPr>
        <w:t>r</w:t>
      </w:r>
      <w:r w:rsidRPr="005C0D31">
        <w:rPr>
          <w:rFonts w:ascii="Book Antiqua" w:hAnsi="Book Antiqua" w:cs="Arial"/>
          <w:i/>
          <w:sz w:val="22"/>
          <w:szCs w:val="22"/>
        </w:rPr>
        <w:t xml:space="preserve">ecorded that the Appellant’s wife and their child, </w:t>
      </w:r>
      <w:r w:rsidR="007F0F24" w:rsidRPr="005C0D31">
        <w:rPr>
          <w:rFonts w:ascii="Book Antiqua" w:hAnsi="Book Antiqua" w:cs="Arial"/>
          <w:i/>
          <w:sz w:val="22"/>
          <w:szCs w:val="22"/>
        </w:rPr>
        <w:t>his</w:t>
      </w:r>
      <w:r w:rsidRPr="005C0D31">
        <w:rPr>
          <w:rFonts w:ascii="Book Antiqua" w:hAnsi="Book Antiqua" w:cs="Arial"/>
          <w:i/>
          <w:sz w:val="22"/>
          <w:szCs w:val="22"/>
        </w:rPr>
        <w:t xml:space="preserve"> 2</w:t>
      </w:r>
      <w:r w:rsidRPr="005C0D31">
        <w:rPr>
          <w:rFonts w:ascii="Book Antiqua" w:hAnsi="Book Antiqua" w:cs="Arial"/>
          <w:i/>
          <w:sz w:val="22"/>
          <w:szCs w:val="22"/>
          <w:vertAlign w:val="superscript"/>
        </w:rPr>
        <w:t>nd</w:t>
      </w:r>
      <w:r w:rsidRPr="005C0D31">
        <w:rPr>
          <w:rFonts w:ascii="Book Antiqua" w:hAnsi="Book Antiqua" w:cs="Arial"/>
          <w:i/>
          <w:sz w:val="22"/>
          <w:szCs w:val="22"/>
        </w:rPr>
        <w:t xml:space="preserve"> child, were present at the h</w:t>
      </w:r>
      <w:r w:rsidR="007F0F24" w:rsidRPr="005C0D31">
        <w:rPr>
          <w:rFonts w:ascii="Book Antiqua" w:hAnsi="Book Antiqua" w:cs="Arial"/>
          <w:i/>
          <w:sz w:val="22"/>
          <w:szCs w:val="22"/>
        </w:rPr>
        <w:t>e</w:t>
      </w:r>
      <w:r w:rsidRPr="005C0D31">
        <w:rPr>
          <w:rFonts w:ascii="Book Antiqua" w:hAnsi="Book Antiqua" w:cs="Arial"/>
          <w:i/>
          <w:sz w:val="22"/>
          <w:szCs w:val="22"/>
        </w:rPr>
        <w:t>aring.</w:t>
      </w:r>
      <w:r w:rsidRPr="005C0D31">
        <w:rPr>
          <w:rFonts w:ascii="Book Antiqua" w:hAnsi="Book Antiqua" w:cs="Arial"/>
          <w:sz w:val="22"/>
          <w:szCs w:val="22"/>
        </w:rPr>
        <w:t>”</w:t>
      </w:r>
    </w:p>
    <w:p w:rsidR="00553B2D" w:rsidRPr="008B6CDF" w:rsidRDefault="007F0F24" w:rsidP="005C0D31">
      <w:pPr>
        <w:spacing w:before="240"/>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Notwithstanding Judge </w:t>
      </w:r>
      <w:proofErr w:type="spellStart"/>
      <w:r>
        <w:rPr>
          <w:rFonts w:ascii="Book Antiqua" w:hAnsi="Book Antiqua" w:cs="Arial"/>
        </w:rPr>
        <w:t>Shaerf’s</w:t>
      </w:r>
      <w:proofErr w:type="spellEnd"/>
      <w:r>
        <w:rPr>
          <w:rFonts w:ascii="Book Antiqua" w:hAnsi="Book Antiqua" w:cs="Arial"/>
        </w:rPr>
        <w:t xml:space="preserve"> impression that it was </w:t>
      </w:r>
      <w:r w:rsidR="00D338B7">
        <w:rPr>
          <w:rFonts w:ascii="Book Antiqua" w:hAnsi="Book Antiqua" w:cs="Arial"/>
        </w:rPr>
        <w:t>[SW]</w:t>
      </w:r>
      <w:r w:rsidR="00D338B7">
        <w:rPr>
          <w:rFonts w:ascii="Book Antiqua" w:hAnsi="Book Antiqua" w:cs="Arial"/>
        </w:rPr>
        <w:t xml:space="preserve"> </w:t>
      </w:r>
      <w:r>
        <w:rPr>
          <w:rFonts w:ascii="Book Antiqua" w:hAnsi="Book Antiqua" w:cs="Arial"/>
        </w:rPr>
        <w:t xml:space="preserve">and the second child,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Pr>
          <w:rFonts w:ascii="Book Antiqua" w:hAnsi="Book Antiqua" w:cs="Arial"/>
        </w:rPr>
        <w:t>, present at the hearing, it</w:t>
      </w:r>
      <w:r w:rsidR="00553B2D">
        <w:rPr>
          <w:rFonts w:ascii="Book Antiqua" w:hAnsi="Book Antiqua" w:cs="Arial"/>
        </w:rPr>
        <w:t xml:space="preserve"> is the Appellant’s </w:t>
      </w:r>
      <w:r>
        <w:rPr>
          <w:rFonts w:ascii="Book Antiqua" w:hAnsi="Book Antiqua" w:cs="Arial"/>
        </w:rPr>
        <w:t>position</w:t>
      </w:r>
      <w:r w:rsidR="00553B2D">
        <w:rPr>
          <w:rFonts w:ascii="Book Antiqua" w:hAnsi="Book Antiqua" w:cs="Arial"/>
        </w:rPr>
        <w:t xml:space="preserve"> that he attended the hearing before the First-tier Tribunal with </w:t>
      </w:r>
      <w:r w:rsidR="00D338B7">
        <w:rPr>
          <w:rFonts w:ascii="Book Antiqua" w:hAnsi="Book Antiqua" w:cs="Arial"/>
        </w:rPr>
        <w:t>[SJ]</w:t>
      </w:r>
      <w:r w:rsidR="00D338B7">
        <w:rPr>
          <w:rFonts w:ascii="Book Antiqua" w:hAnsi="Book Antiqua" w:cs="Arial"/>
        </w:rPr>
        <w:t xml:space="preserve"> </w:t>
      </w:r>
      <w:r w:rsidR="00553B2D">
        <w:rPr>
          <w:rFonts w:ascii="Book Antiqua" w:hAnsi="Book Antiqua" w:cs="Arial"/>
        </w:rPr>
        <w:t xml:space="preserve">and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553B2D">
        <w:rPr>
          <w:rFonts w:ascii="Book Antiqua" w:hAnsi="Book Antiqua" w:cs="Arial"/>
        </w:rPr>
        <w:t xml:space="preserve">. </w:t>
      </w:r>
    </w:p>
    <w:p w:rsidR="00FA2049" w:rsidRDefault="00FA2049" w:rsidP="005C0D31">
      <w:pPr>
        <w:spacing w:before="240"/>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I sought clarification from the Appellant as to why </w:t>
      </w:r>
      <w:r w:rsidR="00D338B7">
        <w:rPr>
          <w:rFonts w:ascii="Book Antiqua" w:hAnsi="Book Antiqua" w:cs="Arial"/>
        </w:rPr>
        <w:t>[SW]</w:t>
      </w:r>
      <w:r>
        <w:rPr>
          <w:rFonts w:ascii="Book Antiqua" w:hAnsi="Book Antiqua" w:cs="Arial"/>
        </w:rPr>
        <w:t xml:space="preserve"> had not attended the hearing</w:t>
      </w:r>
      <w:r w:rsidR="00525A2B">
        <w:rPr>
          <w:rFonts w:ascii="Book Antiqua" w:hAnsi="Book Antiqua" w:cs="Arial"/>
        </w:rPr>
        <w:t xml:space="preserve"> before the First-tier Tribunal</w:t>
      </w:r>
      <w:r>
        <w:rPr>
          <w:rFonts w:ascii="Book Antiqua" w:hAnsi="Book Antiqua" w:cs="Arial"/>
        </w:rPr>
        <w:t xml:space="preserve">.  The Appellant initially said that </w:t>
      </w:r>
      <w:r w:rsidR="00D338B7">
        <w:rPr>
          <w:rFonts w:ascii="Book Antiqua" w:hAnsi="Book Antiqua" w:cs="Arial"/>
        </w:rPr>
        <w:t>[SW]</w:t>
      </w:r>
      <w:r>
        <w:rPr>
          <w:rFonts w:ascii="Book Antiqua" w:hAnsi="Book Antiqua" w:cs="Arial"/>
        </w:rPr>
        <w:t xml:space="preserve"> had not attended because she was severely disabled; </w:t>
      </w:r>
      <w:proofErr w:type="gramStart"/>
      <w:r>
        <w:rPr>
          <w:rFonts w:ascii="Book Antiqua" w:hAnsi="Book Antiqua" w:cs="Arial"/>
        </w:rPr>
        <w:t>however</w:t>
      </w:r>
      <w:proofErr w:type="gramEnd"/>
      <w:r>
        <w:rPr>
          <w:rFonts w:ascii="Book Antiqua" w:hAnsi="Book Antiqua" w:cs="Arial"/>
        </w:rPr>
        <w:t xml:space="preserve"> he then</w:t>
      </w:r>
      <w:r w:rsidRPr="00FA2049">
        <w:rPr>
          <w:rFonts w:ascii="Book Antiqua" w:hAnsi="Book Antiqua" w:cs="Arial"/>
        </w:rPr>
        <w:t xml:space="preserve"> </w:t>
      </w:r>
      <w:r>
        <w:rPr>
          <w:rFonts w:ascii="Book Antiqua" w:hAnsi="Book Antiqua" w:cs="Arial"/>
        </w:rPr>
        <w:t xml:space="preserve">contradicted himself by acknowledging that she was not so disabled that she could not have attended court.  He also then clarified upon enquiry that he was no longer in a relationship with </w:t>
      </w:r>
      <w:r w:rsidR="00D338B7">
        <w:rPr>
          <w:rFonts w:ascii="Book Antiqua" w:hAnsi="Book Antiqua" w:cs="Arial"/>
        </w:rPr>
        <w:t>[SW]</w:t>
      </w:r>
      <w:r>
        <w:rPr>
          <w:rFonts w:ascii="Book Antiqua" w:hAnsi="Book Antiqua" w:cs="Arial"/>
        </w:rPr>
        <w:t xml:space="preserve">, and that his second child –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 xml:space="preserve">] </w:t>
      </w:r>
      <w:r>
        <w:rPr>
          <w:rFonts w:ascii="Book Antiqua" w:hAnsi="Book Antiqua" w:cs="Arial"/>
        </w:rPr>
        <w:t xml:space="preserve">- resided with </w:t>
      </w:r>
      <w:r w:rsidR="00D338B7">
        <w:rPr>
          <w:rFonts w:ascii="Book Antiqua" w:hAnsi="Book Antiqua" w:cs="Arial"/>
        </w:rPr>
        <w:t>[SW]</w:t>
      </w:r>
      <w:r w:rsidR="00D338B7">
        <w:rPr>
          <w:rFonts w:ascii="Book Antiqua" w:hAnsi="Book Antiqua" w:cs="Arial"/>
        </w:rPr>
        <w:t xml:space="preserve"> </w:t>
      </w:r>
      <w:r>
        <w:rPr>
          <w:rFonts w:ascii="Book Antiqua" w:hAnsi="Book Antiqua" w:cs="Arial"/>
        </w:rPr>
        <w:t>albeit that he enjoyed regular contact.</w:t>
      </w:r>
    </w:p>
    <w:p w:rsidR="006F40AC" w:rsidRDefault="000A3601" w:rsidP="005C0D31">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I also sought clarification as to the basis upon which the challenge to the decision of the First-tier Tribunal was being pursued – particularly given that a premise of Judge </w:t>
      </w:r>
      <w:proofErr w:type="spellStart"/>
      <w:r>
        <w:rPr>
          <w:rFonts w:ascii="Book Antiqua" w:hAnsi="Book Antiqua" w:cs="Arial"/>
        </w:rPr>
        <w:t>Shaerf’s</w:t>
      </w:r>
      <w:proofErr w:type="spellEnd"/>
      <w:r>
        <w:rPr>
          <w:rFonts w:ascii="Book Antiqua" w:hAnsi="Book Antiqua" w:cs="Arial"/>
        </w:rPr>
        <w:t xml:space="preserve"> grant of leave – that </w:t>
      </w:r>
      <w:r w:rsidR="00D338B7">
        <w:rPr>
          <w:rFonts w:ascii="Book Antiqua" w:hAnsi="Book Antiqua" w:cs="Arial"/>
        </w:rPr>
        <w:t>[SW]</w:t>
      </w:r>
      <w:r>
        <w:rPr>
          <w:rFonts w:ascii="Book Antiqua" w:hAnsi="Book Antiqua" w:cs="Arial"/>
        </w:rPr>
        <w:t xml:space="preserve"> had attended the appeal hearing – was, on the Appellant’s own admission, misconceived.</w:t>
      </w:r>
      <w:r w:rsidR="006F40AC">
        <w:rPr>
          <w:rFonts w:ascii="Book Antiqua" w:hAnsi="Book Antiqua" w:cs="Arial"/>
        </w:rPr>
        <w:t xml:space="preserve"> Mr Malik told me that the Appellant’s raised two bases of challenge</w:t>
      </w:r>
      <w:r w:rsidR="00525A2B">
        <w:rPr>
          <w:rFonts w:ascii="Book Antiqua" w:hAnsi="Book Antiqua" w:cs="Arial"/>
        </w:rPr>
        <w:t>:</w:t>
      </w:r>
    </w:p>
    <w:p w:rsidR="00525A2B" w:rsidRDefault="00525A2B" w:rsidP="005C0D31">
      <w:pPr>
        <w:tabs>
          <w:tab w:val="left" w:pos="1701"/>
        </w:tabs>
        <w:spacing w:before="120" w:after="120"/>
        <w:ind w:left="1134"/>
        <w:jc w:val="both"/>
        <w:rPr>
          <w:rFonts w:ascii="Book Antiqua" w:hAnsi="Book Antiqua" w:cs="Arial"/>
        </w:rPr>
      </w:pPr>
      <w:r>
        <w:rPr>
          <w:rFonts w:ascii="Book Antiqua" w:hAnsi="Book Antiqua" w:cs="Arial"/>
        </w:rPr>
        <w:lastRenderedPageBreak/>
        <w:t>(</w:t>
      </w:r>
      <w:proofErr w:type="spellStart"/>
      <w:r>
        <w:rPr>
          <w:rFonts w:ascii="Book Antiqua" w:hAnsi="Book Antiqua" w:cs="Arial"/>
        </w:rPr>
        <w:t>i</w:t>
      </w:r>
      <w:proofErr w:type="spellEnd"/>
      <w:r>
        <w:rPr>
          <w:rFonts w:ascii="Book Antiqua" w:hAnsi="Book Antiqua" w:cs="Arial"/>
        </w:rPr>
        <w:t>)</w:t>
      </w:r>
      <w:r w:rsidR="005C0D31">
        <w:rPr>
          <w:rFonts w:ascii="Book Antiqua" w:hAnsi="Book Antiqua" w:cs="Arial"/>
        </w:rPr>
        <w:tab/>
      </w:r>
      <w:r w:rsidR="006F40AC">
        <w:rPr>
          <w:rFonts w:ascii="Book Antiqua" w:hAnsi="Book Antiqua" w:cs="Arial"/>
        </w:rPr>
        <w:t>It was unclear which child Judge Andrew had considered when evaluating the Appellant’s case under the Regulations. A lack of clarity was unsatisfactory in respect of reasoning. In any event it appeared that only one child had been</w:t>
      </w:r>
      <w:r>
        <w:rPr>
          <w:rFonts w:ascii="Book Antiqua" w:hAnsi="Book Antiqua" w:cs="Arial"/>
        </w:rPr>
        <w:t xml:space="preserve"> considered wh</w:t>
      </w:r>
      <w:r w:rsidR="006F40AC">
        <w:rPr>
          <w:rFonts w:ascii="Book Antiqua" w:hAnsi="Book Antiqua" w:cs="Arial"/>
        </w:rPr>
        <w:t>e</w:t>
      </w:r>
      <w:r>
        <w:rPr>
          <w:rFonts w:ascii="Book Antiqua" w:hAnsi="Book Antiqua" w:cs="Arial"/>
        </w:rPr>
        <w:t>n</w:t>
      </w:r>
      <w:r w:rsidR="006F40AC">
        <w:rPr>
          <w:rFonts w:ascii="Book Antiqua" w:hAnsi="Book Antiqua" w:cs="Arial"/>
        </w:rPr>
        <w:t xml:space="preserve"> both should have been.</w:t>
      </w:r>
    </w:p>
    <w:p w:rsidR="000A3601" w:rsidRDefault="00525A2B" w:rsidP="005C0D31">
      <w:pPr>
        <w:tabs>
          <w:tab w:val="left" w:pos="1701"/>
        </w:tabs>
        <w:spacing w:before="120" w:after="120"/>
        <w:ind w:left="1134"/>
        <w:jc w:val="both"/>
        <w:rPr>
          <w:rFonts w:ascii="Book Antiqua" w:hAnsi="Book Antiqua" w:cs="Arial"/>
        </w:rPr>
      </w:pPr>
      <w:r>
        <w:rPr>
          <w:rFonts w:ascii="Book Antiqua" w:hAnsi="Book Antiqua" w:cs="Arial"/>
        </w:rPr>
        <w:t>(ii)</w:t>
      </w:r>
      <w:r w:rsidR="005C0D31">
        <w:rPr>
          <w:rFonts w:ascii="Book Antiqua" w:hAnsi="Book Antiqua" w:cs="Arial"/>
        </w:rPr>
        <w:tab/>
      </w:r>
      <w:r>
        <w:rPr>
          <w:rFonts w:ascii="Book Antiqua" w:hAnsi="Book Antiqua" w:cs="Arial"/>
        </w:rPr>
        <w:t>I</w:t>
      </w:r>
      <w:r w:rsidR="006F40AC">
        <w:rPr>
          <w:rFonts w:ascii="Book Antiqua" w:hAnsi="Book Antiqua" w:cs="Arial"/>
        </w:rPr>
        <w:t xml:space="preserve">n respect of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9F40C7">
        <w:rPr>
          <w:rFonts w:ascii="Book Antiqua" w:hAnsi="Book Antiqua" w:cs="Arial"/>
        </w:rPr>
        <w:t xml:space="preserve"> </w:t>
      </w:r>
      <w:r w:rsidR="006F40AC">
        <w:rPr>
          <w:rFonts w:ascii="Book Antiqua" w:hAnsi="Book Antiqua" w:cs="Arial"/>
        </w:rPr>
        <w:t xml:space="preserve">the Respondent had erred in not following the approach in </w:t>
      </w:r>
      <w:r w:rsidR="006F40AC" w:rsidRPr="00525A2B">
        <w:rPr>
          <w:rFonts w:ascii="Book Antiqua" w:hAnsi="Book Antiqua" w:cs="Arial"/>
          <w:b/>
          <w:u w:val="single"/>
        </w:rPr>
        <w:t>Chavez-</w:t>
      </w:r>
      <w:proofErr w:type="spellStart"/>
      <w:r w:rsidR="006F40AC" w:rsidRPr="00525A2B">
        <w:rPr>
          <w:rFonts w:ascii="Book Antiqua" w:hAnsi="Book Antiqua" w:cs="Arial"/>
          <w:b/>
          <w:u w:val="single"/>
        </w:rPr>
        <w:t>Vilchez</w:t>
      </w:r>
      <w:proofErr w:type="spellEnd"/>
      <w:r w:rsidR="006F40AC">
        <w:rPr>
          <w:rFonts w:ascii="Book Antiqua" w:hAnsi="Book Antiqua" w:cs="Arial"/>
        </w:rPr>
        <w:t xml:space="preserve"> (C-133/15) (see further below.) </w:t>
      </w:r>
      <w:r>
        <w:rPr>
          <w:rFonts w:ascii="Book Antiqua" w:hAnsi="Book Antiqua" w:cs="Arial"/>
        </w:rPr>
        <w:t>Such an approach</w:t>
      </w:r>
      <w:r w:rsidR="006F40AC">
        <w:rPr>
          <w:rFonts w:ascii="Book Antiqua" w:hAnsi="Book Antiqua" w:cs="Arial"/>
        </w:rPr>
        <w:t xml:space="preserve"> would also be of application to the Appellant’s case in respect of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sidR="006F40AC">
        <w:rPr>
          <w:rFonts w:ascii="Book Antiqua" w:hAnsi="Book Antiqua" w:cs="Arial"/>
        </w:rPr>
        <w:t>.</w:t>
      </w:r>
      <w:r>
        <w:rPr>
          <w:rFonts w:ascii="Book Antiqua" w:hAnsi="Book Antiqua" w:cs="Arial"/>
        </w:rPr>
        <w:t xml:space="preserve"> Whichever child the Judge had considered, the Judge had also erred in not applying </w:t>
      </w:r>
      <w:r w:rsidRPr="00525A2B">
        <w:rPr>
          <w:rFonts w:ascii="Book Antiqua" w:hAnsi="Book Antiqua" w:cs="Arial"/>
          <w:b/>
          <w:u w:val="single"/>
        </w:rPr>
        <w:t>Chavez-</w:t>
      </w:r>
      <w:proofErr w:type="spellStart"/>
      <w:r w:rsidRPr="00525A2B">
        <w:rPr>
          <w:rFonts w:ascii="Book Antiqua" w:hAnsi="Book Antiqua" w:cs="Arial"/>
          <w:b/>
          <w:u w:val="single"/>
        </w:rPr>
        <w:t>Vilchez</w:t>
      </w:r>
      <w:proofErr w:type="spellEnd"/>
      <w:r>
        <w:rPr>
          <w:rFonts w:ascii="Book Antiqua" w:hAnsi="Book Antiqua" w:cs="Arial"/>
        </w:rPr>
        <w:t>.</w:t>
      </w:r>
    </w:p>
    <w:p w:rsidR="00003E73" w:rsidRDefault="00003E73" w:rsidP="005C0D31">
      <w:pPr>
        <w:spacing w:before="240"/>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For the reasons set out below I reject Mr Malik’s submissions in respect of </w:t>
      </w:r>
      <w:r w:rsidRPr="00003E73">
        <w:rPr>
          <w:rFonts w:ascii="Book Antiqua" w:hAnsi="Book Antiqua" w:cs="Arial"/>
          <w:b/>
          <w:u w:val="single"/>
        </w:rPr>
        <w:t>Chavez-</w:t>
      </w:r>
      <w:proofErr w:type="spellStart"/>
      <w:r w:rsidRPr="00003E73">
        <w:rPr>
          <w:rFonts w:ascii="Book Antiqua" w:hAnsi="Book Antiqua" w:cs="Arial"/>
          <w:b/>
          <w:u w:val="single"/>
        </w:rPr>
        <w:t>Vilchez</w:t>
      </w:r>
      <w:proofErr w:type="spellEnd"/>
      <w:r>
        <w:rPr>
          <w:rFonts w:ascii="Book Antiqua" w:hAnsi="Book Antiqua" w:cs="Arial"/>
        </w:rPr>
        <w:t>. Whilst I accept that there is ambiguity in the Judge’s decision as to which mother and child had attended the hearing, I accept Mr Wilding’s submission that this made no material difference to the outcome. I accept that the Respondent’s decision was correct in law and fact and in accordance with the Regulations in respect of th</w:t>
      </w:r>
      <w:r w:rsidR="0061580B">
        <w:rPr>
          <w:rFonts w:ascii="Book Antiqua" w:hAnsi="Book Antiqua" w:cs="Arial"/>
        </w:rPr>
        <w:t>e</w:t>
      </w:r>
      <w:r>
        <w:rPr>
          <w:rFonts w:ascii="Book Antiqua" w:hAnsi="Book Antiqua" w:cs="Arial"/>
        </w:rPr>
        <w:t xml:space="preserve"> Appellant’s relationship with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Pr>
          <w:rFonts w:ascii="Book Antiqua" w:hAnsi="Book Antiqua" w:cs="Arial"/>
        </w:rPr>
        <w:t xml:space="preserve">. </w:t>
      </w:r>
      <w:r w:rsidR="00D338B7">
        <w:rPr>
          <w:rFonts w:ascii="Book Antiqua" w:hAnsi="Book Antiqua" w:cs="Arial"/>
        </w:rPr>
        <w:t>[SJ]</w:t>
      </w:r>
      <w:r w:rsidR="00D338B7">
        <w:rPr>
          <w:rFonts w:ascii="Book Antiqua" w:hAnsi="Book Antiqua" w:cs="Arial"/>
        </w:rPr>
        <w:t xml:space="preserve"> </w:t>
      </w:r>
      <w:r w:rsidR="0061580B">
        <w:rPr>
          <w:rFonts w:ascii="Book Antiqua" w:hAnsi="Book Antiqua" w:cs="Arial"/>
        </w:rPr>
        <w:t xml:space="preserve">could have said nothing further at the hearing to </w:t>
      </w:r>
      <w:r>
        <w:rPr>
          <w:rFonts w:ascii="Book Antiqua" w:hAnsi="Book Antiqua" w:cs="Arial"/>
        </w:rPr>
        <w:t>alter the outcome</w:t>
      </w:r>
      <w:r w:rsidR="0061580B">
        <w:rPr>
          <w:rFonts w:ascii="Book Antiqua" w:hAnsi="Book Antiqua" w:cs="Arial"/>
        </w:rPr>
        <w:t xml:space="preserve">. </w:t>
      </w:r>
      <w:r w:rsidR="00D338B7">
        <w:rPr>
          <w:rFonts w:ascii="Book Antiqua" w:hAnsi="Book Antiqua" w:cs="Arial"/>
        </w:rPr>
        <w:t>[SW]</w:t>
      </w:r>
      <w:r w:rsidR="0061580B">
        <w:rPr>
          <w:rFonts w:ascii="Book Antiqua" w:hAnsi="Book Antiqua" w:cs="Arial"/>
        </w:rPr>
        <w:t xml:space="preserve"> did not attend and there was no supporting evidence in respect of the Appellant’s relationship with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sidR="0061580B">
        <w:rPr>
          <w:rFonts w:ascii="Book Antiqua" w:hAnsi="Book Antiqua" w:cs="Arial"/>
        </w:rPr>
        <w:t xml:space="preserve">: </w:t>
      </w:r>
      <w:proofErr w:type="gramStart"/>
      <w:r w:rsidR="0061580B">
        <w:rPr>
          <w:rFonts w:ascii="Book Antiqua" w:hAnsi="Book Antiqua" w:cs="Arial"/>
        </w:rPr>
        <w:t>the</w:t>
      </w:r>
      <w:proofErr w:type="gramEnd"/>
      <w:r w:rsidR="0061580B">
        <w:rPr>
          <w:rFonts w:ascii="Book Antiqua" w:hAnsi="Book Antiqua" w:cs="Arial"/>
        </w:rPr>
        <w:t xml:space="preserve"> Appellant could not therefore have discharged the burden of proof to demonstrate to the First-tier Tribunal Judge that he could succeed under the Regulations. In any event, given his indication that he is not in a continuing relationship with </w:t>
      </w:r>
      <w:r w:rsidR="00D338B7">
        <w:rPr>
          <w:rFonts w:ascii="Book Antiqua" w:hAnsi="Book Antiqua" w:cs="Arial"/>
        </w:rPr>
        <w:t>[SW]</w:t>
      </w:r>
      <w:r w:rsidR="0061580B">
        <w:rPr>
          <w:rFonts w:ascii="Book Antiqua" w:hAnsi="Book Antiqua" w:cs="Arial"/>
        </w:rPr>
        <w:t xml:space="preserve"> and that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 xml:space="preserve">] </w:t>
      </w:r>
      <w:r w:rsidR="0061580B">
        <w:rPr>
          <w:rFonts w:ascii="Book Antiqua" w:hAnsi="Book Antiqua" w:cs="Arial"/>
        </w:rPr>
        <w:t xml:space="preserve">lives with </w:t>
      </w:r>
      <w:r w:rsidR="00D338B7">
        <w:rPr>
          <w:rFonts w:ascii="Book Antiqua" w:hAnsi="Book Antiqua" w:cs="Arial"/>
        </w:rPr>
        <w:t>[SW]</w:t>
      </w:r>
      <w:r w:rsidR="0061580B">
        <w:rPr>
          <w:rFonts w:ascii="Book Antiqua" w:hAnsi="Book Antiqua" w:cs="Arial"/>
        </w:rPr>
        <w:t xml:space="preserve">, the outcome in respect of the relationship with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 xml:space="preserve">] </w:t>
      </w:r>
      <w:r w:rsidR="0061580B">
        <w:rPr>
          <w:rFonts w:ascii="Book Antiqua" w:hAnsi="Book Antiqua" w:cs="Arial"/>
        </w:rPr>
        <w:t xml:space="preserve">would likely be decided in the same was as that with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9F40C7">
        <w:rPr>
          <w:rFonts w:ascii="Book Antiqua" w:hAnsi="Book Antiqua" w:cs="Arial"/>
        </w:rPr>
        <w:t xml:space="preserve"> </w:t>
      </w:r>
      <w:r w:rsidR="0061580B">
        <w:rPr>
          <w:rFonts w:ascii="Book Antiqua" w:hAnsi="Book Antiqua" w:cs="Arial"/>
        </w:rPr>
        <w:t>unless there was some distinguishing feature. No such feature has been suggested.</w:t>
      </w:r>
    </w:p>
    <w:p w:rsidR="000A3601" w:rsidRDefault="000A3601" w:rsidP="005C0D31">
      <w:pPr>
        <w:spacing w:before="240"/>
        <w:ind w:left="567" w:hanging="567"/>
        <w:jc w:val="both"/>
        <w:rPr>
          <w:rFonts w:ascii="Book Antiqua" w:hAnsi="Book Antiqua" w:cs="Arial"/>
        </w:rPr>
      </w:pPr>
      <w:r>
        <w:rPr>
          <w:rFonts w:ascii="Book Antiqua" w:hAnsi="Book Antiqua" w:cs="Arial"/>
        </w:rPr>
        <w:t>1</w:t>
      </w:r>
      <w:r w:rsidR="00F64097">
        <w:rPr>
          <w:rFonts w:ascii="Book Antiqua" w:hAnsi="Book Antiqua" w:cs="Arial"/>
        </w:rPr>
        <w:t>8</w:t>
      </w:r>
      <w:r>
        <w:rPr>
          <w:rFonts w:ascii="Book Antiqua" w:hAnsi="Book Antiqua" w:cs="Arial"/>
        </w:rPr>
        <w:t>.</w:t>
      </w:r>
      <w:r>
        <w:rPr>
          <w:rFonts w:ascii="Book Antiqua" w:hAnsi="Book Antiqua" w:cs="Arial"/>
        </w:rPr>
        <w:tab/>
      </w:r>
      <w:r w:rsidR="00C875DC">
        <w:rPr>
          <w:rFonts w:ascii="Book Antiqua" w:hAnsi="Book Antiqua" w:cs="Arial"/>
        </w:rPr>
        <w:t xml:space="preserve">Further to the above: I note that the Decision is silent as to the exact identity of the woman and child that appeared before the First-tier Tribunal. </w:t>
      </w:r>
      <w:r>
        <w:rPr>
          <w:rFonts w:ascii="Book Antiqua" w:hAnsi="Book Antiqua" w:cs="Arial"/>
        </w:rPr>
        <w:t>I acknowledge that there is</w:t>
      </w:r>
      <w:r w:rsidR="00C875DC">
        <w:rPr>
          <w:rFonts w:ascii="Book Antiqua" w:hAnsi="Book Antiqua" w:cs="Arial"/>
        </w:rPr>
        <w:t>, therefore,</w:t>
      </w:r>
      <w:r>
        <w:rPr>
          <w:rFonts w:ascii="Book Antiqua" w:hAnsi="Book Antiqua" w:cs="Arial"/>
        </w:rPr>
        <w:t xml:space="preserve"> a lack of clarity in the decision of the First-tier Tribunal as to whom the Judge thought had accompanied the Appellant to the hearing.</w:t>
      </w:r>
    </w:p>
    <w:p w:rsidR="008449A3" w:rsidRDefault="00B1196D" w:rsidP="005C0D31">
      <w:pPr>
        <w:spacing w:before="240"/>
        <w:ind w:left="567" w:hanging="567"/>
        <w:jc w:val="both"/>
        <w:rPr>
          <w:rFonts w:ascii="Book Antiqua" w:hAnsi="Book Antiqua" w:cs="Arial"/>
        </w:rPr>
      </w:pPr>
      <w:r>
        <w:rPr>
          <w:rFonts w:ascii="Book Antiqua" w:hAnsi="Book Antiqua" w:cs="Arial"/>
        </w:rPr>
        <w:t>1</w:t>
      </w:r>
      <w:r w:rsidR="00C875DC">
        <w:rPr>
          <w:rFonts w:ascii="Book Antiqua" w:hAnsi="Book Antiqua" w:cs="Arial"/>
        </w:rPr>
        <w:t>9</w:t>
      </w:r>
      <w:r>
        <w:rPr>
          <w:rFonts w:ascii="Book Antiqua" w:hAnsi="Book Antiqua" w:cs="Arial"/>
        </w:rPr>
        <w:t>.</w:t>
      </w:r>
      <w:r>
        <w:rPr>
          <w:rFonts w:ascii="Book Antiqua" w:hAnsi="Book Antiqua" w:cs="Arial"/>
        </w:rPr>
        <w:tab/>
      </w:r>
      <w:r w:rsidR="00C875DC">
        <w:rPr>
          <w:rFonts w:ascii="Book Antiqua" w:hAnsi="Book Antiqua" w:cs="Arial"/>
        </w:rPr>
        <w:t xml:space="preserve">Judge </w:t>
      </w:r>
      <w:proofErr w:type="spellStart"/>
      <w:r w:rsidR="00C875DC">
        <w:rPr>
          <w:rFonts w:ascii="Book Antiqua" w:hAnsi="Book Antiqua" w:cs="Arial"/>
        </w:rPr>
        <w:t>Shaerf</w:t>
      </w:r>
      <w:proofErr w:type="spellEnd"/>
      <w:r w:rsidR="00C875DC">
        <w:rPr>
          <w:rFonts w:ascii="Book Antiqua" w:hAnsi="Book Antiqua" w:cs="Arial"/>
        </w:rPr>
        <w:t xml:space="preserve"> </w:t>
      </w:r>
      <w:r w:rsidR="00221E70">
        <w:rPr>
          <w:rFonts w:ascii="Book Antiqua" w:hAnsi="Book Antiqua" w:cs="Arial"/>
        </w:rPr>
        <w:t xml:space="preserve">was </w:t>
      </w:r>
      <w:r w:rsidR="00C875DC">
        <w:rPr>
          <w:rFonts w:ascii="Book Antiqua" w:hAnsi="Book Antiqua" w:cs="Arial"/>
        </w:rPr>
        <w:t>cle</w:t>
      </w:r>
      <w:r w:rsidR="00221E70">
        <w:rPr>
          <w:rFonts w:ascii="Book Antiqua" w:hAnsi="Book Antiqua" w:cs="Arial"/>
        </w:rPr>
        <w:t>arly of the view that Judge Andrew thought</w:t>
      </w:r>
      <w:r w:rsidR="00C875DC">
        <w:rPr>
          <w:rFonts w:ascii="Book Antiqua" w:hAnsi="Book Antiqua" w:cs="Arial"/>
        </w:rPr>
        <w:t xml:space="preserve"> it was </w:t>
      </w:r>
      <w:r w:rsidR="00D338B7">
        <w:rPr>
          <w:rFonts w:ascii="Book Antiqua" w:hAnsi="Book Antiqua" w:cs="Arial"/>
        </w:rPr>
        <w:t>[SW]</w:t>
      </w:r>
      <w:r w:rsidR="00C875DC">
        <w:rPr>
          <w:rFonts w:ascii="Book Antiqua" w:hAnsi="Book Antiqua" w:cs="Arial"/>
        </w:rPr>
        <w:t xml:space="preserve"> and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sidR="00C875DC">
        <w:rPr>
          <w:rFonts w:ascii="Book Antiqua" w:hAnsi="Book Antiqua" w:cs="Arial"/>
        </w:rPr>
        <w:t xml:space="preserve">. That is an entirely understandable view. </w:t>
      </w:r>
      <w:r w:rsidR="00221E70">
        <w:rPr>
          <w:rFonts w:ascii="Book Antiqua" w:hAnsi="Book Antiqua" w:cs="Arial"/>
        </w:rPr>
        <w:t xml:space="preserve">It is apparent that </w:t>
      </w:r>
      <w:r w:rsidR="00012BFD">
        <w:rPr>
          <w:rFonts w:ascii="Book Antiqua" w:hAnsi="Book Antiqua" w:cs="Arial"/>
        </w:rPr>
        <w:t>Judge</w:t>
      </w:r>
      <w:r w:rsidR="00C875DC">
        <w:rPr>
          <w:rFonts w:ascii="Book Antiqua" w:hAnsi="Book Antiqua" w:cs="Arial"/>
        </w:rPr>
        <w:t xml:space="preserve"> Andrew</w:t>
      </w:r>
      <w:r w:rsidR="008449A3">
        <w:rPr>
          <w:rFonts w:ascii="Book Antiqua" w:hAnsi="Book Antiqua" w:cs="Arial"/>
        </w:rPr>
        <w:t xml:space="preserve"> had the Appellant’s bundle in mind because</w:t>
      </w:r>
      <w:r w:rsidR="00012BFD">
        <w:rPr>
          <w:rFonts w:ascii="Book Antiqua" w:hAnsi="Book Antiqua" w:cs="Arial"/>
        </w:rPr>
        <w:t xml:space="preserve"> express reference is made to a skeleton argument</w:t>
      </w:r>
      <w:r w:rsidR="008449A3">
        <w:rPr>
          <w:rFonts w:ascii="Book Antiqua" w:hAnsi="Book Antiqua" w:cs="Arial"/>
        </w:rPr>
        <w:t xml:space="preserve"> (paragraph 2)</w:t>
      </w:r>
      <w:r w:rsidR="00012BFD">
        <w:rPr>
          <w:rFonts w:ascii="Book Antiqua" w:hAnsi="Book Antiqua" w:cs="Arial"/>
        </w:rPr>
        <w:t xml:space="preserve">.  </w:t>
      </w:r>
      <w:r w:rsidR="008449A3">
        <w:rPr>
          <w:rFonts w:ascii="Book Antiqua" w:hAnsi="Book Antiqua" w:cs="Arial"/>
        </w:rPr>
        <w:t>I also note that t</w:t>
      </w:r>
      <w:r w:rsidR="00012BFD">
        <w:rPr>
          <w:rFonts w:ascii="Book Antiqua" w:hAnsi="Book Antiqua" w:cs="Arial"/>
        </w:rPr>
        <w:t xml:space="preserve">he Judge </w:t>
      </w:r>
      <w:r w:rsidR="008449A3">
        <w:rPr>
          <w:rFonts w:ascii="Book Antiqua" w:hAnsi="Book Antiqua" w:cs="Arial"/>
        </w:rPr>
        <w:t>refers</w:t>
      </w:r>
      <w:r w:rsidR="00012BFD">
        <w:rPr>
          <w:rFonts w:ascii="Book Antiqua" w:hAnsi="Book Antiqua" w:cs="Arial"/>
        </w:rPr>
        <w:t xml:space="preserve"> to the Respondent’s representative </w:t>
      </w:r>
      <w:r w:rsidR="008449A3">
        <w:rPr>
          <w:rFonts w:ascii="Book Antiqua" w:hAnsi="Book Antiqua" w:cs="Arial"/>
        </w:rPr>
        <w:t>confirming that there</w:t>
      </w:r>
      <w:r w:rsidR="00012BFD">
        <w:rPr>
          <w:rFonts w:ascii="Book Antiqua" w:hAnsi="Book Antiqua" w:cs="Arial"/>
        </w:rPr>
        <w:t xml:space="preserve"> were </w:t>
      </w:r>
      <w:r w:rsidR="008449A3">
        <w:rPr>
          <w:rFonts w:ascii="Book Antiqua" w:hAnsi="Book Antiqua" w:cs="Arial"/>
        </w:rPr>
        <w:t>no</w:t>
      </w:r>
      <w:r w:rsidR="00012BFD">
        <w:rPr>
          <w:rFonts w:ascii="Book Antiqua" w:hAnsi="Book Antiqua" w:cs="Arial"/>
        </w:rPr>
        <w:t xml:space="preserve"> other outstanding applications</w:t>
      </w:r>
      <w:r w:rsidR="008449A3">
        <w:rPr>
          <w:rFonts w:ascii="Book Antiqua" w:hAnsi="Book Antiqua" w:cs="Arial"/>
        </w:rPr>
        <w:t xml:space="preserve"> (</w:t>
      </w:r>
      <w:r w:rsidR="00012BFD">
        <w:rPr>
          <w:rFonts w:ascii="Book Antiqua" w:hAnsi="Book Antiqua" w:cs="Arial"/>
        </w:rPr>
        <w:t>paragraph 2</w:t>
      </w:r>
      <w:r w:rsidR="008449A3">
        <w:rPr>
          <w:rFonts w:ascii="Book Antiqua" w:hAnsi="Book Antiqua" w:cs="Arial"/>
        </w:rPr>
        <w:t>); in context this appears to be a response to an inquiry from the Judge – “</w:t>
      </w:r>
      <w:r w:rsidR="008449A3" w:rsidRPr="008449A3">
        <w:rPr>
          <w:rFonts w:ascii="Book Antiqua" w:hAnsi="Book Antiqua" w:cs="Arial"/>
          <w:i/>
        </w:rPr>
        <w:t>…</w:t>
      </w:r>
      <w:r w:rsidR="005C0D31">
        <w:rPr>
          <w:rFonts w:ascii="Book Antiqua" w:hAnsi="Book Antiqua" w:cs="Arial"/>
          <w:i/>
        </w:rPr>
        <w:t xml:space="preserve"> </w:t>
      </w:r>
      <w:r w:rsidR="008449A3" w:rsidRPr="008449A3">
        <w:rPr>
          <w:rFonts w:ascii="Book Antiqua" w:hAnsi="Book Antiqua" w:cs="Arial"/>
          <w:i/>
        </w:rPr>
        <w:t>could confirm to me</w:t>
      </w:r>
      <w:r w:rsidR="005C0D31">
        <w:rPr>
          <w:rFonts w:ascii="Book Antiqua" w:hAnsi="Book Antiqua" w:cs="Arial"/>
          <w:i/>
        </w:rPr>
        <w:t xml:space="preserve"> </w:t>
      </w:r>
      <w:r w:rsidR="008449A3" w:rsidRPr="008449A3">
        <w:rPr>
          <w:rFonts w:ascii="Book Antiqua" w:hAnsi="Book Antiqua" w:cs="Arial"/>
          <w:i/>
        </w:rPr>
        <w:t>…</w:t>
      </w:r>
      <w:r w:rsidR="008449A3">
        <w:rPr>
          <w:rFonts w:ascii="Book Antiqua" w:hAnsi="Book Antiqua" w:cs="Arial"/>
        </w:rPr>
        <w:t xml:space="preserve">”. This exchange – and the reference to the skeleton argument </w:t>
      </w:r>
      <w:r w:rsidR="00221E70">
        <w:rPr>
          <w:rFonts w:ascii="Book Antiqua" w:hAnsi="Book Antiqua" w:cs="Arial"/>
        </w:rPr>
        <w:t xml:space="preserve">- </w:t>
      </w:r>
      <w:r w:rsidR="008449A3">
        <w:rPr>
          <w:rFonts w:ascii="Book Antiqua" w:hAnsi="Book Antiqua" w:cs="Arial"/>
        </w:rPr>
        <w:t xml:space="preserve">powerfully </w:t>
      </w:r>
      <w:r w:rsidR="00012BFD">
        <w:rPr>
          <w:rFonts w:ascii="Book Antiqua" w:hAnsi="Book Antiqua" w:cs="Arial"/>
        </w:rPr>
        <w:t xml:space="preserve">suggest that the Judge was alert to the fact that the marriage certificate and </w:t>
      </w:r>
      <w:r w:rsidR="008449A3">
        <w:rPr>
          <w:rFonts w:ascii="Book Antiqua" w:hAnsi="Book Antiqua" w:cs="Arial"/>
        </w:rPr>
        <w:t xml:space="preserve">one of </w:t>
      </w:r>
      <w:r w:rsidR="00012BFD">
        <w:rPr>
          <w:rFonts w:ascii="Book Antiqua" w:hAnsi="Book Antiqua" w:cs="Arial"/>
        </w:rPr>
        <w:t>the birth certificate</w:t>
      </w:r>
      <w:r w:rsidR="008449A3">
        <w:rPr>
          <w:rFonts w:ascii="Book Antiqua" w:hAnsi="Book Antiqua" w:cs="Arial"/>
        </w:rPr>
        <w:t>s</w:t>
      </w:r>
      <w:r w:rsidR="00012BFD">
        <w:rPr>
          <w:rFonts w:ascii="Book Antiqua" w:hAnsi="Book Antiqua" w:cs="Arial"/>
        </w:rPr>
        <w:t xml:space="preserve"> referred to a different </w:t>
      </w:r>
      <w:r w:rsidR="008449A3">
        <w:rPr>
          <w:rFonts w:ascii="Book Antiqua" w:hAnsi="Book Antiqua" w:cs="Arial"/>
        </w:rPr>
        <w:t>mother and a different</w:t>
      </w:r>
      <w:r w:rsidR="00012BFD">
        <w:rPr>
          <w:rFonts w:ascii="Book Antiqua" w:hAnsi="Book Antiqua" w:cs="Arial"/>
        </w:rPr>
        <w:t xml:space="preserve"> child from those that were the subject of the appealable decision.</w:t>
      </w:r>
      <w:r w:rsidR="008449A3">
        <w:rPr>
          <w:rFonts w:ascii="Book Antiqua" w:hAnsi="Book Antiqua" w:cs="Arial"/>
        </w:rPr>
        <w:t xml:space="preserve"> In this context it is to be noted that the Skeleton Argument refers to being the spouse of Sarah Matthew and the father of two British children.</w:t>
      </w:r>
      <w:r w:rsidR="00C875DC">
        <w:rPr>
          <w:rFonts w:ascii="Book Antiqua" w:hAnsi="Book Antiqua" w:cs="Arial"/>
        </w:rPr>
        <w:t xml:space="preserve"> T</w:t>
      </w:r>
      <w:r w:rsidR="00455C9D">
        <w:rPr>
          <w:rFonts w:ascii="Book Antiqua" w:hAnsi="Book Antiqua" w:cs="Arial"/>
        </w:rPr>
        <w:t>he Judge refer</w:t>
      </w:r>
      <w:r w:rsidR="00C875DC">
        <w:rPr>
          <w:rFonts w:ascii="Book Antiqua" w:hAnsi="Book Antiqua" w:cs="Arial"/>
        </w:rPr>
        <w:t>s to the woman present as a</w:t>
      </w:r>
      <w:r w:rsidR="00455C9D">
        <w:rPr>
          <w:rFonts w:ascii="Book Antiqua" w:hAnsi="Book Antiqua" w:cs="Arial"/>
        </w:rPr>
        <w:t xml:space="preserve"> ‘partner’, rather than an ex-partner</w:t>
      </w:r>
      <w:r w:rsidR="00221E70">
        <w:rPr>
          <w:rFonts w:ascii="Book Antiqua" w:hAnsi="Book Antiqua" w:cs="Arial"/>
        </w:rPr>
        <w:t>.</w:t>
      </w:r>
    </w:p>
    <w:p w:rsidR="00D2320F" w:rsidRDefault="00D2320F" w:rsidP="005C0D31">
      <w:pPr>
        <w:spacing w:before="240"/>
        <w:ind w:left="567" w:hanging="567"/>
        <w:jc w:val="both"/>
        <w:rPr>
          <w:rFonts w:ascii="Book Antiqua" w:hAnsi="Book Antiqua" w:cs="Arial"/>
        </w:rPr>
      </w:pPr>
      <w:r>
        <w:rPr>
          <w:rFonts w:ascii="Book Antiqua" w:hAnsi="Book Antiqua" w:cs="Arial"/>
        </w:rPr>
        <w:t>20.</w:t>
      </w:r>
      <w:r>
        <w:rPr>
          <w:rFonts w:ascii="Book Antiqua" w:hAnsi="Book Antiqua" w:cs="Arial"/>
        </w:rPr>
        <w:tab/>
        <w:t>Th</w:t>
      </w:r>
      <w:r w:rsidR="00221E70">
        <w:rPr>
          <w:rFonts w:ascii="Book Antiqua" w:hAnsi="Book Antiqua" w:cs="Arial"/>
        </w:rPr>
        <w:t>ese matters</w:t>
      </w:r>
      <w:r>
        <w:rPr>
          <w:rFonts w:ascii="Book Antiqua" w:hAnsi="Book Antiqua" w:cs="Arial"/>
        </w:rPr>
        <w:t xml:space="preserve"> would suggest that Judge Andrew did indeed think it was Ms Wood and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 xml:space="preserve">] </w:t>
      </w:r>
      <w:r>
        <w:rPr>
          <w:rFonts w:ascii="Book Antiqua" w:hAnsi="Book Antiqua" w:cs="Arial"/>
        </w:rPr>
        <w:t>who had attended.</w:t>
      </w:r>
    </w:p>
    <w:p w:rsidR="00D2320F" w:rsidRDefault="00D2320F" w:rsidP="005C0D31">
      <w:pPr>
        <w:spacing w:before="240"/>
        <w:ind w:left="567" w:hanging="567"/>
        <w:jc w:val="both"/>
        <w:rPr>
          <w:rFonts w:ascii="Book Antiqua" w:hAnsi="Book Antiqua" w:cs="Arial"/>
        </w:rPr>
      </w:pPr>
      <w:r>
        <w:rPr>
          <w:rFonts w:ascii="Book Antiqua" w:hAnsi="Book Antiqua" w:cs="Arial"/>
        </w:rPr>
        <w:lastRenderedPageBreak/>
        <w:t>21.</w:t>
      </w:r>
      <w:r>
        <w:rPr>
          <w:rFonts w:ascii="Book Antiqua" w:hAnsi="Book Antiqua" w:cs="Arial"/>
        </w:rPr>
        <w:tab/>
        <w:t>Let us assume that that was so – and that, as per the Appellant, that was wrong. It may mean that the Judge understood the Appellant’s evidence a</w:t>
      </w:r>
      <w:r w:rsidR="002C07EE">
        <w:rPr>
          <w:rFonts w:ascii="Book Antiqua" w:hAnsi="Book Antiqua" w:cs="Arial"/>
        </w:rPr>
        <w:t>bout</w:t>
      </w:r>
      <w:r>
        <w:rPr>
          <w:rFonts w:ascii="Book Antiqua" w:hAnsi="Book Antiqua" w:cs="Arial"/>
        </w:rPr>
        <w:t xml:space="preserve"> not being a primary carer but sharing care to relate to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Pr>
          <w:rFonts w:ascii="Book Antiqua" w:hAnsi="Book Antiqua" w:cs="Arial"/>
        </w:rPr>
        <w:t xml:space="preserve"> when it was intended to relate to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Pr>
          <w:rFonts w:ascii="Book Antiqua" w:hAnsi="Book Antiqua" w:cs="Arial"/>
        </w:rPr>
        <w:t xml:space="preserve">. If the answer did relate to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9F40C7">
        <w:rPr>
          <w:rFonts w:ascii="Book Antiqua" w:hAnsi="Book Antiqua" w:cs="Arial"/>
        </w:rPr>
        <w:t xml:space="preserve"> </w:t>
      </w:r>
      <w:r>
        <w:rPr>
          <w:rFonts w:ascii="Book Antiqua" w:hAnsi="Book Antiqua" w:cs="Arial"/>
        </w:rPr>
        <w:t xml:space="preserve">– then </w:t>
      </w:r>
      <w:r w:rsidR="00221E70">
        <w:rPr>
          <w:rFonts w:ascii="Book Antiqua" w:hAnsi="Book Antiqua" w:cs="Arial"/>
        </w:rPr>
        <w:t>t</w:t>
      </w:r>
      <w:r>
        <w:rPr>
          <w:rFonts w:ascii="Book Antiqua" w:hAnsi="Book Antiqua" w:cs="Arial"/>
        </w:rPr>
        <w:t>he pre</w:t>
      </w:r>
      <w:r w:rsidR="00221E70">
        <w:rPr>
          <w:rFonts w:ascii="Book Antiqua" w:hAnsi="Book Antiqua" w:cs="Arial"/>
        </w:rPr>
        <w:t>mise of the Respond</w:t>
      </w:r>
      <w:r>
        <w:rPr>
          <w:rFonts w:ascii="Book Antiqua" w:hAnsi="Book Antiqua" w:cs="Arial"/>
        </w:rPr>
        <w:t>e</w:t>
      </w:r>
      <w:r w:rsidR="00221E70">
        <w:rPr>
          <w:rFonts w:ascii="Book Antiqua" w:hAnsi="Book Antiqua" w:cs="Arial"/>
        </w:rPr>
        <w:t>n</w:t>
      </w:r>
      <w:r>
        <w:rPr>
          <w:rFonts w:ascii="Book Antiqua" w:hAnsi="Book Antiqua" w:cs="Arial"/>
        </w:rPr>
        <w:t>t’s dec</w:t>
      </w:r>
      <w:r w:rsidR="00221E70">
        <w:rPr>
          <w:rFonts w:ascii="Book Antiqua" w:hAnsi="Book Antiqua" w:cs="Arial"/>
        </w:rPr>
        <w:t>i</w:t>
      </w:r>
      <w:r>
        <w:rPr>
          <w:rFonts w:ascii="Book Antiqua" w:hAnsi="Book Antiqua" w:cs="Arial"/>
        </w:rPr>
        <w:t>s</w:t>
      </w:r>
      <w:r w:rsidR="00221E70">
        <w:rPr>
          <w:rFonts w:ascii="Book Antiqua" w:hAnsi="Book Antiqua" w:cs="Arial"/>
        </w:rPr>
        <w:t>i</w:t>
      </w:r>
      <w:r>
        <w:rPr>
          <w:rFonts w:ascii="Book Antiqua" w:hAnsi="Book Antiqua" w:cs="Arial"/>
        </w:rPr>
        <w:t>on was correct and regulation 15</w:t>
      </w:r>
      <w:proofErr w:type="gramStart"/>
      <w:r>
        <w:rPr>
          <w:rFonts w:ascii="Book Antiqua" w:hAnsi="Book Antiqua" w:cs="Arial"/>
        </w:rPr>
        <w:t>A(</w:t>
      </w:r>
      <w:proofErr w:type="gramEnd"/>
      <w:r>
        <w:rPr>
          <w:rFonts w:ascii="Book Antiqua" w:hAnsi="Book Antiqua" w:cs="Arial"/>
        </w:rPr>
        <w:t>7) had been properly applied</w:t>
      </w:r>
      <w:r w:rsidR="00221E70">
        <w:rPr>
          <w:rFonts w:ascii="Book Antiqua" w:hAnsi="Book Antiqua" w:cs="Arial"/>
        </w:rPr>
        <w:t xml:space="preserve"> in respect of the Appellant’s relationship to </w:t>
      </w:r>
      <w:r w:rsidR="009F40C7">
        <w:rPr>
          <w:rFonts w:ascii="Book Antiqua" w:hAnsi="Book Antiqua" w:cs="Arial"/>
        </w:rPr>
        <w:t>[SM</w:t>
      </w:r>
      <w:r w:rsidR="009F40C7" w:rsidRPr="009F40C7">
        <w:rPr>
          <w:rFonts w:ascii="Book Antiqua" w:hAnsi="Book Antiqua" w:cs="Arial"/>
          <w:vertAlign w:val="superscript"/>
        </w:rPr>
        <w:t>1</w:t>
      </w:r>
      <w:r w:rsidR="009F40C7">
        <w:rPr>
          <w:rFonts w:ascii="Book Antiqua" w:hAnsi="Book Antiqua" w:cs="Arial"/>
        </w:rPr>
        <w:t>]</w:t>
      </w:r>
      <w:r w:rsidR="00221E70">
        <w:rPr>
          <w:rFonts w:ascii="Book Antiqua" w:hAnsi="Book Antiqua" w:cs="Arial"/>
        </w:rPr>
        <w:t>.</w:t>
      </w:r>
    </w:p>
    <w:p w:rsidR="005F5E6F" w:rsidRDefault="00221E70" w:rsidP="005C0D31">
      <w:pPr>
        <w:spacing w:before="240"/>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In so far as the Judge thought – wrongly – that the answer related to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Pr>
          <w:rFonts w:ascii="Book Antiqua" w:hAnsi="Book Antiqua" w:cs="Arial"/>
        </w:rPr>
        <w:t xml:space="preserve"> it would appear </w:t>
      </w:r>
      <w:r w:rsidR="002C07EE">
        <w:rPr>
          <w:rFonts w:ascii="Book Antiqua" w:hAnsi="Book Antiqua" w:cs="Arial"/>
        </w:rPr>
        <w:t>f</w:t>
      </w:r>
      <w:r>
        <w:rPr>
          <w:rFonts w:ascii="Book Antiqua" w:hAnsi="Book Antiqua" w:cs="Arial"/>
        </w:rPr>
        <w:t xml:space="preserve">rom what the Appellant has indicated before the Upper Tribunal that the result would likely be the same. The Appellant could not avail himself by reason of </w:t>
      </w:r>
      <w:r w:rsidR="00D338B7">
        <w:rPr>
          <w:rFonts w:ascii="Book Antiqua" w:hAnsi="Book Antiqua" w:cs="Arial"/>
        </w:rPr>
        <w:t>[SW]</w:t>
      </w:r>
      <w:r>
        <w:rPr>
          <w:rFonts w:ascii="Book Antiqua" w:hAnsi="Book Antiqua" w:cs="Arial"/>
        </w:rPr>
        <w:t xml:space="preserve"> being an exempt person - just as</w:t>
      </w:r>
      <w:r w:rsidR="005F5E6F">
        <w:rPr>
          <w:rFonts w:ascii="Book Antiqua" w:hAnsi="Book Antiqua" w:cs="Arial"/>
        </w:rPr>
        <w:t xml:space="preserve"> </w:t>
      </w:r>
      <w:r w:rsidR="00D338B7">
        <w:rPr>
          <w:rFonts w:ascii="Book Antiqua" w:hAnsi="Book Antiqua" w:cs="Arial"/>
        </w:rPr>
        <w:t>[SJ]</w:t>
      </w:r>
      <w:r w:rsidR="00D338B7">
        <w:rPr>
          <w:rFonts w:ascii="Book Antiqua" w:hAnsi="Book Antiqua" w:cs="Arial"/>
        </w:rPr>
        <w:t xml:space="preserve"> </w:t>
      </w:r>
      <w:r w:rsidR="005F5E6F">
        <w:rPr>
          <w:rFonts w:ascii="Book Antiqua" w:hAnsi="Book Antiqua" w:cs="Arial"/>
        </w:rPr>
        <w:t>is an exempt person: see regulation 15A(7)(ii).</w:t>
      </w:r>
    </w:p>
    <w:p w:rsidR="00221E70" w:rsidRDefault="005F5E6F" w:rsidP="005C0D31">
      <w:pPr>
        <w:spacing w:before="240"/>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In any event it hardly behoves the Appellant to pursue his case before the Upper Tribunal by reference to his relationship with </w:t>
      </w:r>
      <w:r w:rsidR="00D338B7">
        <w:rPr>
          <w:rFonts w:ascii="Book Antiqua" w:hAnsi="Book Antiqua" w:cs="Arial"/>
        </w:rPr>
        <w:t>[SM</w:t>
      </w:r>
      <w:r w:rsidR="00D338B7" w:rsidRPr="00D338B7">
        <w:rPr>
          <w:rFonts w:ascii="Book Antiqua" w:hAnsi="Book Antiqua" w:cs="Arial"/>
          <w:vertAlign w:val="superscript"/>
        </w:rPr>
        <w:t>2</w:t>
      </w:r>
      <w:r w:rsidR="00D338B7">
        <w:rPr>
          <w:rFonts w:ascii="Book Antiqua" w:hAnsi="Book Antiqua" w:cs="Arial"/>
        </w:rPr>
        <w:t>]</w:t>
      </w:r>
      <w:r>
        <w:rPr>
          <w:rFonts w:ascii="Book Antiqua" w:hAnsi="Book Antiqua" w:cs="Arial"/>
        </w:rPr>
        <w:t xml:space="preserve"> in circumstances where he presented no supporting evidence before the First-tier Tribunal beyond the fact of paternity.</w:t>
      </w:r>
      <w:r w:rsidR="00221E70">
        <w:rPr>
          <w:rFonts w:ascii="Book Antiqua" w:hAnsi="Book Antiqua" w:cs="Arial"/>
        </w:rPr>
        <w:t xml:space="preserve"> </w:t>
      </w:r>
    </w:p>
    <w:p w:rsidR="00205467" w:rsidRDefault="005F5E6F" w:rsidP="005C0D31">
      <w:pPr>
        <w:spacing w:before="240"/>
        <w:ind w:left="567" w:hanging="567"/>
        <w:jc w:val="both"/>
        <w:rPr>
          <w:rFonts w:ascii="Book Antiqua" w:hAnsi="Book Antiqua" w:cs="Arial"/>
        </w:rPr>
      </w:pPr>
      <w:r>
        <w:rPr>
          <w:rFonts w:ascii="Book Antiqua" w:hAnsi="Book Antiqua" w:cs="Arial"/>
        </w:rPr>
        <w:t>24</w:t>
      </w:r>
      <w:r w:rsidR="00B1196D">
        <w:rPr>
          <w:rFonts w:ascii="Book Antiqua" w:hAnsi="Book Antiqua" w:cs="Arial"/>
        </w:rPr>
        <w:t>.</w:t>
      </w:r>
      <w:r w:rsidR="00B1196D">
        <w:rPr>
          <w:rFonts w:ascii="Book Antiqua" w:hAnsi="Book Antiqua" w:cs="Arial"/>
        </w:rPr>
        <w:tab/>
      </w:r>
      <w:r>
        <w:rPr>
          <w:rFonts w:ascii="Book Antiqua" w:hAnsi="Book Antiqua" w:cs="Arial"/>
        </w:rPr>
        <w:t>In my judgement it follows that whatever the ambiguity or confusion before the First-tier Tribunal, the Appellant could not have shown that he was the primary carer of either child within the meaning of the Regulations, and as such could not avail himself under the Regulations.</w:t>
      </w:r>
      <w:r w:rsidR="00071BFE">
        <w:rPr>
          <w:rFonts w:ascii="Book Antiqua" w:hAnsi="Book Antiqua" w:cs="Arial"/>
        </w:rPr>
        <w:t xml:space="preserve">  </w:t>
      </w:r>
    </w:p>
    <w:p w:rsidR="002A44A1" w:rsidRDefault="005F5E6F" w:rsidP="005C0D31">
      <w:pPr>
        <w:spacing w:before="240"/>
        <w:ind w:left="567" w:hanging="567"/>
        <w:jc w:val="both"/>
        <w:rPr>
          <w:rFonts w:ascii="Book Antiqua" w:hAnsi="Book Antiqua" w:cs="Arial"/>
        </w:rPr>
      </w:pPr>
      <w:r>
        <w:rPr>
          <w:rFonts w:ascii="Book Antiqua" w:hAnsi="Book Antiqua" w:cs="Arial"/>
        </w:rPr>
        <w:t>2</w:t>
      </w:r>
      <w:r w:rsidR="00B1196D">
        <w:rPr>
          <w:rFonts w:ascii="Book Antiqua" w:hAnsi="Book Antiqua" w:cs="Arial"/>
        </w:rPr>
        <w:t>5.</w:t>
      </w:r>
      <w:r w:rsidR="00B1196D">
        <w:rPr>
          <w:rFonts w:ascii="Book Antiqua" w:hAnsi="Book Antiqua" w:cs="Arial"/>
        </w:rPr>
        <w:tab/>
      </w:r>
      <w:r w:rsidR="002A44A1">
        <w:rPr>
          <w:rFonts w:ascii="Book Antiqua" w:hAnsi="Book Antiqua" w:cs="Arial"/>
        </w:rPr>
        <w:t>Notwithstanding the almost complete absence of any meaningful evidence before the First-tier Tribunal</w:t>
      </w:r>
      <w:r>
        <w:rPr>
          <w:rFonts w:ascii="Book Antiqua" w:hAnsi="Book Antiqua" w:cs="Arial"/>
        </w:rPr>
        <w:t>,</w:t>
      </w:r>
      <w:r w:rsidR="002A44A1">
        <w:rPr>
          <w:rFonts w:ascii="Book Antiqua" w:hAnsi="Book Antiqua" w:cs="Arial"/>
        </w:rPr>
        <w:t xml:space="preserve"> and </w:t>
      </w:r>
      <w:r>
        <w:rPr>
          <w:rFonts w:ascii="Book Antiqua" w:hAnsi="Book Antiqua" w:cs="Arial"/>
        </w:rPr>
        <w:t>a</w:t>
      </w:r>
      <w:r w:rsidR="002A44A1">
        <w:rPr>
          <w:rFonts w:ascii="Book Antiqua" w:hAnsi="Book Antiqua" w:cs="Arial"/>
        </w:rPr>
        <w:t xml:space="preserve"> similar failure to file any</w:t>
      </w:r>
      <w:r w:rsidR="004A0E3C">
        <w:rPr>
          <w:rFonts w:ascii="Book Antiqua" w:hAnsi="Book Antiqua" w:cs="Arial"/>
        </w:rPr>
        <w:t>thing</w:t>
      </w:r>
      <w:r w:rsidR="002A44A1">
        <w:rPr>
          <w:rFonts w:ascii="Book Antiqua" w:hAnsi="Book Antiqua" w:cs="Arial"/>
        </w:rPr>
        <w:t xml:space="preserve"> further before the Upper Tribunal </w:t>
      </w:r>
      <w:r>
        <w:rPr>
          <w:rFonts w:ascii="Book Antiqua" w:hAnsi="Book Antiqua" w:cs="Arial"/>
        </w:rPr>
        <w:t>(</w:t>
      </w:r>
      <w:r w:rsidR="002A44A1">
        <w:rPr>
          <w:rFonts w:ascii="Book Antiqua" w:hAnsi="Book Antiqua" w:cs="Arial"/>
        </w:rPr>
        <w:t xml:space="preserve">pursuant to </w:t>
      </w:r>
      <w:r>
        <w:rPr>
          <w:rFonts w:ascii="Book Antiqua" w:hAnsi="Book Antiqua" w:cs="Arial"/>
        </w:rPr>
        <w:t xml:space="preserve">standard </w:t>
      </w:r>
      <w:r w:rsidR="002A44A1">
        <w:rPr>
          <w:rFonts w:ascii="Book Antiqua" w:hAnsi="Book Antiqua" w:cs="Arial"/>
        </w:rPr>
        <w:t xml:space="preserve">directions </w:t>
      </w:r>
      <w:r w:rsidR="0017460D">
        <w:rPr>
          <w:rFonts w:ascii="Book Antiqua" w:hAnsi="Book Antiqua" w:cs="Arial"/>
        </w:rPr>
        <w:t xml:space="preserve">lest the Tribunal wish to remake a decision after a finding of error of law) </w:t>
      </w:r>
      <w:r w:rsidR="002A44A1">
        <w:rPr>
          <w:rFonts w:ascii="Book Antiqua" w:hAnsi="Book Antiqua" w:cs="Arial"/>
        </w:rPr>
        <w:t xml:space="preserve">Mr Malik advanced in some detail and at some length an argument drawing primarily on the case of </w:t>
      </w:r>
      <w:r w:rsidR="002A44A1" w:rsidRPr="002A44A1">
        <w:rPr>
          <w:rFonts w:ascii="Book Antiqua" w:hAnsi="Book Antiqua" w:cs="Arial"/>
          <w:b/>
          <w:u w:val="single"/>
        </w:rPr>
        <w:t>Chavez-</w:t>
      </w:r>
      <w:proofErr w:type="spellStart"/>
      <w:r w:rsidR="002A44A1" w:rsidRPr="002A44A1">
        <w:rPr>
          <w:rFonts w:ascii="Book Antiqua" w:hAnsi="Book Antiqua" w:cs="Arial"/>
          <w:b/>
          <w:u w:val="single"/>
        </w:rPr>
        <w:t>Vilchez</w:t>
      </w:r>
      <w:proofErr w:type="spellEnd"/>
      <w:r w:rsidR="002A44A1" w:rsidRPr="002A44A1">
        <w:rPr>
          <w:rFonts w:ascii="Book Antiqua" w:hAnsi="Book Antiqua" w:cs="Arial"/>
          <w:b/>
          <w:u w:val="single"/>
        </w:rPr>
        <w:t xml:space="preserve"> and Others</w:t>
      </w:r>
      <w:r w:rsidR="002A44A1">
        <w:rPr>
          <w:rFonts w:ascii="Book Antiqua" w:hAnsi="Book Antiqua" w:cs="Arial"/>
        </w:rPr>
        <w:t xml:space="preserve"> </w:t>
      </w:r>
      <w:r w:rsidR="002A44A1" w:rsidRPr="002A44A1">
        <w:rPr>
          <w:rFonts w:ascii="Book Antiqua" w:hAnsi="Book Antiqua" w:cs="Arial"/>
          <w:b/>
        </w:rPr>
        <w:t>(Case C133/15)</w:t>
      </w:r>
      <w:r w:rsidR="002A44A1">
        <w:rPr>
          <w:rFonts w:ascii="Book Antiqua" w:hAnsi="Book Antiqua" w:cs="Arial"/>
        </w:rPr>
        <w:t xml:space="preserve">.  </w:t>
      </w:r>
    </w:p>
    <w:p w:rsidR="00D7236E" w:rsidRDefault="0017460D" w:rsidP="005C0D31">
      <w:pPr>
        <w:spacing w:before="240"/>
        <w:ind w:left="567" w:hanging="567"/>
        <w:jc w:val="both"/>
        <w:rPr>
          <w:rFonts w:ascii="Book Antiqua" w:hAnsi="Book Antiqua" w:cs="Arial"/>
        </w:rPr>
      </w:pPr>
      <w:r>
        <w:rPr>
          <w:rFonts w:ascii="Book Antiqua" w:hAnsi="Book Antiqua" w:cs="Arial"/>
        </w:rPr>
        <w:t>2</w:t>
      </w:r>
      <w:r w:rsidR="00B1196D">
        <w:rPr>
          <w:rFonts w:ascii="Book Antiqua" w:hAnsi="Book Antiqua" w:cs="Arial"/>
        </w:rPr>
        <w:t>6.</w:t>
      </w:r>
      <w:r w:rsidR="00B1196D">
        <w:rPr>
          <w:rFonts w:ascii="Book Antiqua" w:hAnsi="Book Antiqua" w:cs="Arial"/>
        </w:rPr>
        <w:tab/>
      </w:r>
      <w:r>
        <w:rPr>
          <w:rFonts w:ascii="Book Antiqua" w:hAnsi="Book Antiqua" w:cs="Arial"/>
        </w:rPr>
        <w:t>T</w:t>
      </w:r>
      <w:r w:rsidR="0063392F">
        <w:rPr>
          <w:rFonts w:ascii="Book Antiqua" w:hAnsi="Book Antiqua" w:cs="Arial"/>
        </w:rPr>
        <w:t xml:space="preserve">he case of </w:t>
      </w:r>
      <w:r w:rsidR="0063392F" w:rsidRPr="0063392F">
        <w:rPr>
          <w:rFonts w:ascii="Book Antiqua" w:hAnsi="Book Antiqua" w:cs="Arial"/>
          <w:b/>
          <w:u w:val="single"/>
        </w:rPr>
        <w:t>Chavez-</w:t>
      </w:r>
      <w:proofErr w:type="spellStart"/>
      <w:r w:rsidR="0063392F" w:rsidRPr="0063392F">
        <w:rPr>
          <w:rFonts w:ascii="Book Antiqua" w:hAnsi="Book Antiqua" w:cs="Arial"/>
          <w:b/>
          <w:u w:val="single"/>
        </w:rPr>
        <w:t>Vilchez</w:t>
      </w:r>
      <w:proofErr w:type="spellEnd"/>
      <w:r w:rsidR="0063392F">
        <w:rPr>
          <w:rFonts w:ascii="Book Antiqua" w:hAnsi="Book Antiqua" w:cs="Arial"/>
        </w:rPr>
        <w:t xml:space="preserve"> </w:t>
      </w:r>
      <w:r>
        <w:rPr>
          <w:rFonts w:ascii="Book Antiqua" w:hAnsi="Book Antiqua" w:cs="Arial"/>
        </w:rPr>
        <w:t xml:space="preserve">considers the circumstances in which a minor child might be obliged to leave the territory of the European Union by reason of the expulsion of a third-country national. As such it is concerned with </w:t>
      </w:r>
      <w:r w:rsidR="00250068">
        <w:rPr>
          <w:rFonts w:ascii="Book Antiqua" w:hAnsi="Book Antiqua" w:cs="Arial"/>
        </w:rPr>
        <w:t>the principle that finds expression in regulation 15A(4</w:t>
      </w:r>
      <w:proofErr w:type="gramStart"/>
      <w:r w:rsidR="00250068">
        <w:rPr>
          <w:rFonts w:ascii="Book Antiqua" w:hAnsi="Book Antiqua" w:cs="Arial"/>
        </w:rPr>
        <w:t>A)(</w:t>
      </w:r>
      <w:proofErr w:type="gramEnd"/>
      <w:r w:rsidR="00250068">
        <w:rPr>
          <w:rFonts w:ascii="Book Antiqua" w:hAnsi="Book Antiqua" w:cs="Arial"/>
        </w:rPr>
        <w:t>c) of the domestic Regulations. This is a different issue from that of ‘primary carer’</w:t>
      </w:r>
      <w:r w:rsidR="0063392F">
        <w:rPr>
          <w:rFonts w:ascii="Book Antiqua" w:hAnsi="Book Antiqua" w:cs="Arial"/>
        </w:rPr>
        <w:t xml:space="preserve">.  </w:t>
      </w:r>
    </w:p>
    <w:p w:rsidR="0012736B" w:rsidRDefault="00B1196D" w:rsidP="005C0D31">
      <w:pPr>
        <w:spacing w:before="240"/>
        <w:ind w:left="567" w:hanging="567"/>
        <w:jc w:val="both"/>
        <w:rPr>
          <w:rFonts w:ascii="Book Antiqua" w:hAnsi="Book Antiqua" w:cs="Arial"/>
        </w:rPr>
      </w:pPr>
      <w:r>
        <w:rPr>
          <w:rFonts w:ascii="Book Antiqua" w:hAnsi="Book Antiqua" w:cs="Arial"/>
        </w:rPr>
        <w:t>2</w:t>
      </w:r>
      <w:r w:rsidR="00250068">
        <w:rPr>
          <w:rFonts w:ascii="Book Antiqua" w:hAnsi="Book Antiqua" w:cs="Arial"/>
        </w:rPr>
        <w:t>7</w:t>
      </w:r>
      <w:r>
        <w:rPr>
          <w:rFonts w:ascii="Book Antiqua" w:hAnsi="Book Antiqua" w:cs="Arial"/>
        </w:rPr>
        <w:t>.</w:t>
      </w:r>
      <w:r>
        <w:rPr>
          <w:rFonts w:ascii="Book Antiqua" w:hAnsi="Book Antiqua" w:cs="Arial"/>
        </w:rPr>
        <w:tab/>
      </w:r>
      <w:r w:rsidR="002C07EE">
        <w:rPr>
          <w:rFonts w:ascii="Book Antiqua" w:hAnsi="Book Antiqua" w:cs="Arial"/>
        </w:rPr>
        <w:t xml:space="preserve">In </w:t>
      </w:r>
      <w:r w:rsidR="002C07EE" w:rsidRPr="002C07EE">
        <w:rPr>
          <w:rFonts w:ascii="Book Antiqua" w:hAnsi="Book Antiqua" w:cs="Arial"/>
          <w:b/>
          <w:u w:val="single"/>
        </w:rPr>
        <w:t>Chavez-</w:t>
      </w:r>
      <w:proofErr w:type="spellStart"/>
      <w:r w:rsidR="002C07EE" w:rsidRPr="002C07EE">
        <w:rPr>
          <w:rFonts w:ascii="Book Antiqua" w:hAnsi="Book Antiqua" w:cs="Arial"/>
          <w:b/>
          <w:u w:val="single"/>
        </w:rPr>
        <w:t>Vilchez</w:t>
      </w:r>
      <w:proofErr w:type="spellEnd"/>
      <w:r w:rsidR="002C07EE">
        <w:rPr>
          <w:rFonts w:ascii="Book Antiqua" w:hAnsi="Book Antiqua" w:cs="Arial"/>
        </w:rPr>
        <w:t xml:space="preserve"> t</w:t>
      </w:r>
      <w:r w:rsidR="00D57C35">
        <w:rPr>
          <w:rFonts w:ascii="Book Antiqua" w:hAnsi="Book Antiqua" w:cs="Arial"/>
        </w:rPr>
        <w:t>he</w:t>
      </w:r>
      <w:r w:rsidR="00250068">
        <w:rPr>
          <w:rFonts w:ascii="Book Antiqua" w:hAnsi="Book Antiqua" w:cs="Arial"/>
        </w:rPr>
        <w:t>re was no dispute as to who were the primary carers</w:t>
      </w:r>
      <w:r w:rsidR="00D57C35">
        <w:rPr>
          <w:rFonts w:ascii="Book Antiqua" w:hAnsi="Book Antiqua" w:cs="Arial"/>
        </w:rPr>
        <w:t xml:space="preserve">.  Each of the applicants </w:t>
      </w:r>
      <w:r w:rsidR="00250068">
        <w:rPr>
          <w:rFonts w:ascii="Book Antiqua" w:hAnsi="Book Antiqua" w:cs="Arial"/>
        </w:rPr>
        <w:t>(</w:t>
      </w:r>
      <w:r w:rsidR="00D57C35">
        <w:rPr>
          <w:rFonts w:ascii="Book Antiqua" w:hAnsi="Book Antiqua" w:cs="Arial"/>
        </w:rPr>
        <w:t>who happen</w:t>
      </w:r>
      <w:r w:rsidR="00250068">
        <w:rPr>
          <w:rFonts w:ascii="Book Antiqua" w:hAnsi="Book Antiqua" w:cs="Arial"/>
        </w:rPr>
        <w:t>ed</w:t>
      </w:r>
      <w:r w:rsidR="00D57C35">
        <w:rPr>
          <w:rFonts w:ascii="Book Antiqua" w:hAnsi="Book Antiqua" w:cs="Arial"/>
        </w:rPr>
        <w:t xml:space="preserve"> to be mothers</w:t>
      </w:r>
      <w:r w:rsidR="00250068">
        <w:rPr>
          <w:rFonts w:ascii="Book Antiqua" w:hAnsi="Book Antiqua" w:cs="Arial"/>
        </w:rPr>
        <w:t>)</w:t>
      </w:r>
      <w:r w:rsidR="00D57C35">
        <w:rPr>
          <w:rFonts w:ascii="Book Antiqua" w:hAnsi="Book Antiqua" w:cs="Arial"/>
        </w:rPr>
        <w:t xml:space="preserve"> </w:t>
      </w:r>
      <w:r w:rsidR="007E1D3C">
        <w:rPr>
          <w:rFonts w:ascii="Book Antiqua" w:hAnsi="Book Antiqua" w:cs="Arial"/>
        </w:rPr>
        <w:t>were</w:t>
      </w:r>
      <w:r w:rsidR="00D57C35">
        <w:rPr>
          <w:rFonts w:ascii="Book Antiqua" w:hAnsi="Book Antiqua" w:cs="Arial"/>
        </w:rPr>
        <w:t xml:space="preserve"> “</w:t>
      </w:r>
      <w:r w:rsidR="00D57C35" w:rsidRPr="007E1D3C">
        <w:rPr>
          <w:rFonts w:ascii="Book Antiqua" w:hAnsi="Book Antiqua" w:cs="Arial"/>
          <w:i/>
        </w:rPr>
        <w:t>responsible</w:t>
      </w:r>
      <w:r w:rsidR="007E1D3C" w:rsidRPr="007E1D3C">
        <w:rPr>
          <w:rFonts w:ascii="Book Antiqua" w:hAnsi="Book Antiqua" w:cs="Arial"/>
          <w:i/>
        </w:rPr>
        <w:t xml:space="preserve"> for the day-to-day and primary care</w:t>
      </w:r>
      <w:r w:rsidR="007E1D3C">
        <w:rPr>
          <w:rFonts w:ascii="Book Antiqua" w:hAnsi="Book Antiqua" w:cs="Arial"/>
        </w:rPr>
        <w:t>” of the minor child</w:t>
      </w:r>
      <w:r w:rsidR="00250068">
        <w:rPr>
          <w:rFonts w:ascii="Book Antiqua" w:hAnsi="Book Antiqua" w:cs="Arial"/>
        </w:rPr>
        <w:t>ren (paragraph 39)</w:t>
      </w:r>
      <w:r w:rsidR="007E1D3C">
        <w:rPr>
          <w:rFonts w:ascii="Book Antiqua" w:hAnsi="Book Antiqua" w:cs="Arial"/>
        </w:rPr>
        <w:t xml:space="preserve">.  It was the parent without responsibility for primary care who was the EEA national.  The question being </w:t>
      </w:r>
      <w:r w:rsidR="00250068">
        <w:rPr>
          <w:rFonts w:ascii="Book Antiqua" w:hAnsi="Book Antiqua" w:cs="Arial"/>
        </w:rPr>
        <w:t>ex</w:t>
      </w:r>
      <w:r w:rsidR="007E1D3C">
        <w:rPr>
          <w:rFonts w:ascii="Book Antiqua" w:hAnsi="Book Antiqua" w:cs="Arial"/>
        </w:rPr>
        <w:t>p</w:t>
      </w:r>
      <w:r w:rsidR="00250068">
        <w:rPr>
          <w:rFonts w:ascii="Book Antiqua" w:hAnsi="Book Antiqua" w:cs="Arial"/>
        </w:rPr>
        <w:t>l</w:t>
      </w:r>
      <w:r w:rsidR="007E1D3C">
        <w:rPr>
          <w:rFonts w:ascii="Book Antiqua" w:hAnsi="Book Antiqua" w:cs="Arial"/>
        </w:rPr>
        <w:t>o</w:t>
      </w:r>
      <w:r w:rsidR="00250068">
        <w:rPr>
          <w:rFonts w:ascii="Book Antiqua" w:hAnsi="Book Antiqua" w:cs="Arial"/>
        </w:rPr>
        <w:t>r</w:t>
      </w:r>
      <w:r w:rsidR="007E1D3C">
        <w:rPr>
          <w:rFonts w:ascii="Book Antiqua" w:hAnsi="Book Antiqua" w:cs="Arial"/>
        </w:rPr>
        <w:t xml:space="preserve">ed was </w:t>
      </w:r>
      <w:r w:rsidR="00250068">
        <w:rPr>
          <w:rFonts w:ascii="Book Antiqua" w:hAnsi="Book Antiqua" w:cs="Arial"/>
        </w:rPr>
        <w:t xml:space="preserve">in relation to </w:t>
      </w:r>
      <w:r w:rsidR="007E1D3C">
        <w:rPr>
          <w:rFonts w:ascii="Book Antiqua" w:hAnsi="Book Antiqua" w:cs="Arial"/>
        </w:rPr>
        <w:t xml:space="preserve">the extent to which it was relevant that if the </w:t>
      </w:r>
      <w:r w:rsidR="00250068">
        <w:rPr>
          <w:rFonts w:ascii="Book Antiqua" w:hAnsi="Book Antiqua" w:cs="Arial"/>
        </w:rPr>
        <w:t xml:space="preserve">non-EEA national </w:t>
      </w:r>
      <w:r w:rsidR="007E1D3C">
        <w:rPr>
          <w:rFonts w:ascii="Book Antiqua" w:hAnsi="Book Antiqua" w:cs="Arial"/>
        </w:rPr>
        <w:t xml:space="preserve">primary carer </w:t>
      </w:r>
      <w:r w:rsidR="00250068">
        <w:rPr>
          <w:rFonts w:ascii="Book Antiqua" w:hAnsi="Book Antiqua" w:cs="Arial"/>
        </w:rPr>
        <w:t>was deprived a right of residence</w:t>
      </w:r>
      <w:r w:rsidR="00FC78A0">
        <w:rPr>
          <w:rFonts w:ascii="Book Antiqua" w:hAnsi="Book Antiqua" w:cs="Arial"/>
        </w:rPr>
        <w:t>,</w:t>
      </w:r>
      <w:r w:rsidR="00250068">
        <w:rPr>
          <w:rFonts w:ascii="Book Antiqua" w:hAnsi="Book Antiqua" w:cs="Arial"/>
        </w:rPr>
        <w:t xml:space="preserve"> </w:t>
      </w:r>
      <w:r w:rsidR="007E1D3C">
        <w:rPr>
          <w:rFonts w:ascii="Book Antiqua" w:hAnsi="Book Antiqua" w:cs="Arial"/>
        </w:rPr>
        <w:t>the EEA national parent might take over responsibility</w:t>
      </w:r>
      <w:r w:rsidR="00FC78A0">
        <w:rPr>
          <w:rFonts w:ascii="Book Antiqua" w:hAnsi="Book Antiqua" w:cs="Arial"/>
        </w:rPr>
        <w:t>: see e.g. paragraph 72</w:t>
      </w:r>
      <w:r w:rsidR="007E1D3C">
        <w:rPr>
          <w:rFonts w:ascii="Book Antiqua" w:hAnsi="Book Antiqua" w:cs="Arial"/>
        </w:rPr>
        <w:t>.</w:t>
      </w:r>
      <w:r w:rsidR="00FC78A0">
        <w:rPr>
          <w:rFonts w:ascii="Book Antiqua" w:hAnsi="Book Antiqua" w:cs="Arial"/>
        </w:rPr>
        <w:t xml:space="preserve"> None of this is pertinent to the issues in the Appellant’s case.</w:t>
      </w:r>
      <w:r w:rsidR="00AA640B">
        <w:rPr>
          <w:rFonts w:ascii="Book Antiqua" w:hAnsi="Book Antiqua" w:cs="Arial"/>
        </w:rPr>
        <w:t xml:space="preserve">  </w:t>
      </w:r>
    </w:p>
    <w:p w:rsidR="0012736B" w:rsidRDefault="00B1196D" w:rsidP="005C0D31">
      <w:pPr>
        <w:spacing w:before="240"/>
        <w:ind w:left="567" w:hanging="567"/>
        <w:jc w:val="both"/>
        <w:rPr>
          <w:rFonts w:ascii="Book Antiqua" w:hAnsi="Book Antiqua" w:cs="Arial"/>
        </w:rPr>
      </w:pPr>
      <w:r>
        <w:rPr>
          <w:rFonts w:ascii="Book Antiqua" w:hAnsi="Book Antiqua" w:cs="Arial"/>
        </w:rPr>
        <w:t>2</w:t>
      </w:r>
      <w:r w:rsidR="00FC78A0">
        <w:rPr>
          <w:rFonts w:ascii="Book Antiqua" w:hAnsi="Book Antiqua" w:cs="Arial"/>
        </w:rPr>
        <w:t>8</w:t>
      </w:r>
      <w:r>
        <w:rPr>
          <w:rFonts w:ascii="Book Antiqua" w:hAnsi="Book Antiqua" w:cs="Arial"/>
        </w:rPr>
        <w:t>.</w:t>
      </w:r>
      <w:r>
        <w:rPr>
          <w:rFonts w:ascii="Book Antiqua" w:hAnsi="Book Antiqua" w:cs="Arial"/>
        </w:rPr>
        <w:tab/>
      </w:r>
      <w:r w:rsidR="00AA640B">
        <w:rPr>
          <w:rFonts w:ascii="Book Antiqua" w:hAnsi="Book Antiqua" w:cs="Arial"/>
        </w:rPr>
        <w:t xml:space="preserve">Both representatives directed my attention to the case of </w:t>
      </w:r>
      <w:proofErr w:type="spellStart"/>
      <w:r w:rsidR="0012736B">
        <w:rPr>
          <w:rFonts w:ascii="Book Antiqua" w:hAnsi="Book Antiqua" w:cs="Arial"/>
          <w:b/>
          <w:u w:val="single"/>
        </w:rPr>
        <w:t>Ni</w:t>
      </w:r>
      <w:r w:rsidR="00AA640B" w:rsidRPr="00AA640B">
        <w:rPr>
          <w:rFonts w:ascii="Book Antiqua" w:hAnsi="Book Antiqua" w:cs="Arial"/>
          <w:b/>
          <w:u w:val="single"/>
        </w:rPr>
        <w:t>lay</w:t>
      </w:r>
      <w:proofErr w:type="spellEnd"/>
      <w:r w:rsidR="00AA640B" w:rsidRPr="00AA640B">
        <w:rPr>
          <w:rFonts w:ascii="Book Antiqua" w:hAnsi="Book Antiqua" w:cs="Arial"/>
          <w:b/>
          <w:u w:val="single"/>
        </w:rPr>
        <w:t xml:space="preserve"> Patel v Secretary of State for the Home Department</w:t>
      </w:r>
      <w:r w:rsidR="00AA640B" w:rsidRPr="00AA640B">
        <w:rPr>
          <w:rFonts w:ascii="Book Antiqua" w:hAnsi="Book Antiqua" w:cs="Arial"/>
          <w:b/>
        </w:rPr>
        <w:t xml:space="preserve"> ]2017] EWCA </w:t>
      </w:r>
      <w:proofErr w:type="spellStart"/>
      <w:r w:rsidR="00AA640B" w:rsidRPr="00AA640B">
        <w:rPr>
          <w:rFonts w:ascii="Book Antiqua" w:hAnsi="Book Antiqua" w:cs="Arial"/>
          <w:b/>
        </w:rPr>
        <w:t>Civ</w:t>
      </w:r>
      <w:proofErr w:type="spellEnd"/>
      <w:r w:rsidR="00AA640B" w:rsidRPr="00AA640B">
        <w:rPr>
          <w:rFonts w:ascii="Book Antiqua" w:hAnsi="Book Antiqua" w:cs="Arial"/>
          <w:b/>
        </w:rPr>
        <w:t xml:space="preserve"> 2028</w:t>
      </w:r>
      <w:r w:rsidR="0012736B">
        <w:rPr>
          <w:rFonts w:ascii="Book Antiqua" w:hAnsi="Book Antiqua" w:cs="Arial"/>
        </w:rPr>
        <w:t>.  A</w:t>
      </w:r>
      <w:r w:rsidR="00AA640B">
        <w:rPr>
          <w:rFonts w:ascii="Book Antiqua" w:hAnsi="Book Antiqua" w:cs="Arial"/>
        </w:rPr>
        <w:t xml:space="preserve">s Mr Wilding pointed out the conclusions therein </w:t>
      </w:r>
      <w:r w:rsidR="00FC78A0">
        <w:rPr>
          <w:rFonts w:ascii="Book Antiqua" w:hAnsi="Book Antiqua" w:cs="Arial"/>
        </w:rPr>
        <w:t>(</w:t>
      </w:r>
      <w:r w:rsidR="00AA640B">
        <w:rPr>
          <w:rFonts w:ascii="Book Antiqua" w:hAnsi="Book Antiqua" w:cs="Arial"/>
        </w:rPr>
        <w:t>paragraphs 72</w:t>
      </w:r>
      <w:r w:rsidR="00FC78A0">
        <w:rPr>
          <w:rFonts w:ascii="Book Antiqua" w:hAnsi="Book Antiqua" w:cs="Arial"/>
        </w:rPr>
        <w:t>-</w:t>
      </w:r>
      <w:r w:rsidR="00AA640B">
        <w:rPr>
          <w:rFonts w:ascii="Book Antiqua" w:hAnsi="Book Antiqua" w:cs="Arial"/>
        </w:rPr>
        <w:t>75</w:t>
      </w:r>
      <w:r w:rsidR="00FC78A0">
        <w:rPr>
          <w:rFonts w:ascii="Book Antiqua" w:hAnsi="Book Antiqua" w:cs="Arial"/>
        </w:rPr>
        <w:t>)</w:t>
      </w:r>
      <w:r w:rsidR="00AA640B">
        <w:rPr>
          <w:rFonts w:ascii="Book Antiqua" w:hAnsi="Book Antiqua" w:cs="Arial"/>
        </w:rPr>
        <w:t xml:space="preserve"> make it very clear that there is nothing in </w:t>
      </w:r>
      <w:r w:rsidR="00AA640B" w:rsidRPr="00AA640B">
        <w:rPr>
          <w:rFonts w:ascii="Book Antiqua" w:hAnsi="Book Antiqua" w:cs="Arial"/>
          <w:b/>
          <w:u w:val="single"/>
        </w:rPr>
        <w:lastRenderedPageBreak/>
        <w:t>Chavez-</w:t>
      </w:r>
      <w:proofErr w:type="spellStart"/>
      <w:r w:rsidR="00AA640B" w:rsidRPr="00AA640B">
        <w:rPr>
          <w:rFonts w:ascii="Book Antiqua" w:hAnsi="Book Antiqua" w:cs="Arial"/>
          <w:b/>
          <w:u w:val="single"/>
        </w:rPr>
        <w:t>Vilchez</w:t>
      </w:r>
      <w:proofErr w:type="spellEnd"/>
      <w:r w:rsidR="00AA640B">
        <w:rPr>
          <w:rFonts w:ascii="Book Antiqua" w:hAnsi="Book Antiqua" w:cs="Arial"/>
        </w:rPr>
        <w:t xml:space="preserve"> that </w:t>
      </w:r>
      <w:r w:rsidR="00FC78A0">
        <w:rPr>
          <w:rFonts w:ascii="Book Antiqua" w:hAnsi="Book Antiqua" w:cs="Arial"/>
        </w:rPr>
        <w:t>represents “</w:t>
      </w:r>
      <w:r w:rsidR="00FC78A0" w:rsidRPr="00FC78A0">
        <w:rPr>
          <w:rFonts w:ascii="Book Antiqua" w:hAnsi="Book Antiqua" w:cs="Arial"/>
          <w:i/>
        </w:rPr>
        <w:t>any kind of sea-change</w:t>
      </w:r>
      <w:r w:rsidR="00FC78A0">
        <w:rPr>
          <w:rFonts w:ascii="Book Antiqua" w:hAnsi="Book Antiqua" w:cs="Arial"/>
        </w:rPr>
        <w:t>”</w:t>
      </w:r>
      <w:r w:rsidR="00AA640B">
        <w:rPr>
          <w:rFonts w:ascii="Book Antiqua" w:hAnsi="Book Antiqua" w:cs="Arial"/>
        </w:rPr>
        <w:t>.</w:t>
      </w:r>
      <w:r w:rsidR="00FC78A0">
        <w:rPr>
          <w:rFonts w:ascii="Book Antiqua" w:hAnsi="Book Antiqua" w:cs="Arial"/>
        </w:rPr>
        <w:t xml:space="preserve"> It is made clear that the issues in </w:t>
      </w:r>
      <w:r w:rsidR="00FC78A0" w:rsidRPr="00FC78A0">
        <w:rPr>
          <w:rFonts w:ascii="Book Antiqua" w:hAnsi="Book Antiqua" w:cs="Arial"/>
          <w:b/>
          <w:u w:val="single"/>
        </w:rPr>
        <w:t>Chavez-</w:t>
      </w:r>
      <w:proofErr w:type="spellStart"/>
      <w:r w:rsidR="00FC78A0" w:rsidRPr="00FC78A0">
        <w:rPr>
          <w:rFonts w:ascii="Book Antiqua" w:hAnsi="Book Antiqua" w:cs="Arial"/>
          <w:b/>
          <w:u w:val="single"/>
        </w:rPr>
        <w:t>Vilchez</w:t>
      </w:r>
      <w:proofErr w:type="spellEnd"/>
      <w:r w:rsidR="00FC78A0">
        <w:rPr>
          <w:rFonts w:ascii="Book Antiqua" w:hAnsi="Book Antiqua" w:cs="Arial"/>
        </w:rPr>
        <w:t xml:space="preserve"> related to the ‘compulsion’ to leave, and not the issue of wh</w:t>
      </w:r>
      <w:r w:rsidR="002C07EE">
        <w:rPr>
          <w:rFonts w:ascii="Book Antiqua" w:hAnsi="Book Antiqua" w:cs="Arial"/>
        </w:rPr>
        <w:t>o i</w:t>
      </w:r>
      <w:r w:rsidR="00FC78A0">
        <w:rPr>
          <w:rFonts w:ascii="Book Antiqua" w:hAnsi="Book Antiqua" w:cs="Arial"/>
        </w:rPr>
        <w:t>s a primary carer.</w:t>
      </w:r>
    </w:p>
    <w:p w:rsidR="0012736B" w:rsidRDefault="00B1196D" w:rsidP="005C0D31">
      <w:pPr>
        <w:spacing w:before="240"/>
        <w:ind w:left="567" w:hanging="567"/>
        <w:jc w:val="both"/>
        <w:rPr>
          <w:rFonts w:ascii="Book Antiqua" w:hAnsi="Book Antiqua" w:cs="Arial"/>
        </w:rPr>
      </w:pPr>
      <w:r>
        <w:rPr>
          <w:rFonts w:ascii="Book Antiqua" w:hAnsi="Book Antiqua" w:cs="Arial"/>
        </w:rPr>
        <w:t>2</w:t>
      </w:r>
      <w:r w:rsidR="00FC78A0">
        <w:rPr>
          <w:rFonts w:ascii="Book Antiqua" w:hAnsi="Book Antiqua" w:cs="Arial"/>
        </w:rPr>
        <w:t>9</w:t>
      </w:r>
      <w:r>
        <w:rPr>
          <w:rFonts w:ascii="Book Antiqua" w:hAnsi="Book Antiqua" w:cs="Arial"/>
        </w:rPr>
        <w:t>.</w:t>
      </w:r>
      <w:r>
        <w:rPr>
          <w:rFonts w:ascii="Book Antiqua" w:hAnsi="Book Antiqua" w:cs="Arial"/>
        </w:rPr>
        <w:tab/>
      </w:r>
      <w:r w:rsidR="00FC78A0">
        <w:rPr>
          <w:rFonts w:ascii="Book Antiqua" w:hAnsi="Book Antiqua" w:cs="Arial"/>
        </w:rPr>
        <w:t xml:space="preserve">It is this latter point that Mr Wilding </w:t>
      </w:r>
      <w:r w:rsidR="00200EDF">
        <w:rPr>
          <w:rFonts w:ascii="Book Antiqua" w:hAnsi="Book Antiqua" w:cs="Arial"/>
        </w:rPr>
        <w:t>emphasised. U</w:t>
      </w:r>
      <w:r w:rsidR="006A5D99">
        <w:rPr>
          <w:rFonts w:ascii="Book Antiqua" w:hAnsi="Book Antiqua" w:cs="Arial"/>
        </w:rPr>
        <w:t>nder</w:t>
      </w:r>
      <w:r w:rsidR="00200EDF">
        <w:rPr>
          <w:rFonts w:ascii="Book Antiqua" w:hAnsi="Book Antiqua" w:cs="Arial"/>
        </w:rPr>
        <w:t xml:space="preserve"> regulation</w:t>
      </w:r>
      <w:r w:rsidR="006A5D99">
        <w:rPr>
          <w:rFonts w:ascii="Book Antiqua" w:hAnsi="Book Antiqua" w:cs="Arial"/>
        </w:rPr>
        <w:t xml:space="preserve"> 15A(4A) it is necessary to satisfy the criteria to show that </w:t>
      </w:r>
    </w:p>
    <w:p w:rsidR="0012736B" w:rsidRPr="00200EDF" w:rsidRDefault="006A5D99" w:rsidP="00D338B7">
      <w:pPr>
        <w:spacing w:before="120" w:after="120"/>
        <w:ind w:left="1701" w:hanging="567"/>
        <w:jc w:val="both"/>
        <w:rPr>
          <w:rFonts w:ascii="Book Antiqua" w:hAnsi="Book Antiqua" w:cs="Arial"/>
          <w:i/>
        </w:rPr>
      </w:pPr>
      <w:r>
        <w:rPr>
          <w:rFonts w:ascii="Book Antiqua" w:hAnsi="Book Antiqua" w:cs="Arial"/>
        </w:rPr>
        <w:t>“</w:t>
      </w:r>
      <w:r w:rsidRPr="00200EDF">
        <w:rPr>
          <w:rFonts w:ascii="Book Antiqua" w:hAnsi="Book Antiqua" w:cs="Arial"/>
          <w:i/>
        </w:rPr>
        <w:t xml:space="preserve">(a) </w:t>
      </w:r>
      <w:r w:rsidR="0012736B" w:rsidRPr="00200EDF">
        <w:rPr>
          <w:rFonts w:ascii="Book Antiqua" w:hAnsi="Book Antiqua" w:cs="Arial"/>
          <w:i/>
        </w:rPr>
        <w:tab/>
        <w:t>P</w:t>
      </w:r>
      <w:r w:rsidRPr="00200EDF">
        <w:rPr>
          <w:rFonts w:ascii="Book Antiqua" w:hAnsi="Book Antiqua" w:cs="Arial"/>
          <w:i/>
        </w:rPr>
        <w:t xml:space="preserve"> is the primary carer of a British c</w:t>
      </w:r>
      <w:r w:rsidR="00200EDF" w:rsidRPr="00200EDF">
        <w:rPr>
          <w:rFonts w:ascii="Book Antiqua" w:hAnsi="Book Antiqua" w:cs="Arial"/>
          <w:i/>
        </w:rPr>
        <w:t>itizen (“the relevant British citizen”)</w:t>
      </w:r>
      <w:r w:rsidRPr="00200EDF">
        <w:rPr>
          <w:rFonts w:ascii="Book Antiqua" w:hAnsi="Book Antiqua" w:cs="Arial"/>
          <w:i/>
        </w:rPr>
        <w:t xml:space="preserve">; </w:t>
      </w:r>
    </w:p>
    <w:p w:rsidR="0012736B" w:rsidRPr="00200EDF" w:rsidRDefault="006A5D99" w:rsidP="00D338B7">
      <w:pPr>
        <w:spacing w:before="120" w:after="120"/>
        <w:ind w:left="1701" w:hanging="567"/>
        <w:jc w:val="both"/>
        <w:rPr>
          <w:rFonts w:ascii="Book Antiqua" w:hAnsi="Book Antiqua" w:cs="Arial"/>
          <w:i/>
        </w:rPr>
      </w:pPr>
      <w:r w:rsidRPr="00200EDF">
        <w:rPr>
          <w:rFonts w:ascii="Book Antiqua" w:hAnsi="Book Antiqua" w:cs="Arial"/>
          <w:i/>
        </w:rPr>
        <w:t xml:space="preserve">(b) </w:t>
      </w:r>
      <w:r w:rsidR="0012736B" w:rsidRPr="00200EDF">
        <w:rPr>
          <w:rFonts w:ascii="Book Antiqua" w:hAnsi="Book Antiqua" w:cs="Arial"/>
          <w:i/>
        </w:rPr>
        <w:tab/>
      </w:r>
      <w:r w:rsidRPr="00200EDF">
        <w:rPr>
          <w:rFonts w:ascii="Book Antiqua" w:hAnsi="Book Antiqua" w:cs="Arial"/>
          <w:i/>
        </w:rPr>
        <w:t xml:space="preserve">the relevant British citizen is residing in the United Kingdom; and </w:t>
      </w:r>
    </w:p>
    <w:p w:rsidR="0012736B" w:rsidRDefault="006A5D99" w:rsidP="00D338B7">
      <w:pPr>
        <w:spacing w:before="120" w:after="120"/>
        <w:ind w:left="1701" w:hanging="567"/>
        <w:jc w:val="both"/>
        <w:rPr>
          <w:rFonts w:ascii="Book Antiqua" w:hAnsi="Book Antiqua" w:cs="Arial"/>
        </w:rPr>
      </w:pPr>
      <w:r w:rsidRPr="00200EDF">
        <w:rPr>
          <w:rFonts w:ascii="Book Antiqua" w:hAnsi="Book Antiqua" w:cs="Arial"/>
          <w:i/>
        </w:rPr>
        <w:t xml:space="preserve">(c) </w:t>
      </w:r>
      <w:r w:rsidR="0012736B" w:rsidRPr="00200EDF">
        <w:rPr>
          <w:rFonts w:ascii="Book Antiqua" w:hAnsi="Book Antiqua" w:cs="Arial"/>
          <w:i/>
        </w:rPr>
        <w:tab/>
      </w:r>
      <w:r w:rsidRPr="00200EDF">
        <w:rPr>
          <w:rFonts w:ascii="Book Antiqua" w:hAnsi="Book Antiqua" w:cs="Arial"/>
          <w:i/>
        </w:rPr>
        <w:t>the relevant British citizen would be unable to reside in the UK or another EEA State i</w:t>
      </w:r>
      <w:r w:rsidR="00200EDF" w:rsidRPr="00200EDF">
        <w:rPr>
          <w:rFonts w:ascii="Book Antiqua" w:hAnsi="Book Antiqua" w:cs="Arial"/>
          <w:i/>
        </w:rPr>
        <w:t>f</w:t>
      </w:r>
      <w:r w:rsidRPr="00200EDF">
        <w:rPr>
          <w:rFonts w:ascii="Book Antiqua" w:hAnsi="Book Antiqua" w:cs="Arial"/>
          <w:i/>
        </w:rPr>
        <w:t xml:space="preserve"> P were required to leave.</w:t>
      </w:r>
      <w:r w:rsidR="0012736B">
        <w:rPr>
          <w:rFonts w:ascii="Book Antiqua" w:hAnsi="Book Antiqua" w:cs="Arial"/>
        </w:rPr>
        <w:t>”</w:t>
      </w:r>
      <w:r>
        <w:rPr>
          <w:rFonts w:ascii="Book Antiqua" w:hAnsi="Book Antiqua" w:cs="Arial"/>
        </w:rPr>
        <w:t xml:space="preserve">  </w:t>
      </w:r>
    </w:p>
    <w:p w:rsidR="002A44A1" w:rsidRDefault="00B1196D" w:rsidP="005C0D31">
      <w:pPr>
        <w:spacing w:before="240"/>
        <w:ind w:left="567" w:hanging="567"/>
        <w:jc w:val="both"/>
        <w:rPr>
          <w:rFonts w:ascii="Book Antiqua" w:hAnsi="Book Antiqua" w:cs="Arial"/>
        </w:rPr>
      </w:pPr>
      <w:r>
        <w:rPr>
          <w:rFonts w:ascii="Book Antiqua" w:hAnsi="Book Antiqua" w:cs="Arial"/>
        </w:rPr>
        <w:t>3</w:t>
      </w:r>
      <w:r w:rsidR="00200EDF">
        <w:rPr>
          <w:rFonts w:ascii="Book Antiqua" w:hAnsi="Book Antiqua" w:cs="Arial"/>
        </w:rPr>
        <w:t>0</w:t>
      </w:r>
      <w:r>
        <w:rPr>
          <w:rFonts w:ascii="Book Antiqua" w:hAnsi="Book Antiqua" w:cs="Arial"/>
        </w:rPr>
        <w:t>.</w:t>
      </w:r>
      <w:r>
        <w:rPr>
          <w:rFonts w:ascii="Book Antiqua" w:hAnsi="Book Antiqua" w:cs="Arial"/>
        </w:rPr>
        <w:tab/>
      </w:r>
      <w:r w:rsidR="006A5D99">
        <w:rPr>
          <w:rFonts w:ascii="Book Antiqua" w:hAnsi="Book Antiqua" w:cs="Arial"/>
        </w:rPr>
        <w:t xml:space="preserve">It follows if the Appellant cannot establish that he is a primary carer the </w:t>
      </w:r>
      <w:r w:rsidR="00200EDF">
        <w:rPr>
          <w:rFonts w:ascii="Book Antiqua" w:hAnsi="Book Antiqua" w:cs="Arial"/>
        </w:rPr>
        <w:t>‘unable to reside’ (or ‘</w:t>
      </w:r>
      <w:r w:rsidR="006A5D99">
        <w:rPr>
          <w:rFonts w:ascii="Book Antiqua" w:hAnsi="Book Antiqua" w:cs="Arial"/>
        </w:rPr>
        <w:t>compulsion</w:t>
      </w:r>
      <w:r w:rsidR="00200EDF">
        <w:rPr>
          <w:rFonts w:ascii="Book Antiqua" w:hAnsi="Book Antiqua" w:cs="Arial"/>
        </w:rPr>
        <w:t>’) question</w:t>
      </w:r>
      <w:r w:rsidR="006A5D99">
        <w:rPr>
          <w:rFonts w:ascii="Book Antiqua" w:hAnsi="Book Antiqua" w:cs="Arial"/>
        </w:rPr>
        <w:t xml:space="preserve"> is not reached</w:t>
      </w:r>
      <w:r w:rsidR="00200EDF">
        <w:rPr>
          <w:rFonts w:ascii="Book Antiqua" w:hAnsi="Book Antiqua" w:cs="Arial"/>
        </w:rPr>
        <w:t>.</w:t>
      </w:r>
      <w:r w:rsidR="006A5D99">
        <w:rPr>
          <w:rFonts w:ascii="Book Antiqua" w:hAnsi="Book Antiqua" w:cs="Arial"/>
        </w:rPr>
        <w:t xml:space="preserve"> </w:t>
      </w:r>
      <w:r w:rsidR="00200EDF">
        <w:rPr>
          <w:rFonts w:ascii="Book Antiqua" w:hAnsi="Book Antiqua" w:cs="Arial"/>
        </w:rPr>
        <w:t>Accordingly,</w:t>
      </w:r>
      <w:r w:rsidR="006A5D99">
        <w:rPr>
          <w:rFonts w:ascii="Book Antiqua" w:hAnsi="Book Antiqua" w:cs="Arial"/>
        </w:rPr>
        <w:t xml:space="preserve"> </w:t>
      </w:r>
      <w:r w:rsidR="006A5D99" w:rsidRPr="006A5D99">
        <w:rPr>
          <w:rFonts w:ascii="Book Antiqua" w:hAnsi="Book Antiqua" w:cs="Arial"/>
          <w:b/>
          <w:u w:val="single"/>
        </w:rPr>
        <w:t>Chavez-</w:t>
      </w:r>
      <w:proofErr w:type="spellStart"/>
      <w:r w:rsidR="006A5D99" w:rsidRPr="006A5D99">
        <w:rPr>
          <w:rFonts w:ascii="Book Antiqua" w:hAnsi="Book Antiqua" w:cs="Arial"/>
          <w:b/>
          <w:u w:val="single"/>
        </w:rPr>
        <w:t>Vilchez</w:t>
      </w:r>
      <w:proofErr w:type="spellEnd"/>
      <w:r w:rsidR="00200EDF">
        <w:rPr>
          <w:rFonts w:ascii="Book Antiqua" w:hAnsi="Book Antiqua" w:cs="Arial"/>
        </w:rPr>
        <w:t>, which is concerned with ability to reside,</w:t>
      </w:r>
      <w:r w:rsidR="006A5D99">
        <w:rPr>
          <w:rFonts w:ascii="Book Antiqua" w:hAnsi="Book Antiqua" w:cs="Arial"/>
        </w:rPr>
        <w:t xml:space="preserve"> does not assist the Appellant</w:t>
      </w:r>
      <w:r w:rsidR="00200EDF">
        <w:rPr>
          <w:rFonts w:ascii="Book Antiqua" w:hAnsi="Book Antiqua" w:cs="Arial"/>
        </w:rPr>
        <w:t xml:space="preserve"> whose case fails at the ‘primary carer’ requirement – i.e. under 15A(4</w:t>
      </w:r>
      <w:proofErr w:type="gramStart"/>
      <w:r w:rsidR="00200EDF">
        <w:rPr>
          <w:rFonts w:ascii="Book Antiqua" w:hAnsi="Book Antiqua" w:cs="Arial"/>
        </w:rPr>
        <w:t>A)(</w:t>
      </w:r>
      <w:proofErr w:type="gramEnd"/>
      <w:r w:rsidR="00200EDF">
        <w:rPr>
          <w:rFonts w:ascii="Book Antiqua" w:hAnsi="Book Antiqua" w:cs="Arial"/>
        </w:rPr>
        <w:t>a) with reference to 15A(7)(b)(ii)</w:t>
      </w:r>
      <w:r w:rsidR="006A5D99">
        <w:rPr>
          <w:rFonts w:ascii="Book Antiqua" w:hAnsi="Book Antiqua" w:cs="Arial"/>
        </w:rPr>
        <w:t>.</w:t>
      </w:r>
    </w:p>
    <w:p w:rsidR="0033668B" w:rsidRDefault="00200EDF" w:rsidP="005C0D31">
      <w:pPr>
        <w:spacing w:before="240"/>
        <w:ind w:left="567" w:hanging="567"/>
        <w:jc w:val="both"/>
        <w:rPr>
          <w:rFonts w:ascii="Book Antiqua" w:hAnsi="Book Antiqua" w:cs="Arial"/>
        </w:rPr>
      </w:pPr>
      <w:r>
        <w:rPr>
          <w:rFonts w:ascii="Book Antiqua" w:hAnsi="Book Antiqua" w:cs="Arial"/>
        </w:rPr>
        <w:t>31</w:t>
      </w:r>
      <w:r w:rsidR="00B1196D">
        <w:rPr>
          <w:rFonts w:ascii="Book Antiqua" w:hAnsi="Book Antiqua" w:cs="Arial"/>
        </w:rPr>
        <w:t>.</w:t>
      </w:r>
      <w:r w:rsidR="00B1196D">
        <w:rPr>
          <w:rFonts w:ascii="Book Antiqua" w:hAnsi="Book Antiqua" w:cs="Arial"/>
        </w:rPr>
        <w:tab/>
      </w:r>
      <w:r w:rsidR="006A5D99">
        <w:rPr>
          <w:rFonts w:ascii="Book Antiqua" w:hAnsi="Book Antiqua" w:cs="Arial"/>
        </w:rPr>
        <w:t xml:space="preserve">Mr Malik nonetheless argued that the thinking and reasoning in </w:t>
      </w:r>
      <w:r w:rsidR="006A5D99" w:rsidRPr="0033668B">
        <w:rPr>
          <w:rFonts w:ascii="Book Antiqua" w:hAnsi="Book Antiqua" w:cs="Arial"/>
          <w:b/>
          <w:u w:val="single"/>
        </w:rPr>
        <w:t>Chavez-</w:t>
      </w:r>
      <w:proofErr w:type="spellStart"/>
      <w:r w:rsidR="006A5D99" w:rsidRPr="0033668B">
        <w:rPr>
          <w:rFonts w:ascii="Book Antiqua" w:hAnsi="Book Antiqua" w:cs="Arial"/>
          <w:b/>
          <w:u w:val="single"/>
        </w:rPr>
        <w:t>Vilchez</w:t>
      </w:r>
      <w:proofErr w:type="spellEnd"/>
      <w:r w:rsidR="006A5D99">
        <w:rPr>
          <w:rFonts w:ascii="Book Antiqua" w:hAnsi="Book Antiqua" w:cs="Arial"/>
        </w:rPr>
        <w:t xml:space="preserve"> ought also to</w:t>
      </w:r>
      <w:r w:rsidR="0033668B">
        <w:rPr>
          <w:rFonts w:ascii="Book Antiqua" w:hAnsi="Book Antiqua" w:cs="Arial"/>
        </w:rPr>
        <w:t xml:space="preserve"> inform an evaluation of who is a primary carer.  In </w:t>
      </w:r>
      <w:proofErr w:type="gramStart"/>
      <w:r w:rsidR="0033668B">
        <w:rPr>
          <w:rFonts w:ascii="Book Antiqua" w:hAnsi="Book Antiqua" w:cs="Arial"/>
        </w:rPr>
        <w:t>short</w:t>
      </w:r>
      <w:proofErr w:type="gramEnd"/>
      <w:r w:rsidR="0033668B">
        <w:rPr>
          <w:rFonts w:ascii="Book Antiqua" w:hAnsi="Book Antiqua" w:cs="Arial"/>
        </w:rPr>
        <w:t xml:space="preserve"> he was seeking to suggest</w:t>
      </w:r>
      <w:r>
        <w:rPr>
          <w:rFonts w:ascii="Book Antiqua" w:hAnsi="Book Antiqua" w:cs="Arial"/>
        </w:rPr>
        <w:t>,</w:t>
      </w:r>
      <w:r w:rsidR="0033668B">
        <w:rPr>
          <w:rFonts w:ascii="Book Antiqua" w:hAnsi="Book Antiqua" w:cs="Arial"/>
        </w:rPr>
        <w:t xml:space="preserve"> it seemed to me</w:t>
      </w:r>
      <w:r>
        <w:rPr>
          <w:rFonts w:ascii="Book Antiqua" w:hAnsi="Book Antiqua" w:cs="Arial"/>
        </w:rPr>
        <w:t>,</w:t>
      </w:r>
      <w:r w:rsidR="0033668B">
        <w:rPr>
          <w:rFonts w:ascii="Book Antiqua" w:hAnsi="Book Antiqua" w:cs="Arial"/>
        </w:rPr>
        <w:t xml:space="preserve"> that the third question under paragraph 15A(4A) should also inform the first question.  I do not accept that</w:t>
      </w:r>
      <w:r>
        <w:rPr>
          <w:rFonts w:ascii="Book Antiqua" w:hAnsi="Book Antiqua" w:cs="Arial"/>
        </w:rPr>
        <w:t>:</w:t>
      </w:r>
      <w:r w:rsidR="0033668B">
        <w:rPr>
          <w:rFonts w:ascii="Book Antiqua" w:hAnsi="Book Antiqua" w:cs="Arial"/>
        </w:rPr>
        <w:t xml:space="preserve"> indeed Mr Malik acknowledged that it constituted a strained construction.  </w:t>
      </w:r>
    </w:p>
    <w:p w:rsidR="00C20621" w:rsidRDefault="00200EDF" w:rsidP="005C0D31">
      <w:pPr>
        <w:spacing w:before="240"/>
        <w:ind w:left="567" w:hanging="567"/>
        <w:jc w:val="both"/>
        <w:rPr>
          <w:rFonts w:ascii="Book Antiqua" w:hAnsi="Book Antiqua" w:cs="Arial"/>
        </w:rPr>
      </w:pPr>
      <w:r>
        <w:rPr>
          <w:rFonts w:ascii="Book Antiqua" w:hAnsi="Book Antiqua" w:cs="Arial"/>
        </w:rPr>
        <w:t>3</w:t>
      </w:r>
      <w:r w:rsidR="00B1196D">
        <w:rPr>
          <w:rFonts w:ascii="Book Antiqua" w:hAnsi="Book Antiqua" w:cs="Arial"/>
        </w:rPr>
        <w:t>2.</w:t>
      </w:r>
      <w:r w:rsidR="00B1196D">
        <w:rPr>
          <w:rFonts w:ascii="Book Antiqua" w:hAnsi="Book Antiqua" w:cs="Arial"/>
        </w:rPr>
        <w:tab/>
      </w:r>
      <w:r>
        <w:rPr>
          <w:rFonts w:ascii="Book Antiqua" w:hAnsi="Book Antiqua" w:cs="Arial"/>
        </w:rPr>
        <w:t>The clear and obvious position is that the Appellant was not able to establish before the First-tier Tribunal that he is a primary carer of a British citizen</w:t>
      </w:r>
      <w:r w:rsidR="00526533">
        <w:rPr>
          <w:rFonts w:ascii="Book Antiqua" w:hAnsi="Book Antiqua" w:cs="Arial"/>
        </w:rPr>
        <w:t xml:space="preserve"> by reference to either of his sons or otherwise. The case of</w:t>
      </w:r>
      <w:r w:rsidR="0033668B">
        <w:rPr>
          <w:rFonts w:ascii="Book Antiqua" w:hAnsi="Book Antiqua" w:cs="Arial"/>
        </w:rPr>
        <w:t xml:space="preserve"> </w:t>
      </w:r>
      <w:r w:rsidR="0033668B" w:rsidRPr="0033668B">
        <w:rPr>
          <w:rFonts w:ascii="Book Antiqua" w:hAnsi="Book Antiqua" w:cs="Arial"/>
          <w:b/>
          <w:u w:val="single"/>
        </w:rPr>
        <w:t>Chavez-</w:t>
      </w:r>
      <w:proofErr w:type="spellStart"/>
      <w:r w:rsidR="0033668B" w:rsidRPr="0033668B">
        <w:rPr>
          <w:rFonts w:ascii="Book Antiqua" w:hAnsi="Book Antiqua" w:cs="Arial"/>
          <w:b/>
          <w:u w:val="single"/>
        </w:rPr>
        <w:t>Vilchez</w:t>
      </w:r>
      <w:proofErr w:type="spellEnd"/>
      <w:r w:rsidR="0033668B">
        <w:rPr>
          <w:rFonts w:ascii="Book Antiqua" w:hAnsi="Book Antiqua" w:cs="Arial"/>
        </w:rPr>
        <w:t xml:space="preserve"> </w:t>
      </w:r>
      <w:r w:rsidR="00526533">
        <w:rPr>
          <w:rFonts w:ascii="Book Antiqua" w:hAnsi="Book Antiqua" w:cs="Arial"/>
        </w:rPr>
        <w:t>is of no relevance in this regard. The Appellant could not succeed under the Regulations. Any confusion on the part of the Judge, and/or any ambiguity in the Decision, makes no difference to the essential circumstance under regulation 15</w:t>
      </w:r>
      <w:proofErr w:type="gramStart"/>
      <w:r w:rsidR="00526533">
        <w:rPr>
          <w:rFonts w:ascii="Book Antiqua" w:hAnsi="Book Antiqua" w:cs="Arial"/>
        </w:rPr>
        <w:t>A(</w:t>
      </w:r>
      <w:proofErr w:type="gramEnd"/>
      <w:r w:rsidR="00526533">
        <w:rPr>
          <w:rFonts w:ascii="Book Antiqua" w:hAnsi="Book Antiqua" w:cs="Arial"/>
        </w:rPr>
        <w:t>7) and (4A)</w:t>
      </w:r>
      <w:r w:rsidR="0033668B">
        <w:rPr>
          <w:rFonts w:ascii="Book Antiqua" w:hAnsi="Book Antiqua" w:cs="Arial"/>
        </w:rPr>
        <w:t xml:space="preserve">.  </w:t>
      </w:r>
    </w:p>
    <w:p w:rsidR="0072148E" w:rsidRPr="00AE6DDE" w:rsidRDefault="00526533" w:rsidP="005C0D31">
      <w:pPr>
        <w:spacing w:before="240"/>
        <w:ind w:left="567" w:hanging="567"/>
        <w:jc w:val="both"/>
        <w:rPr>
          <w:rFonts w:ascii="Book Antiqua" w:hAnsi="Book Antiqua" w:cs="Arial"/>
        </w:rPr>
      </w:pPr>
      <w:r>
        <w:rPr>
          <w:rFonts w:ascii="Book Antiqua" w:hAnsi="Book Antiqua" w:cs="Arial"/>
        </w:rPr>
        <w:t>33</w:t>
      </w:r>
      <w:r w:rsidR="00B1196D">
        <w:rPr>
          <w:rFonts w:ascii="Book Antiqua" w:hAnsi="Book Antiqua" w:cs="Arial"/>
        </w:rPr>
        <w:t>.</w:t>
      </w:r>
      <w:r w:rsidR="00B1196D">
        <w:rPr>
          <w:rFonts w:ascii="Book Antiqua" w:hAnsi="Book Antiqua" w:cs="Arial"/>
        </w:rPr>
        <w:tab/>
      </w:r>
      <w:r w:rsidR="0072148E">
        <w:rPr>
          <w:rFonts w:ascii="Book Antiqua" w:hAnsi="Book Antiqua" w:cs="Arial"/>
        </w:rPr>
        <w:t>The decision of the First-tier Tribunal accordingly stands.</w:t>
      </w:r>
    </w:p>
    <w:p w:rsidR="00847259" w:rsidRPr="00816182" w:rsidRDefault="00847259" w:rsidP="005C0D31">
      <w:pPr>
        <w:spacing w:before="240"/>
        <w:jc w:val="both"/>
        <w:rPr>
          <w:rFonts w:ascii="Book Antiqua" w:hAnsi="Book Antiqua" w:cs="Arial"/>
          <w:b/>
          <w:u w:val="single"/>
        </w:rPr>
      </w:pPr>
      <w:r w:rsidRPr="00816182">
        <w:rPr>
          <w:rFonts w:ascii="Book Antiqua" w:hAnsi="Book Antiqua" w:cs="Arial"/>
          <w:b/>
          <w:u w:val="single"/>
        </w:rPr>
        <w:t>Notice of Decision</w:t>
      </w:r>
    </w:p>
    <w:p w:rsidR="00526533" w:rsidRDefault="00526533" w:rsidP="005C0D31">
      <w:pPr>
        <w:spacing w:before="240"/>
        <w:ind w:left="567" w:hanging="567"/>
        <w:jc w:val="both"/>
        <w:rPr>
          <w:rFonts w:ascii="Book Antiqua" w:hAnsi="Book Antiqua" w:cs="Arial"/>
        </w:rPr>
      </w:pPr>
      <w:r>
        <w:rPr>
          <w:rFonts w:ascii="Book Antiqua" w:hAnsi="Book Antiqua" w:cs="Arial"/>
        </w:rPr>
        <w:t>34.</w:t>
      </w:r>
      <w:r>
        <w:rPr>
          <w:rFonts w:ascii="Book Antiqua" w:hAnsi="Book Antiqua" w:cs="Arial"/>
        </w:rPr>
        <w:tab/>
      </w:r>
      <w:r w:rsidR="00827025">
        <w:rPr>
          <w:rFonts w:ascii="Book Antiqua" w:hAnsi="Book Antiqua" w:cs="Arial"/>
        </w:rPr>
        <w:t>The</w:t>
      </w:r>
      <w:r>
        <w:rPr>
          <w:rFonts w:ascii="Book Antiqua" w:hAnsi="Book Antiqua" w:cs="Arial"/>
        </w:rPr>
        <w:t xml:space="preserve"> decision of the First-tier Tribunal contained no material errors and accordingly stands.</w:t>
      </w:r>
    </w:p>
    <w:p w:rsidR="00827025" w:rsidRDefault="00526533" w:rsidP="005C0D31">
      <w:pPr>
        <w:spacing w:before="240"/>
        <w:ind w:left="567" w:hanging="567"/>
        <w:jc w:val="both"/>
        <w:rPr>
          <w:rFonts w:ascii="Book Antiqua" w:hAnsi="Book Antiqua"/>
        </w:rPr>
      </w:pPr>
      <w:r>
        <w:rPr>
          <w:rFonts w:ascii="Book Antiqua" w:hAnsi="Book Antiqua" w:cs="Arial"/>
        </w:rPr>
        <w:t>35.</w:t>
      </w:r>
      <w:r>
        <w:rPr>
          <w:rFonts w:ascii="Book Antiqua" w:hAnsi="Book Antiqua" w:cs="Arial"/>
        </w:rPr>
        <w:tab/>
        <w:t>The Appellant’s appeal remains dismissed.</w:t>
      </w:r>
      <w:r>
        <w:rPr>
          <w:rFonts w:ascii="Book Antiqua" w:hAnsi="Book Antiqua"/>
        </w:rPr>
        <w:t xml:space="preserve"> </w:t>
      </w:r>
    </w:p>
    <w:p w:rsidR="00847259" w:rsidRDefault="00526533" w:rsidP="005C0D31">
      <w:pPr>
        <w:spacing w:before="240"/>
        <w:ind w:left="567" w:hanging="567"/>
        <w:jc w:val="both"/>
        <w:rPr>
          <w:rFonts w:ascii="Book Antiqua" w:hAnsi="Book Antiqua" w:cs="Arial"/>
        </w:rPr>
      </w:pPr>
      <w:r>
        <w:rPr>
          <w:rFonts w:ascii="Book Antiqua" w:hAnsi="Book Antiqua" w:cs="Arial"/>
        </w:rPr>
        <w:t>36.</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w:t>
      </w:r>
      <w:r w:rsidR="00002165">
        <w:rPr>
          <w:rFonts w:ascii="Book Antiqua" w:hAnsi="Book Antiqua" w:cs="Arial"/>
        </w:rPr>
        <w:t xml:space="preserve"> sought or</w:t>
      </w:r>
      <w:r w:rsidR="00847259">
        <w:rPr>
          <w:rFonts w:ascii="Book Antiqua" w:hAnsi="Book Antiqua" w:cs="Arial"/>
        </w:rPr>
        <w:t xml:space="preserve"> made.</w:t>
      </w:r>
    </w:p>
    <w:p w:rsidR="00847259" w:rsidRDefault="00847259" w:rsidP="00847259">
      <w:pPr>
        <w:jc w:val="both"/>
        <w:rPr>
          <w:rFonts w:ascii="Book Antiqua" w:hAnsi="Book Antiqua" w:cs="Arial"/>
        </w:rPr>
      </w:pPr>
    </w:p>
    <w:p w:rsidR="005C0D31" w:rsidRDefault="005C0D31" w:rsidP="00847259">
      <w:pPr>
        <w:jc w:val="both"/>
        <w:rPr>
          <w:rFonts w:ascii="Book Antiqua" w:hAnsi="Book Antiqua" w:cs="Arial"/>
        </w:rPr>
      </w:pPr>
    </w:p>
    <w:p w:rsidR="001F2716" w:rsidRPr="00AE6DDE" w:rsidRDefault="00780F86" w:rsidP="005C0D31">
      <w:pPr>
        <w:tabs>
          <w:tab w:val="left" w:pos="5103"/>
        </w:tabs>
        <w:jc w:val="both"/>
        <w:rPr>
          <w:rFonts w:ascii="Book Antiqua" w:hAnsi="Book Antiqua" w:cs="Arial"/>
        </w:rPr>
      </w:pPr>
      <w:r w:rsidRPr="00AE6DDE">
        <w:rPr>
          <w:rFonts w:ascii="Book Antiqua" w:hAnsi="Book Antiqua" w:cs="Arial"/>
        </w:rPr>
        <w:t>Signed</w:t>
      </w:r>
      <w:r w:rsidR="00002165">
        <w:rPr>
          <w:rFonts w:ascii="Book Antiqua" w:hAnsi="Book Antiqua" w:cs="Arial"/>
        </w:rPr>
        <w:t>:</w:t>
      </w:r>
      <w:r w:rsidRPr="00AE6DDE">
        <w:rPr>
          <w:rFonts w:ascii="Book Antiqua" w:hAnsi="Book Antiqua" w:cs="Arial"/>
        </w:rPr>
        <w:tab/>
      </w:r>
      <w:r w:rsidR="001F2716" w:rsidRPr="00AE6DDE">
        <w:rPr>
          <w:rFonts w:ascii="Book Antiqua" w:hAnsi="Book Antiqua" w:cs="Arial"/>
        </w:rPr>
        <w:t>Date</w:t>
      </w:r>
      <w:r w:rsidR="00002165">
        <w:rPr>
          <w:rFonts w:ascii="Book Antiqua" w:hAnsi="Book Antiqua" w:cs="Arial"/>
        </w:rPr>
        <w:t xml:space="preserve">: </w:t>
      </w:r>
      <w:r w:rsidR="00526533">
        <w:rPr>
          <w:rFonts w:ascii="Book Antiqua" w:hAnsi="Book Antiqua" w:cs="Arial"/>
          <w:b/>
        </w:rPr>
        <w:t>15</w:t>
      </w:r>
      <w:r w:rsidR="00002165" w:rsidRPr="00002165">
        <w:rPr>
          <w:rFonts w:ascii="Book Antiqua" w:hAnsi="Book Antiqua" w:cs="Arial"/>
          <w:b/>
        </w:rPr>
        <w:t xml:space="preserve"> May 2018</w:t>
      </w:r>
    </w:p>
    <w:p w:rsidR="001F2716" w:rsidRPr="00AE6DDE" w:rsidRDefault="001F2716" w:rsidP="00847259">
      <w:pPr>
        <w:jc w:val="both"/>
        <w:rPr>
          <w:rFonts w:ascii="Book Antiqua" w:hAnsi="Book Antiqua" w:cs="Arial"/>
        </w:rPr>
      </w:pPr>
    </w:p>
    <w:p w:rsidR="00847259" w:rsidRPr="002C07EE" w:rsidRDefault="00347A9C" w:rsidP="00847259">
      <w:pPr>
        <w:jc w:val="both"/>
        <w:rPr>
          <w:rFonts w:ascii="Book Antiqua" w:hAnsi="Book Antiqua" w:cs="Arial"/>
          <w:b/>
          <w:color w:val="000000"/>
        </w:rPr>
      </w:pPr>
      <w:r w:rsidRPr="00002165">
        <w:rPr>
          <w:rFonts w:ascii="Book Antiqua" w:hAnsi="Book Antiqua" w:cs="Arial"/>
          <w:b/>
          <w:color w:val="000000"/>
        </w:rPr>
        <w:t>Deputy Upper Tribunal Judge I A Lewis</w:t>
      </w:r>
    </w:p>
    <w:sectPr w:rsidR="00847259" w:rsidRPr="002C07E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CAB" w:rsidRDefault="00533CAB">
      <w:r>
        <w:separator/>
      </w:r>
    </w:p>
  </w:endnote>
  <w:endnote w:type="continuationSeparator" w:id="0">
    <w:p w:rsidR="00533CAB" w:rsidRDefault="0053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E73" w:rsidRPr="00AE6DDE" w:rsidRDefault="00003E73"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9633FE">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E73" w:rsidRPr="00AE6DDE" w:rsidRDefault="00003E73"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CAB" w:rsidRDefault="00533CAB">
      <w:r>
        <w:separator/>
      </w:r>
    </w:p>
  </w:footnote>
  <w:footnote w:type="continuationSeparator" w:id="0">
    <w:p w:rsidR="00533CAB" w:rsidRDefault="0053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E73" w:rsidRPr="00AE6DDE" w:rsidRDefault="00003E73"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Pr>
        <w:rFonts w:ascii="Book Antiqua" w:hAnsi="Book Antiqua" w:cs="Arial"/>
        <w:sz w:val="16"/>
        <w:szCs w:val="16"/>
      </w:rPr>
      <w:t>EA/12082/2016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E73" w:rsidRPr="00AE6DDE" w:rsidRDefault="00003E73">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F6"/>
    <w:rsid w:val="00000621"/>
    <w:rsid w:val="00002165"/>
    <w:rsid w:val="000036C2"/>
    <w:rsid w:val="00003E73"/>
    <w:rsid w:val="00012BFD"/>
    <w:rsid w:val="00015547"/>
    <w:rsid w:val="00033D3D"/>
    <w:rsid w:val="00036302"/>
    <w:rsid w:val="00062F02"/>
    <w:rsid w:val="00071A7E"/>
    <w:rsid w:val="00071BFE"/>
    <w:rsid w:val="000746C0"/>
    <w:rsid w:val="00074D1D"/>
    <w:rsid w:val="00092580"/>
    <w:rsid w:val="00093D4D"/>
    <w:rsid w:val="000A3601"/>
    <w:rsid w:val="000B24F7"/>
    <w:rsid w:val="000C4CC2"/>
    <w:rsid w:val="000C78B9"/>
    <w:rsid w:val="000D5D94"/>
    <w:rsid w:val="000F1A0E"/>
    <w:rsid w:val="00102B82"/>
    <w:rsid w:val="00104BFE"/>
    <w:rsid w:val="001165A7"/>
    <w:rsid w:val="0012736B"/>
    <w:rsid w:val="00136424"/>
    <w:rsid w:val="00165D99"/>
    <w:rsid w:val="00167D3A"/>
    <w:rsid w:val="00173946"/>
    <w:rsid w:val="00173A2D"/>
    <w:rsid w:val="0017460D"/>
    <w:rsid w:val="001A3082"/>
    <w:rsid w:val="001B186A"/>
    <w:rsid w:val="001B2F75"/>
    <w:rsid w:val="001F2716"/>
    <w:rsid w:val="00200EDF"/>
    <w:rsid w:val="00205467"/>
    <w:rsid w:val="00207617"/>
    <w:rsid w:val="00221E70"/>
    <w:rsid w:val="00224D49"/>
    <w:rsid w:val="0023134B"/>
    <w:rsid w:val="0023252F"/>
    <w:rsid w:val="002376E5"/>
    <w:rsid w:val="00240728"/>
    <w:rsid w:val="00250068"/>
    <w:rsid w:val="00252EB7"/>
    <w:rsid w:val="00253D70"/>
    <w:rsid w:val="00254DBC"/>
    <w:rsid w:val="00283659"/>
    <w:rsid w:val="00290207"/>
    <w:rsid w:val="002A44A1"/>
    <w:rsid w:val="002C07EE"/>
    <w:rsid w:val="002C1F85"/>
    <w:rsid w:val="002C6BD4"/>
    <w:rsid w:val="002D070B"/>
    <w:rsid w:val="002D083B"/>
    <w:rsid w:val="002D68BF"/>
    <w:rsid w:val="002F6B98"/>
    <w:rsid w:val="0033668B"/>
    <w:rsid w:val="00336CBF"/>
    <w:rsid w:val="00343FE3"/>
    <w:rsid w:val="00347A9C"/>
    <w:rsid w:val="003546C8"/>
    <w:rsid w:val="00376C1D"/>
    <w:rsid w:val="003A0375"/>
    <w:rsid w:val="003A7CF2"/>
    <w:rsid w:val="003B08AC"/>
    <w:rsid w:val="003B1B6F"/>
    <w:rsid w:val="003C5CE5"/>
    <w:rsid w:val="003E267B"/>
    <w:rsid w:val="003E7CD1"/>
    <w:rsid w:val="003F4C61"/>
    <w:rsid w:val="00402B9E"/>
    <w:rsid w:val="00411BA2"/>
    <w:rsid w:val="004249CB"/>
    <w:rsid w:val="0044127D"/>
    <w:rsid w:val="004448DB"/>
    <w:rsid w:val="00446C9A"/>
    <w:rsid w:val="004474F4"/>
    <w:rsid w:val="00447988"/>
    <w:rsid w:val="00452F2B"/>
    <w:rsid w:val="00455C9D"/>
    <w:rsid w:val="00471E3C"/>
    <w:rsid w:val="00477193"/>
    <w:rsid w:val="004942A9"/>
    <w:rsid w:val="004A0E3C"/>
    <w:rsid w:val="004A1848"/>
    <w:rsid w:val="004A6F4A"/>
    <w:rsid w:val="004E4717"/>
    <w:rsid w:val="004F672C"/>
    <w:rsid w:val="0050388A"/>
    <w:rsid w:val="00507FEC"/>
    <w:rsid w:val="00510F0E"/>
    <w:rsid w:val="00525A2B"/>
    <w:rsid w:val="00526533"/>
    <w:rsid w:val="00530005"/>
    <w:rsid w:val="00533CAB"/>
    <w:rsid w:val="005420FD"/>
    <w:rsid w:val="005473D4"/>
    <w:rsid w:val="005479E1"/>
    <w:rsid w:val="005518AE"/>
    <w:rsid w:val="00553B2D"/>
    <w:rsid w:val="00553E0A"/>
    <w:rsid w:val="005570FD"/>
    <w:rsid w:val="005575EA"/>
    <w:rsid w:val="0057790C"/>
    <w:rsid w:val="00593795"/>
    <w:rsid w:val="00596130"/>
    <w:rsid w:val="005A75FF"/>
    <w:rsid w:val="005C0D31"/>
    <w:rsid w:val="005C2B9C"/>
    <w:rsid w:val="005D10AB"/>
    <w:rsid w:val="005E3B61"/>
    <w:rsid w:val="005E761F"/>
    <w:rsid w:val="005F4A98"/>
    <w:rsid w:val="005F5E6F"/>
    <w:rsid w:val="00601D8F"/>
    <w:rsid w:val="0061580B"/>
    <w:rsid w:val="0062078F"/>
    <w:rsid w:val="0063392F"/>
    <w:rsid w:val="00650B37"/>
    <w:rsid w:val="00653E97"/>
    <w:rsid w:val="00684A74"/>
    <w:rsid w:val="00690B8A"/>
    <w:rsid w:val="00696111"/>
    <w:rsid w:val="006A5D99"/>
    <w:rsid w:val="006E47C4"/>
    <w:rsid w:val="006F2CF1"/>
    <w:rsid w:val="006F38DD"/>
    <w:rsid w:val="006F40AC"/>
    <w:rsid w:val="00703184"/>
    <w:rsid w:val="007038ED"/>
    <w:rsid w:val="00703BC3"/>
    <w:rsid w:val="00704B61"/>
    <w:rsid w:val="0072148E"/>
    <w:rsid w:val="007552A9"/>
    <w:rsid w:val="00761858"/>
    <w:rsid w:val="00767D59"/>
    <w:rsid w:val="00773D6D"/>
    <w:rsid w:val="00775A17"/>
    <w:rsid w:val="00776E97"/>
    <w:rsid w:val="00780F86"/>
    <w:rsid w:val="007912AD"/>
    <w:rsid w:val="007A0794"/>
    <w:rsid w:val="007A3054"/>
    <w:rsid w:val="007B0824"/>
    <w:rsid w:val="007B5D3C"/>
    <w:rsid w:val="007E1D3C"/>
    <w:rsid w:val="007F0F24"/>
    <w:rsid w:val="007F22F9"/>
    <w:rsid w:val="008214A0"/>
    <w:rsid w:val="00821B72"/>
    <w:rsid w:val="00823EF2"/>
    <w:rsid w:val="00827025"/>
    <w:rsid w:val="008303B8"/>
    <w:rsid w:val="00833DCE"/>
    <w:rsid w:val="008449A3"/>
    <w:rsid w:val="00847259"/>
    <w:rsid w:val="008478F6"/>
    <w:rsid w:val="00854534"/>
    <w:rsid w:val="00855293"/>
    <w:rsid w:val="0086688B"/>
    <w:rsid w:val="00871D34"/>
    <w:rsid w:val="00874D45"/>
    <w:rsid w:val="00885DA4"/>
    <w:rsid w:val="008971D8"/>
    <w:rsid w:val="008B270C"/>
    <w:rsid w:val="008B5078"/>
    <w:rsid w:val="008B6CDF"/>
    <w:rsid w:val="008C3D3D"/>
    <w:rsid w:val="008D4131"/>
    <w:rsid w:val="008F1932"/>
    <w:rsid w:val="00901740"/>
    <w:rsid w:val="00921062"/>
    <w:rsid w:val="009335A1"/>
    <w:rsid w:val="00940B5D"/>
    <w:rsid w:val="00942BEE"/>
    <w:rsid w:val="00947565"/>
    <w:rsid w:val="009633FE"/>
    <w:rsid w:val="009722BC"/>
    <w:rsid w:val="009727A3"/>
    <w:rsid w:val="00984E64"/>
    <w:rsid w:val="00987774"/>
    <w:rsid w:val="009A11E8"/>
    <w:rsid w:val="009B443B"/>
    <w:rsid w:val="009D1EA3"/>
    <w:rsid w:val="009D623C"/>
    <w:rsid w:val="009F40C7"/>
    <w:rsid w:val="009F5220"/>
    <w:rsid w:val="009F6BAB"/>
    <w:rsid w:val="00A133B8"/>
    <w:rsid w:val="00A15234"/>
    <w:rsid w:val="00A201AB"/>
    <w:rsid w:val="00A31C8B"/>
    <w:rsid w:val="00A509FA"/>
    <w:rsid w:val="00A57B5D"/>
    <w:rsid w:val="00A845DC"/>
    <w:rsid w:val="00A92942"/>
    <w:rsid w:val="00AA640B"/>
    <w:rsid w:val="00AD21C3"/>
    <w:rsid w:val="00AD5231"/>
    <w:rsid w:val="00AE6DDE"/>
    <w:rsid w:val="00AE7D4D"/>
    <w:rsid w:val="00B05FFD"/>
    <w:rsid w:val="00B1196D"/>
    <w:rsid w:val="00B26AA2"/>
    <w:rsid w:val="00B3524D"/>
    <w:rsid w:val="00B40F69"/>
    <w:rsid w:val="00B46616"/>
    <w:rsid w:val="00B7040A"/>
    <w:rsid w:val="00B83391"/>
    <w:rsid w:val="00B87C01"/>
    <w:rsid w:val="00B95326"/>
    <w:rsid w:val="00BD4196"/>
    <w:rsid w:val="00BE6840"/>
    <w:rsid w:val="00BF22CA"/>
    <w:rsid w:val="00BF23BB"/>
    <w:rsid w:val="00C048DC"/>
    <w:rsid w:val="00C12E71"/>
    <w:rsid w:val="00C20621"/>
    <w:rsid w:val="00C26032"/>
    <w:rsid w:val="00C345E1"/>
    <w:rsid w:val="00C43BFD"/>
    <w:rsid w:val="00C43EFF"/>
    <w:rsid w:val="00C53074"/>
    <w:rsid w:val="00C612EB"/>
    <w:rsid w:val="00C875DC"/>
    <w:rsid w:val="00CB6E35"/>
    <w:rsid w:val="00CD3634"/>
    <w:rsid w:val="00CD58CE"/>
    <w:rsid w:val="00CD59AC"/>
    <w:rsid w:val="00CE1A46"/>
    <w:rsid w:val="00D20757"/>
    <w:rsid w:val="00D22636"/>
    <w:rsid w:val="00D2320F"/>
    <w:rsid w:val="00D23A2B"/>
    <w:rsid w:val="00D338B7"/>
    <w:rsid w:val="00D40FD9"/>
    <w:rsid w:val="00D45631"/>
    <w:rsid w:val="00D53769"/>
    <w:rsid w:val="00D57C35"/>
    <w:rsid w:val="00D7236E"/>
    <w:rsid w:val="00D85C13"/>
    <w:rsid w:val="00D87AF7"/>
    <w:rsid w:val="00D9111A"/>
    <w:rsid w:val="00D91BE3"/>
    <w:rsid w:val="00D94AFC"/>
    <w:rsid w:val="00DB70AE"/>
    <w:rsid w:val="00DD1BBC"/>
    <w:rsid w:val="00DD3B51"/>
    <w:rsid w:val="00DD5071"/>
    <w:rsid w:val="00DD5C39"/>
    <w:rsid w:val="00DE12F6"/>
    <w:rsid w:val="00DE7DB7"/>
    <w:rsid w:val="00DF09E9"/>
    <w:rsid w:val="00E00973"/>
    <w:rsid w:val="00E00A0A"/>
    <w:rsid w:val="00E030DE"/>
    <w:rsid w:val="00E066DE"/>
    <w:rsid w:val="00E07F57"/>
    <w:rsid w:val="00E30683"/>
    <w:rsid w:val="00E453D8"/>
    <w:rsid w:val="00E50BCE"/>
    <w:rsid w:val="00E574BF"/>
    <w:rsid w:val="00E61292"/>
    <w:rsid w:val="00E67616"/>
    <w:rsid w:val="00E745EC"/>
    <w:rsid w:val="00E77C4D"/>
    <w:rsid w:val="00E81D01"/>
    <w:rsid w:val="00E845A5"/>
    <w:rsid w:val="00EE45D8"/>
    <w:rsid w:val="00EE7061"/>
    <w:rsid w:val="00EF1A7D"/>
    <w:rsid w:val="00F22EDA"/>
    <w:rsid w:val="00F64097"/>
    <w:rsid w:val="00F74FA7"/>
    <w:rsid w:val="00FA2049"/>
    <w:rsid w:val="00FB6DB1"/>
    <w:rsid w:val="00FC244D"/>
    <w:rsid w:val="00FC7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B20D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2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2607</Words>
  <Characters>13083</Characters>
  <Application>Microsoft Office Word</Application>
  <DocSecurity>0</DocSecurity>
  <Lines>109</Lines>
  <Paragraphs>31</Paragraphs>
  <ScaleCrop>false</ScaleCrop>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2018-06-07T15:37:00Z</dcterms:created>
  <dcterms:modified xsi:type="dcterms:W3CDTF">2018-06-07T15:37:00Z</dcterms:modified>
</cp:coreProperties>
</file>