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04845" w14:textId="77777777" w:rsidR="00933B65" w:rsidRPr="00F97703" w:rsidRDefault="00933B65" w:rsidP="00933B65">
      <w:pPr>
        <w:rPr>
          <w:rFonts w:ascii="Book Antiqua" w:hAnsi="Book Antiqua" w:cs="Arial"/>
          <w:color w:val="000000"/>
          <w:sz w:val="16"/>
          <w:szCs w:val="16"/>
        </w:rPr>
      </w:pPr>
    </w:p>
    <w:p w14:paraId="18415B9B" w14:textId="70188D86" w:rsidR="00933B65" w:rsidRDefault="00F861B0" w:rsidP="00933B65">
      <w:pPr>
        <w:jc w:val="center"/>
        <w:rPr>
          <w:rFonts w:ascii="Book Antiqua" w:hAnsi="Book Antiqua" w:cs="Arial"/>
          <w:color w:val="000000"/>
        </w:rPr>
      </w:pPr>
      <w:r>
        <w:t xml:space="preserve"> </w:t>
      </w:r>
      <w:r w:rsidR="00580C9C">
        <w:rPr>
          <w:noProof/>
        </w:rPr>
        <w:drawing>
          <wp:inline distT="0" distB="0" distL="0" distR="0" wp14:anchorId="361DB221" wp14:editId="24AF31DC">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1E64094D"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7EC58717" w14:textId="77777777"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490985">
        <w:rPr>
          <w:rFonts w:ascii="Book Antiqua" w:hAnsi="Book Antiqua" w:cs="Arial"/>
          <w:color w:val="000000"/>
        </w:rPr>
        <w:t>EA/12819/2016</w:t>
      </w:r>
      <w:bookmarkEnd w:id="0"/>
    </w:p>
    <w:p w14:paraId="7ADC7F6D" w14:textId="77777777" w:rsidR="00933B65" w:rsidRPr="00F97703" w:rsidRDefault="00933B65" w:rsidP="00933B65">
      <w:pPr>
        <w:jc w:val="center"/>
        <w:rPr>
          <w:rFonts w:ascii="Book Antiqua" w:hAnsi="Book Antiqua" w:cs="Arial"/>
          <w:color w:val="000000"/>
        </w:rPr>
      </w:pPr>
    </w:p>
    <w:p w14:paraId="78118563"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53370C7E" w14:textId="77777777" w:rsidR="00405694" w:rsidRPr="00F97703" w:rsidRDefault="00405694" w:rsidP="00405694">
      <w:pPr>
        <w:jc w:val="center"/>
        <w:rPr>
          <w:rFonts w:ascii="Book Antiqua" w:hAnsi="Book Antiqua" w:cs="Arial"/>
          <w:b/>
          <w:u w:val="single"/>
        </w:rPr>
      </w:pPr>
    </w:p>
    <w:tbl>
      <w:tblPr>
        <w:tblW w:w="10889" w:type="dxa"/>
        <w:tblLook w:val="01E0" w:firstRow="1" w:lastRow="1" w:firstColumn="1" w:lastColumn="1" w:noHBand="0" w:noVBand="0"/>
      </w:tblPr>
      <w:tblGrid>
        <w:gridCol w:w="6701"/>
        <w:gridCol w:w="4188"/>
      </w:tblGrid>
      <w:tr w:rsidR="00405694" w:rsidRPr="00AB1DC6" w14:paraId="31727926" w14:textId="77777777" w:rsidTr="00F55975">
        <w:trPr>
          <w:trHeight w:val="202"/>
        </w:trPr>
        <w:tc>
          <w:tcPr>
            <w:tcW w:w="6701" w:type="dxa"/>
            <w:shd w:val="clear" w:color="auto" w:fill="auto"/>
          </w:tcPr>
          <w:p w14:paraId="01E71C69" w14:textId="77777777"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188" w:type="dxa"/>
            <w:shd w:val="clear" w:color="auto" w:fill="auto"/>
          </w:tcPr>
          <w:p w14:paraId="1A39AB6F" w14:textId="77777777"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 Promulgated</w:t>
            </w:r>
          </w:p>
        </w:tc>
      </w:tr>
      <w:tr w:rsidR="00405694" w:rsidRPr="00AB1DC6" w14:paraId="175BD3CD" w14:textId="77777777" w:rsidTr="00F55975">
        <w:trPr>
          <w:trHeight w:val="212"/>
        </w:trPr>
        <w:tc>
          <w:tcPr>
            <w:tcW w:w="6701" w:type="dxa"/>
            <w:shd w:val="clear" w:color="auto" w:fill="auto"/>
          </w:tcPr>
          <w:p w14:paraId="0F9E7DA6" w14:textId="77777777"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490985">
              <w:rPr>
                <w:rFonts w:ascii="Book Antiqua" w:hAnsi="Book Antiqua" w:cs="Arial"/>
                <w:b/>
              </w:rPr>
              <w:t>25 June 2018</w:t>
            </w:r>
          </w:p>
        </w:tc>
        <w:tc>
          <w:tcPr>
            <w:tcW w:w="4188" w:type="dxa"/>
            <w:shd w:val="clear" w:color="auto" w:fill="auto"/>
          </w:tcPr>
          <w:p w14:paraId="4E4710C9" w14:textId="77777777" w:rsidR="00405694" w:rsidRPr="00AB1DC6" w:rsidRDefault="00F55975" w:rsidP="00AB1DC6">
            <w:pPr>
              <w:jc w:val="both"/>
              <w:rPr>
                <w:rFonts w:ascii="Book Antiqua" w:hAnsi="Book Antiqua" w:cs="Arial"/>
                <w:b/>
              </w:rPr>
            </w:pPr>
            <w:r w:rsidRPr="00F55975">
              <w:rPr>
                <w:rFonts w:ascii="Book Antiqua" w:hAnsi="Book Antiqua" w:cs="Arial"/>
                <w:b/>
              </w:rPr>
              <w:t>On 26 June 2018</w:t>
            </w:r>
          </w:p>
        </w:tc>
      </w:tr>
      <w:tr w:rsidR="00405694" w:rsidRPr="00AB1DC6" w14:paraId="114EA255" w14:textId="77777777" w:rsidTr="00F55975">
        <w:trPr>
          <w:trHeight w:val="404"/>
        </w:trPr>
        <w:tc>
          <w:tcPr>
            <w:tcW w:w="6701" w:type="dxa"/>
            <w:shd w:val="clear" w:color="auto" w:fill="auto"/>
          </w:tcPr>
          <w:p w14:paraId="38D91EB7" w14:textId="77777777" w:rsidR="00405694" w:rsidRDefault="00405694" w:rsidP="00AB1DC6">
            <w:pPr>
              <w:jc w:val="both"/>
              <w:rPr>
                <w:rFonts w:ascii="Book Antiqua" w:hAnsi="Book Antiqua" w:cs="Arial"/>
                <w:b/>
              </w:rPr>
            </w:pPr>
          </w:p>
          <w:p w14:paraId="7C7C11A4" w14:textId="77777777" w:rsidR="0058206A" w:rsidRPr="00AB1DC6" w:rsidRDefault="0058206A" w:rsidP="00AB1DC6">
            <w:pPr>
              <w:jc w:val="both"/>
              <w:rPr>
                <w:rFonts w:ascii="Book Antiqua" w:hAnsi="Book Antiqua" w:cs="Arial"/>
                <w:b/>
              </w:rPr>
            </w:pPr>
          </w:p>
        </w:tc>
        <w:tc>
          <w:tcPr>
            <w:tcW w:w="4188" w:type="dxa"/>
            <w:shd w:val="clear" w:color="auto" w:fill="auto"/>
          </w:tcPr>
          <w:p w14:paraId="3EBDC580" w14:textId="77777777" w:rsidR="00405694" w:rsidRPr="00AB1DC6" w:rsidRDefault="00405694" w:rsidP="00AB1DC6">
            <w:pPr>
              <w:jc w:val="both"/>
              <w:rPr>
                <w:rFonts w:ascii="Book Antiqua" w:hAnsi="Book Antiqua" w:cs="Arial"/>
                <w:b/>
              </w:rPr>
            </w:pPr>
          </w:p>
        </w:tc>
      </w:tr>
    </w:tbl>
    <w:p w14:paraId="10B660C3"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3FAAD010" w14:textId="77777777" w:rsidR="00933B65" w:rsidRDefault="00933B65" w:rsidP="00933B65">
      <w:pPr>
        <w:jc w:val="center"/>
        <w:rPr>
          <w:rFonts w:ascii="Book Antiqua" w:hAnsi="Book Antiqua" w:cs="Arial"/>
          <w:b/>
        </w:rPr>
      </w:pPr>
    </w:p>
    <w:p w14:paraId="16FCCAA2" w14:textId="77777777" w:rsidR="0058206A" w:rsidRDefault="0058206A" w:rsidP="00933B65">
      <w:pPr>
        <w:jc w:val="center"/>
        <w:rPr>
          <w:rFonts w:ascii="Book Antiqua" w:hAnsi="Book Antiqua" w:cs="Arial"/>
          <w:b/>
        </w:rPr>
      </w:pPr>
    </w:p>
    <w:p w14:paraId="7AF67400"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14:paraId="5BCD2B52" w14:textId="77777777" w:rsidR="00E468D9" w:rsidRDefault="00E468D9" w:rsidP="00933B65">
      <w:pPr>
        <w:jc w:val="center"/>
        <w:rPr>
          <w:rFonts w:ascii="Book Antiqua" w:hAnsi="Book Antiqua" w:cs="Arial"/>
          <w:b/>
        </w:rPr>
      </w:pPr>
    </w:p>
    <w:p w14:paraId="6903C46D" w14:textId="77777777" w:rsidR="00294F41" w:rsidRPr="00F97703" w:rsidRDefault="00294F41" w:rsidP="00933B65">
      <w:pPr>
        <w:jc w:val="center"/>
        <w:rPr>
          <w:rFonts w:ascii="Book Antiqua" w:hAnsi="Book Antiqua" w:cs="Arial"/>
          <w:b/>
        </w:rPr>
      </w:pPr>
    </w:p>
    <w:p w14:paraId="5093690E"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423227A9" w14:textId="77777777" w:rsidR="00933B65" w:rsidRDefault="00933B65" w:rsidP="00933B65">
      <w:pPr>
        <w:jc w:val="center"/>
        <w:rPr>
          <w:rFonts w:ascii="Book Antiqua" w:hAnsi="Book Antiqua" w:cs="Arial"/>
          <w:b/>
        </w:rPr>
      </w:pPr>
    </w:p>
    <w:p w14:paraId="1928559D" w14:textId="77777777" w:rsidR="00294F41" w:rsidRDefault="00294F41" w:rsidP="00933B65">
      <w:pPr>
        <w:jc w:val="center"/>
        <w:rPr>
          <w:rFonts w:ascii="Book Antiqua" w:hAnsi="Book Antiqua" w:cs="Arial"/>
          <w:b/>
        </w:rPr>
      </w:pPr>
    </w:p>
    <w:p w14:paraId="3B692BFF" w14:textId="77777777" w:rsidR="00933B65" w:rsidRDefault="000F0D6B" w:rsidP="00933B65">
      <w:pPr>
        <w:jc w:val="center"/>
        <w:rPr>
          <w:rFonts w:ascii="Book Antiqua" w:hAnsi="Book Antiqua" w:cs="Arial"/>
          <w:b/>
        </w:rPr>
      </w:pPr>
      <w:r>
        <w:rPr>
          <w:rFonts w:ascii="Book Antiqua" w:hAnsi="Book Antiqua" w:cs="Arial"/>
          <w:b/>
        </w:rPr>
        <w:t>CHIJIOKE CHUKA NDULUE</w:t>
      </w:r>
    </w:p>
    <w:p w14:paraId="4CC9A5CF" w14:textId="77777777" w:rsidR="00933B65" w:rsidRDefault="00933B65" w:rsidP="00933B65">
      <w:pPr>
        <w:jc w:val="right"/>
        <w:rPr>
          <w:rFonts w:ascii="Book Antiqua" w:hAnsi="Book Antiqua" w:cs="Arial"/>
          <w:u w:val="single"/>
        </w:rPr>
      </w:pPr>
      <w:r w:rsidRPr="00F97703">
        <w:rPr>
          <w:rFonts w:ascii="Book Antiqua" w:hAnsi="Book Antiqua" w:cs="Arial"/>
          <w:u w:val="single"/>
        </w:rPr>
        <w:t>Appellant</w:t>
      </w:r>
    </w:p>
    <w:p w14:paraId="6EEADDAC" w14:textId="77777777" w:rsidR="00294F41" w:rsidRPr="00F97703" w:rsidRDefault="00294F41" w:rsidP="00933B65">
      <w:pPr>
        <w:jc w:val="right"/>
        <w:rPr>
          <w:rFonts w:ascii="Book Antiqua" w:hAnsi="Book Antiqua" w:cs="Arial"/>
          <w:u w:val="single"/>
        </w:rPr>
      </w:pPr>
    </w:p>
    <w:p w14:paraId="434709C4"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174E8ED4" w14:textId="77777777" w:rsidR="00933B65" w:rsidRDefault="00933B65" w:rsidP="00933B65">
      <w:pPr>
        <w:jc w:val="center"/>
        <w:rPr>
          <w:rFonts w:ascii="Book Antiqua" w:hAnsi="Book Antiqua" w:cs="Arial"/>
          <w:b/>
        </w:rPr>
      </w:pPr>
    </w:p>
    <w:p w14:paraId="3BCA20B3" w14:textId="77777777" w:rsidR="00294F41" w:rsidRPr="00F97703" w:rsidRDefault="00294F41" w:rsidP="00933B65">
      <w:pPr>
        <w:jc w:val="center"/>
        <w:rPr>
          <w:rFonts w:ascii="Book Antiqua" w:hAnsi="Book Antiqua" w:cs="Arial"/>
          <w:b/>
        </w:rPr>
      </w:pPr>
    </w:p>
    <w:p w14:paraId="54554A05" w14:textId="77777777"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6705773C"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57BC1555" w14:textId="77777777" w:rsidR="00ED3CC4" w:rsidRDefault="00ED3CC4" w:rsidP="00933B65">
      <w:pPr>
        <w:rPr>
          <w:rFonts w:ascii="Book Antiqua" w:hAnsi="Book Antiqua" w:cs="Arial"/>
          <w:u w:val="single"/>
        </w:rPr>
      </w:pPr>
    </w:p>
    <w:p w14:paraId="658B443B" w14:textId="77777777" w:rsidR="0058206A" w:rsidRDefault="0058206A" w:rsidP="00933B65">
      <w:pPr>
        <w:rPr>
          <w:rFonts w:ascii="Book Antiqua" w:hAnsi="Book Antiqua" w:cs="Arial"/>
          <w:u w:val="single"/>
        </w:rPr>
      </w:pPr>
    </w:p>
    <w:p w14:paraId="2AC569EB" w14:textId="77777777" w:rsidR="00405694" w:rsidRDefault="00405694" w:rsidP="00933B65">
      <w:pPr>
        <w:rPr>
          <w:rFonts w:ascii="Book Antiqua" w:hAnsi="Book Antiqua" w:cs="Arial"/>
          <w:b/>
          <w:u w:val="single"/>
        </w:rPr>
      </w:pPr>
      <w:r w:rsidRPr="00405694">
        <w:rPr>
          <w:rFonts w:ascii="Book Antiqua" w:hAnsi="Book Antiqua" w:cs="Arial"/>
          <w:b/>
          <w:u w:val="single"/>
        </w:rPr>
        <w:t>Representation:</w:t>
      </w:r>
    </w:p>
    <w:p w14:paraId="727D3815" w14:textId="77777777" w:rsidR="00405694" w:rsidRDefault="00405694" w:rsidP="00933B65">
      <w:pPr>
        <w:rPr>
          <w:rFonts w:ascii="Book Antiqua" w:hAnsi="Book Antiqua" w:cs="Arial"/>
        </w:rPr>
      </w:pPr>
    </w:p>
    <w:p w14:paraId="48DD640E" w14:textId="77777777"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B34BF8">
        <w:rPr>
          <w:rFonts w:ascii="Book Antiqua" w:hAnsi="Book Antiqua" w:cs="Arial"/>
        </w:rPr>
        <w:t>Miss K. McCarthy, instructed by M &amp; K Solicitors</w:t>
      </w:r>
    </w:p>
    <w:p w14:paraId="7054529C" w14:textId="77777777"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B34BF8">
        <w:rPr>
          <w:rFonts w:ascii="Book Antiqua" w:hAnsi="Book Antiqua" w:cs="Arial"/>
        </w:rPr>
        <w:t xml:space="preserve">Mr P. Duffy, Senior Home Office Presenting Officer </w:t>
      </w:r>
    </w:p>
    <w:p w14:paraId="6DF22F98" w14:textId="77777777" w:rsidR="00405694" w:rsidRDefault="00405694" w:rsidP="00933B65">
      <w:pPr>
        <w:rPr>
          <w:rFonts w:ascii="Book Antiqua" w:hAnsi="Book Antiqua" w:cs="Arial"/>
        </w:rPr>
      </w:pPr>
    </w:p>
    <w:p w14:paraId="7F18BD0C" w14:textId="77777777" w:rsidR="00405694" w:rsidRPr="00405694" w:rsidRDefault="00405694" w:rsidP="00933B65">
      <w:pPr>
        <w:rPr>
          <w:rFonts w:ascii="Book Antiqua" w:hAnsi="Book Antiqua" w:cs="Arial"/>
        </w:rPr>
      </w:pPr>
    </w:p>
    <w:p w14:paraId="731965AD" w14:textId="77777777"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305E827A" w14:textId="77777777" w:rsidR="00056E7C" w:rsidRDefault="00056E7C" w:rsidP="00933B65">
      <w:pPr>
        <w:tabs>
          <w:tab w:val="left" w:pos="567"/>
        </w:tabs>
        <w:jc w:val="both"/>
        <w:rPr>
          <w:rFonts w:ascii="Book Antiqua" w:hAnsi="Book Antiqua" w:cs="Arial"/>
        </w:rPr>
      </w:pPr>
    </w:p>
    <w:p w14:paraId="34C05A10" w14:textId="77777777" w:rsidR="00405694" w:rsidRDefault="00B34BF8" w:rsidP="003F45CD">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r>
      <w:r w:rsidR="00035309">
        <w:rPr>
          <w:rFonts w:ascii="Book Antiqua" w:hAnsi="Book Antiqua" w:cs="Arial"/>
        </w:rPr>
        <w:tab/>
      </w:r>
      <w:r w:rsidR="00B607EE">
        <w:rPr>
          <w:rFonts w:ascii="Book Antiqua" w:hAnsi="Book Antiqua" w:cs="Arial"/>
        </w:rPr>
        <w:t xml:space="preserve">The appellant entered the UK in his current identity on 12 </w:t>
      </w:r>
      <w:r w:rsidR="000351ED">
        <w:rPr>
          <w:rFonts w:ascii="Book Antiqua" w:hAnsi="Book Antiqua" w:cs="Arial"/>
        </w:rPr>
        <w:t xml:space="preserve">March 2005 with entry clearance as a visitor. </w:t>
      </w:r>
      <w:r w:rsidR="00501A7C">
        <w:rPr>
          <w:rFonts w:ascii="Book Antiqua" w:hAnsi="Book Antiqua" w:cs="Arial"/>
        </w:rPr>
        <w:t xml:space="preserve">The appellant made an application for entry clearance as a student. He admits that this was a false application made from abroad when, in fact, he was still in the UK. </w:t>
      </w:r>
      <w:r w:rsidR="000351ED">
        <w:rPr>
          <w:rFonts w:ascii="Book Antiqua" w:hAnsi="Book Antiqua" w:cs="Arial"/>
        </w:rPr>
        <w:t xml:space="preserve">On 25 July 2005 he was granted </w:t>
      </w:r>
      <w:r w:rsidR="00501A7C">
        <w:rPr>
          <w:rFonts w:ascii="Book Antiqua" w:hAnsi="Book Antiqua" w:cs="Arial"/>
        </w:rPr>
        <w:t>entry clearance as a student,</w:t>
      </w:r>
      <w:r w:rsidR="000351ED">
        <w:rPr>
          <w:rFonts w:ascii="Book Antiqua" w:hAnsi="Book Antiqua" w:cs="Arial"/>
        </w:rPr>
        <w:t xml:space="preserve"> </w:t>
      </w:r>
      <w:r w:rsidR="000351ED">
        <w:rPr>
          <w:rFonts w:ascii="Book Antiqua" w:hAnsi="Book Antiqua" w:cs="Arial"/>
        </w:rPr>
        <w:lastRenderedPageBreak/>
        <w:t xml:space="preserve">which was valid until 31 October 2008. </w:t>
      </w:r>
      <w:r w:rsidR="00501A7C">
        <w:rPr>
          <w:rFonts w:ascii="Book Antiqua" w:hAnsi="Book Antiqua" w:cs="Arial"/>
        </w:rPr>
        <w:t xml:space="preserve">However, the appellant had to return to Nigeria to collect his passport with the entry clearance endorsement. </w:t>
      </w:r>
      <w:r w:rsidR="009108D0">
        <w:rPr>
          <w:rFonts w:ascii="Book Antiqua" w:hAnsi="Book Antiqua" w:cs="Arial"/>
        </w:rPr>
        <w:t>To</w:t>
      </w:r>
      <w:r w:rsidR="00501A7C">
        <w:rPr>
          <w:rFonts w:ascii="Book Antiqua" w:hAnsi="Book Antiqua" w:cs="Arial"/>
        </w:rPr>
        <w:t xml:space="preserve"> do so he obtained a false passport in the UK. On 18 September 2005 he was stopped when boarding a plane </w:t>
      </w:r>
      <w:r w:rsidR="009108D0">
        <w:rPr>
          <w:rFonts w:ascii="Book Antiqua" w:hAnsi="Book Antiqua" w:cs="Arial"/>
        </w:rPr>
        <w:t xml:space="preserve">to Nigeria </w:t>
      </w:r>
      <w:r w:rsidR="00501A7C">
        <w:rPr>
          <w:rFonts w:ascii="Book Antiqua" w:hAnsi="Book Antiqua" w:cs="Arial"/>
        </w:rPr>
        <w:t xml:space="preserve">and </w:t>
      </w:r>
      <w:r w:rsidR="009108D0">
        <w:rPr>
          <w:rFonts w:ascii="Book Antiqua" w:hAnsi="Book Antiqua" w:cs="Arial"/>
        </w:rPr>
        <w:t xml:space="preserve">was </w:t>
      </w:r>
      <w:r w:rsidR="00501A7C">
        <w:rPr>
          <w:rFonts w:ascii="Book Antiqua" w:hAnsi="Book Antiqua" w:cs="Arial"/>
        </w:rPr>
        <w:t xml:space="preserve">arrested for using a false passport. He admits to having lied in interview, claiming that </w:t>
      </w:r>
      <w:r w:rsidR="003F45CD">
        <w:rPr>
          <w:rFonts w:ascii="Book Antiqua" w:hAnsi="Book Antiqua" w:cs="Arial"/>
        </w:rPr>
        <w:t xml:space="preserve">he had entered the UK in July 2005 on a passport in the name of Vincent </w:t>
      </w:r>
      <w:proofErr w:type="spellStart"/>
      <w:r w:rsidR="003F45CD">
        <w:rPr>
          <w:rFonts w:ascii="Book Antiqua" w:hAnsi="Book Antiqua" w:cs="Arial"/>
        </w:rPr>
        <w:t>Okaneme</w:t>
      </w:r>
      <w:proofErr w:type="spellEnd"/>
      <w:r w:rsidR="003F45CD">
        <w:rPr>
          <w:rFonts w:ascii="Book Antiqua" w:hAnsi="Book Antiqua" w:cs="Arial"/>
        </w:rPr>
        <w:t xml:space="preserve">. </w:t>
      </w:r>
      <w:r w:rsidR="00035309">
        <w:rPr>
          <w:rFonts w:ascii="Book Antiqua" w:hAnsi="Book Antiqua" w:cs="Arial"/>
        </w:rPr>
        <w:t>On 21 October 2005 he was sentenced to 18 months’ imprisonment. On 14 April 2006 h</w:t>
      </w:r>
      <w:r w:rsidR="003F45CD">
        <w:rPr>
          <w:rFonts w:ascii="Book Antiqua" w:hAnsi="Book Antiqua" w:cs="Arial"/>
        </w:rPr>
        <w:t xml:space="preserve">e was deported in the identity of Emeka Chinedu. When the appellant arrived in Nigeria he collected his passport in what he claims is his real identity, </w:t>
      </w:r>
      <w:proofErr w:type="spellStart"/>
      <w:r w:rsidR="003F45CD">
        <w:rPr>
          <w:rFonts w:ascii="Book Antiqua" w:hAnsi="Book Antiqua" w:cs="Arial"/>
        </w:rPr>
        <w:t>Chijioke</w:t>
      </w:r>
      <w:proofErr w:type="spellEnd"/>
      <w:r w:rsidR="003F45CD">
        <w:rPr>
          <w:rFonts w:ascii="Book Antiqua" w:hAnsi="Book Antiqua" w:cs="Arial"/>
        </w:rPr>
        <w:t xml:space="preserve"> Chuka </w:t>
      </w:r>
      <w:proofErr w:type="spellStart"/>
      <w:r w:rsidR="003F45CD">
        <w:rPr>
          <w:rFonts w:ascii="Book Antiqua" w:hAnsi="Book Antiqua" w:cs="Arial"/>
        </w:rPr>
        <w:t>Ndulue</w:t>
      </w:r>
      <w:proofErr w:type="spellEnd"/>
      <w:r w:rsidR="003F45CD">
        <w:rPr>
          <w:rFonts w:ascii="Book Antiqua" w:hAnsi="Book Antiqua" w:cs="Arial"/>
        </w:rPr>
        <w:t>. He says that he re-entered the UK in breach of the deportation order only three weeks after his removal.</w:t>
      </w:r>
      <w:r w:rsidR="00E31CE3">
        <w:rPr>
          <w:rFonts w:ascii="Book Antiqua" w:hAnsi="Book Antiqua" w:cs="Arial"/>
        </w:rPr>
        <w:t xml:space="preserve"> It is unclear on what bas</w:t>
      </w:r>
      <w:r w:rsidR="00F52E9E">
        <w:rPr>
          <w:rFonts w:ascii="Book Antiqua" w:hAnsi="Book Antiqua" w:cs="Arial"/>
        </w:rPr>
        <w:t xml:space="preserve">is the appellant entered the UK, but I note that the entry clearance as a student that the appellant obtained on a false premise, was likely to still be valid. </w:t>
      </w:r>
      <w:r w:rsidR="00E31CE3">
        <w:rPr>
          <w:rFonts w:ascii="Book Antiqua" w:hAnsi="Book Antiqua" w:cs="Arial"/>
        </w:rPr>
        <w:t xml:space="preserve"> </w:t>
      </w:r>
    </w:p>
    <w:p w14:paraId="524BE630" w14:textId="77777777" w:rsidR="00405694" w:rsidRDefault="00405694" w:rsidP="00933B65">
      <w:pPr>
        <w:tabs>
          <w:tab w:val="left" w:pos="567"/>
        </w:tabs>
        <w:jc w:val="both"/>
        <w:rPr>
          <w:rFonts w:ascii="Book Antiqua" w:hAnsi="Book Antiqua" w:cs="Arial"/>
        </w:rPr>
      </w:pPr>
    </w:p>
    <w:p w14:paraId="44CA9920" w14:textId="77777777" w:rsidR="003F45CD" w:rsidRDefault="00F52E9E" w:rsidP="00A21A37">
      <w:pPr>
        <w:tabs>
          <w:tab w:val="left" w:pos="567"/>
        </w:tabs>
        <w:ind w:left="564" w:hanging="564"/>
        <w:jc w:val="both"/>
        <w:rPr>
          <w:rFonts w:ascii="Book Antiqua" w:hAnsi="Book Antiqua" w:cs="Arial"/>
        </w:rPr>
      </w:pPr>
      <w:r>
        <w:rPr>
          <w:rFonts w:ascii="Book Antiqua" w:hAnsi="Book Antiqua" w:cs="Arial"/>
        </w:rPr>
        <w:t>2</w:t>
      </w:r>
      <w:r w:rsidR="00035309">
        <w:rPr>
          <w:rFonts w:ascii="Book Antiqua" w:hAnsi="Book Antiqua" w:cs="Arial"/>
        </w:rPr>
        <w:t>.</w:t>
      </w:r>
      <w:r w:rsidR="00035309">
        <w:rPr>
          <w:rFonts w:ascii="Book Antiqua" w:hAnsi="Book Antiqua" w:cs="Arial"/>
        </w:rPr>
        <w:tab/>
        <w:t xml:space="preserve">On 10 January 2011 the appellant was issued a residence card as the family member (spouse) of an EEA national. </w:t>
      </w:r>
      <w:r w:rsidR="009108D0">
        <w:rPr>
          <w:rFonts w:ascii="Book Antiqua" w:hAnsi="Book Antiqua" w:cs="Arial"/>
        </w:rPr>
        <w:t xml:space="preserve">The appellant claimed to be in a genuine marriage with a Portuguese citizen. </w:t>
      </w:r>
      <w:r w:rsidR="00035309">
        <w:rPr>
          <w:rFonts w:ascii="Book Antiqua" w:hAnsi="Book Antiqua" w:cs="Arial"/>
        </w:rPr>
        <w:t>The residence card was issued in his current identit</w:t>
      </w:r>
      <w:r w:rsidR="003F45CD">
        <w:rPr>
          <w:rFonts w:ascii="Book Antiqua" w:hAnsi="Book Antiqua" w:cs="Arial"/>
        </w:rPr>
        <w:t>y of</w:t>
      </w:r>
      <w:r w:rsidR="00A21A37">
        <w:rPr>
          <w:rFonts w:ascii="Book Antiqua" w:hAnsi="Book Antiqua" w:cs="Arial"/>
        </w:rPr>
        <w:t xml:space="preserve"> </w:t>
      </w:r>
      <w:proofErr w:type="spellStart"/>
      <w:r w:rsidR="00A21A37">
        <w:rPr>
          <w:rFonts w:ascii="Book Antiqua" w:hAnsi="Book Antiqua" w:cs="Arial"/>
        </w:rPr>
        <w:t>Chijioke</w:t>
      </w:r>
      <w:proofErr w:type="spellEnd"/>
      <w:r w:rsidR="00A21A37">
        <w:rPr>
          <w:rFonts w:ascii="Book Antiqua" w:hAnsi="Book Antiqua" w:cs="Arial"/>
        </w:rPr>
        <w:t xml:space="preserve"> Chuka </w:t>
      </w:r>
      <w:proofErr w:type="spellStart"/>
      <w:r w:rsidR="00A21A37">
        <w:rPr>
          <w:rFonts w:ascii="Book Antiqua" w:hAnsi="Book Antiqua" w:cs="Arial"/>
        </w:rPr>
        <w:t>Ndulue</w:t>
      </w:r>
      <w:proofErr w:type="spellEnd"/>
      <w:r w:rsidR="00A21A37">
        <w:rPr>
          <w:rFonts w:ascii="Book Antiqua" w:hAnsi="Book Antiqua" w:cs="Arial"/>
        </w:rPr>
        <w:t>. It is unclear why the appellant’s previous identity</w:t>
      </w:r>
      <w:r>
        <w:rPr>
          <w:rFonts w:ascii="Book Antiqua" w:hAnsi="Book Antiqua" w:cs="Arial"/>
        </w:rPr>
        <w:t>,</w:t>
      </w:r>
      <w:r w:rsidR="00A21A37">
        <w:rPr>
          <w:rFonts w:ascii="Book Antiqua" w:hAnsi="Book Antiqua" w:cs="Arial"/>
        </w:rPr>
        <w:t xml:space="preserve"> and the fact that he had returned to the UK in breach of a deportation order</w:t>
      </w:r>
      <w:r>
        <w:rPr>
          <w:rFonts w:ascii="Book Antiqua" w:hAnsi="Book Antiqua" w:cs="Arial"/>
        </w:rPr>
        <w:t>,</w:t>
      </w:r>
      <w:r w:rsidR="00A21A37">
        <w:rPr>
          <w:rFonts w:ascii="Book Antiqua" w:hAnsi="Book Antiqua" w:cs="Arial"/>
        </w:rPr>
        <w:t xml:space="preserve"> was not discovered at that stage.</w:t>
      </w:r>
      <w:r w:rsidR="003F45CD">
        <w:rPr>
          <w:rFonts w:ascii="Book Antiqua" w:hAnsi="Book Antiqua" w:cs="Arial"/>
        </w:rPr>
        <w:t xml:space="preserve"> It seems clear that the appellant </w:t>
      </w:r>
      <w:r w:rsidR="009108D0">
        <w:rPr>
          <w:rFonts w:ascii="Book Antiqua" w:hAnsi="Book Antiqua" w:cs="Arial"/>
        </w:rPr>
        <w:t xml:space="preserve">must have deliberately concealed his </w:t>
      </w:r>
      <w:r w:rsidR="003F45CD">
        <w:rPr>
          <w:rFonts w:ascii="Book Antiqua" w:hAnsi="Book Antiqua" w:cs="Arial"/>
        </w:rPr>
        <w:t xml:space="preserve">past immigration history when he made the application for a residence card. </w:t>
      </w:r>
      <w:r w:rsidR="00E31CE3">
        <w:rPr>
          <w:rFonts w:ascii="Book Antiqua" w:hAnsi="Book Antiqua" w:cs="Arial"/>
        </w:rPr>
        <w:t xml:space="preserve">The marriage was dissolved by decree absolute on 27 May 2015. </w:t>
      </w:r>
    </w:p>
    <w:p w14:paraId="2B614ABA" w14:textId="77777777" w:rsidR="00E31CE3" w:rsidRDefault="00E31CE3" w:rsidP="00E31CE3">
      <w:pPr>
        <w:tabs>
          <w:tab w:val="left" w:pos="567"/>
        </w:tabs>
        <w:jc w:val="both"/>
        <w:rPr>
          <w:rFonts w:ascii="Book Antiqua" w:hAnsi="Book Antiqua" w:cs="Arial"/>
        </w:rPr>
      </w:pPr>
    </w:p>
    <w:p w14:paraId="4E7C7CD7" w14:textId="77777777" w:rsidR="00E31CE3" w:rsidRDefault="00F52E9E" w:rsidP="00E31CE3">
      <w:pPr>
        <w:tabs>
          <w:tab w:val="left" w:pos="567"/>
        </w:tabs>
        <w:ind w:left="564" w:hanging="564"/>
        <w:jc w:val="both"/>
        <w:rPr>
          <w:rFonts w:ascii="Book Antiqua" w:hAnsi="Book Antiqua" w:cs="Arial"/>
        </w:rPr>
      </w:pPr>
      <w:r>
        <w:rPr>
          <w:rFonts w:ascii="Book Antiqua" w:hAnsi="Book Antiqua" w:cs="Arial"/>
        </w:rPr>
        <w:t>3</w:t>
      </w:r>
      <w:r w:rsidR="00E31CE3">
        <w:rPr>
          <w:rFonts w:ascii="Book Antiqua" w:hAnsi="Book Antiqua" w:cs="Arial"/>
        </w:rPr>
        <w:t>.</w:t>
      </w:r>
      <w:r w:rsidR="00E31CE3">
        <w:rPr>
          <w:rFonts w:ascii="Book Antiqua" w:hAnsi="Book Antiqua" w:cs="Arial"/>
        </w:rPr>
        <w:tab/>
        <w:t xml:space="preserve">The appellant made an application for a permanent residence card on 17 December </w:t>
      </w:r>
      <w:r w:rsidR="00C27E41">
        <w:rPr>
          <w:rFonts w:ascii="Book Antiqua" w:hAnsi="Book Antiqua" w:cs="Arial"/>
        </w:rPr>
        <w:t xml:space="preserve">2015. At this point the respondent matched the appellant’s biometric details to his earlier identity of Emeka Chinedu. </w:t>
      </w:r>
      <w:r w:rsidR="008550D5">
        <w:rPr>
          <w:rFonts w:ascii="Book Antiqua" w:hAnsi="Book Antiqua" w:cs="Arial"/>
        </w:rPr>
        <w:t>In view of his immigration history, t</w:t>
      </w:r>
      <w:r w:rsidR="00C27E41">
        <w:rPr>
          <w:rFonts w:ascii="Book Antiqua" w:hAnsi="Book Antiqua" w:cs="Arial"/>
        </w:rPr>
        <w:t xml:space="preserve">he respondent decided to interview the appellant. </w:t>
      </w:r>
      <w:r>
        <w:rPr>
          <w:rFonts w:ascii="Book Antiqua" w:hAnsi="Book Antiqua" w:cs="Arial"/>
        </w:rPr>
        <w:t>The application was refused</w:t>
      </w:r>
      <w:r w:rsidR="00C27E41">
        <w:rPr>
          <w:rFonts w:ascii="Book Antiqua" w:hAnsi="Book Antiqua" w:cs="Arial"/>
        </w:rPr>
        <w:t xml:space="preserve"> in a decision dated 11 October 2016. The respondent was not satisfied that the appellant </w:t>
      </w:r>
      <w:r>
        <w:rPr>
          <w:rFonts w:ascii="Book Antiqua" w:hAnsi="Book Antiqua" w:cs="Arial"/>
        </w:rPr>
        <w:t>gave</w:t>
      </w:r>
      <w:r w:rsidR="00C27E41">
        <w:rPr>
          <w:rFonts w:ascii="Book Antiqua" w:hAnsi="Book Antiqua" w:cs="Arial"/>
        </w:rPr>
        <w:t xml:space="preserve"> a credible account of his relationship with an EEA national and concluded that the marriage </w:t>
      </w:r>
      <w:r>
        <w:rPr>
          <w:rFonts w:ascii="Book Antiqua" w:hAnsi="Book Antiqua" w:cs="Arial"/>
        </w:rPr>
        <w:t>was</w:t>
      </w:r>
      <w:r w:rsidR="00C27E41">
        <w:rPr>
          <w:rFonts w:ascii="Book Antiqua" w:hAnsi="Book Antiqua" w:cs="Arial"/>
        </w:rPr>
        <w:t xml:space="preserve"> one of convenience. The decision letter went on to </w:t>
      </w:r>
      <w:r w:rsidR="00266679">
        <w:rPr>
          <w:rFonts w:ascii="Book Antiqua" w:hAnsi="Book Antiqua" w:cs="Arial"/>
        </w:rPr>
        <w:t>state:</w:t>
      </w:r>
    </w:p>
    <w:p w14:paraId="18CE1196" w14:textId="77777777" w:rsidR="00266679" w:rsidRDefault="00266679" w:rsidP="00E31CE3">
      <w:pPr>
        <w:tabs>
          <w:tab w:val="left" w:pos="567"/>
        </w:tabs>
        <w:ind w:left="564" w:hanging="564"/>
        <w:jc w:val="both"/>
        <w:rPr>
          <w:rFonts w:ascii="Book Antiqua" w:hAnsi="Book Antiqua" w:cs="Arial"/>
        </w:rPr>
      </w:pPr>
    </w:p>
    <w:p w14:paraId="348553ED" w14:textId="77777777" w:rsidR="00266679" w:rsidRPr="00266679" w:rsidRDefault="00266679" w:rsidP="00266679">
      <w:pPr>
        <w:tabs>
          <w:tab w:val="left" w:pos="567"/>
        </w:tabs>
        <w:ind w:left="1440" w:hanging="564"/>
        <w:jc w:val="both"/>
        <w:rPr>
          <w:rFonts w:ascii="Book Antiqua" w:hAnsi="Book Antiqua" w:cs="Arial"/>
          <w:sz w:val="20"/>
          <w:szCs w:val="20"/>
        </w:rPr>
      </w:pPr>
      <w:r>
        <w:rPr>
          <w:rFonts w:ascii="Book Antiqua" w:hAnsi="Book Antiqua" w:cs="Arial"/>
        </w:rPr>
        <w:tab/>
      </w:r>
      <w:r w:rsidRPr="00266679">
        <w:rPr>
          <w:rFonts w:ascii="Book Antiqua" w:hAnsi="Book Antiqua" w:cs="Arial"/>
          <w:sz w:val="20"/>
          <w:szCs w:val="20"/>
        </w:rPr>
        <w:t xml:space="preserve">“A person who would normally have an automatic right to reside under European </w:t>
      </w:r>
      <w:proofErr w:type="gramStart"/>
      <w:r w:rsidRPr="00266679">
        <w:rPr>
          <w:rFonts w:ascii="Book Antiqua" w:hAnsi="Book Antiqua" w:cs="Arial"/>
          <w:sz w:val="20"/>
          <w:szCs w:val="20"/>
        </w:rPr>
        <w:t>law, but</w:t>
      </w:r>
      <w:proofErr w:type="gramEnd"/>
      <w:r w:rsidRPr="00266679">
        <w:rPr>
          <w:rFonts w:ascii="Book Antiqua" w:hAnsi="Book Antiqua" w:cs="Arial"/>
          <w:sz w:val="20"/>
          <w:szCs w:val="20"/>
        </w:rPr>
        <w:t xml:space="preserve"> has proven themselves to be a present and serious threat to the society of the United Kingdom, may be refused a document confirming a right of residence under regulation 20 of the Immigration (EEA) Regulations 2006 (“the Regulations”). A refusal under this regulation requires the application of a ‘public policy test’ to determine whether or not a refusal would impinge upon the rights of the applicant under Directive EC/2004/38 (“the Free Movement Directive”). </w:t>
      </w:r>
    </w:p>
    <w:p w14:paraId="79F179EB" w14:textId="77777777" w:rsidR="00266679" w:rsidRPr="00266679" w:rsidRDefault="00266679" w:rsidP="00266679">
      <w:pPr>
        <w:tabs>
          <w:tab w:val="left" w:pos="567"/>
        </w:tabs>
        <w:ind w:left="1440" w:hanging="564"/>
        <w:jc w:val="both"/>
        <w:rPr>
          <w:rFonts w:ascii="Book Antiqua" w:hAnsi="Book Antiqua" w:cs="Arial"/>
          <w:sz w:val="20"/>
          <w:szCs w:val="20"/>
        </w:rPr>
      </w:pPr>
    </w:p>
    <w:p w14:paraId="3FDF2FDF" w14:textId="77777777" w:rsidR="00266679" w:rsidRDefault="00266679" w:rsidP="00266679">
      <w:pPr>
        <w:tabs>
          <w:tab w:val="left" w:pos="567"/>
        </w:tabs>
        <w:ind w:left="1440" w:hanging="564"/>
        <w:jc w:val="both"/>
        <w:rPr>
          <w:rFonts w:ascii="Book Antiqua" w:hAnsi="Book Antiqua" w:cs="Arial"/>
        </w:rPr>
      </w:pPr>
      <w:r w:rsidRPr="00266679">
        <w:rPr>
          <w:rFonts w:ascii="Book Antiqua" w:hAnsi="Book Antiqua" w:cs="Arial"/>
          <w:sz w:val="20"/>
          <w:szCs w:val="20"/>
        </w:rPr>
        <w:tab/>
        <w:t>However, in cases where it is considered that the applicant does not have an automatic right to reside under European law, any criminality would fall to be considered under domestic law, specifically paragraph 322(5) of the Immigration Rules.”</w:t>
      </w:r>
    </w:p>
    <w:p w14:paraId="703C4F75" w14:textId="77777777" w:rsidR="00266679" w:rsidRDefault="00266679" w:rsidP="00266679">
      <w:pPr>
        <w:tabs>
          <w:tab w:val="left" w:pos="567"/>
        </w:tabs>
        <w:jc w:val="both"/>
        <w:rPr>
          <w:rFonts w:ascii="Book Antiqua" w:hAnsi="Book Antiqua" w:cs="Arial"/>
        </w:rPr>
      </w:pPr>
    </w:p>
    <w:p w14:paraId="54C1265A" w14:textId="77777777" w:rsidR="006E5030" w:rsidRDefault="00F52E9E" w:rsidP="00266679">
      <w:pPr>
        <w:tabs>
          <w:tab w:val="left" w:pos="567"/>
        </w:tabs>
        <w:ind w:left="564" w:hanging="564"/>
        <w:jc w:val="both"/>
        <w:rPr>
          <w:rFonts w:ascii="Book Antiqua" w:hAnsi="Book Antiqua" w:cs="Arial"/>
        </w:rPr>
      </w:pPr>
      <w:r>
        <w:rPr>
          <w:rFonts w:ascii="Book Antiqua" w:hAnsi="Book Antiqua" w:cs="Arial"/>
        </w:rPr>
        <w:t>4</w:t>
      </w:r>
      <w:r w:rsidR="00266679">
        <w:rPr>
          <w:rFonts w:ascii="Book Antiqua" w:hAnsi="Book Antiqua" w:cs="Arial"/>
        </w:rPr>
        <w:t>.</w:t>
      </w:r>
      <w:r w:rsidR="00266679">
        <w:rPr>
          <w:rFonts w:ascii="Book Antiqua" w:hAnsi="Book Antiqua" w:cs="Arial"/>
        </w:rPr>
        <w:tab/>
        <w:t xml:space="preserve">The decision letter went on to state that, even if substantive consideration was to be given to the application, the respondent “noted” the discretion set out in regulation 17(4) of the EEA Regulations 2006. </w:t>
      </w:r>
      <w:r w:rsidR="00840D9B">
        <w:rPr>
          <w:rFonts w:ascii="Book Antiqua" w:hAnsi="Book Antiqua" w:cs="Arial"/>
        </w:rPr>
        <w:t xml:space="preserve">At the hearing before the </w:t>
      </w:r>
      <w:r w:rsidR="00266679">
        <w:rPr>
          <w:rFonts w:ascii="Book Antiqua" w:hAnsi="Book Antiqua" w:cs="Arial"/>
        </w:rPr>
        <w:t xml:space="preserve">First-tier Tribunal accepted </w:t>
      </w:r>
      <w:r w:rsidR="00840D9B">
        <w:rPr>
          <w:rFonts w:ascii="Book Antiqua" w:hAnsi="Book Antiqua" w:cs="Arial"/>
        </w:rPr>
        <w:t xml:space="preserve">the Home Office Presenting Officer accepted </w:t>
      </w:r>
      <w:r w:rsidR="00266679">
        <w:rPr>
          <w:rFonts w:ascii="Book Antiqua" w:hAnsi="Book Antiqua" w:cs="Arial"/>
        </w:rPr>
        <w:t xml:space="preserve">that it was incorrect to decide the application with reference to the general grounds for refusal contained in the immigration rules. I also note that regulation 17 would not apply to this case, because </w:t>
      </w:r>
      <w:r w:rsidR="00266679">
        <w:rPr>
          <w:rFonts w:ascii="Book Antiqua" w:hAnsi="Book Antiqua" w:cs="Arial"/>
        </w:rPr>
        <w:lastRenderedPageBreak/>
        <w:t xml:space="preserve">it did not involve an application made by a person claiming to be an ‘extended family member’. </w:t>
      </w:r>
    </w:p>
    <w:p w14:paraId="10E92570" w14:textId="77777777" w:rsidR="006E5030" w:rsidRDefault="006E5030" w:rsidP="00266679">
      <w:pPr>
        <w:tabs>
          <w:tab w:val="left" w:pos="567"/>
        </w:tabs>
        <w:ind w:left="564" w:hanging="564"/>
        <w:jc w:val="both"/>
        <w:rPr>
          <w:rFonts w:ascii="Book Antiqua" w:hAnsi="Book Antiqua" w:cs="Arial"/>
        </w:rPr>
      </w:pPr>
    </w:p>
    <w:p w14:paraId="5B4DEBE3" w14:textId="77777777" w:rsidR="00266679" w:rsidRDefault="00F52E9E" w:rsidP="00266679">
      <w:pPr>
        <w:tabs>
          <w:tab w:val="left" w:pos="567"/>
        </w:tabs>
        <w:ind w:left="564" w:hanging="564"/>
        <w:jc w:val="both"/>
        <w:rPr>
          <w:rFonts w:ascii="Book Antiqua" w:hAnsi="Book Antiqua" w:cs="Arial"/>
        </w:rPr>
      </w:pPr>
      <w:r>
        <w:rPr>
          <w:rFonts w:ascii="Book Antiqua" w:hAnsi="Book Antiqua" w:cs="Arial"/>
        </w:rPr>
        <w:t>5</w:t>
      </w:r>
      <w:r w:rsidR="006E5030">
        <w:rPr>
          <w:rFonts w:ascii="Book Antiqua" w:hAnsi="Book Antiqua" w:cs="Arial"/>
        </w:rPr>
        <w:t>.</w:t>
      </w:r>
      <w:r w:rsidR="006E5030">
        <w:rPr>
          <w:rFonts w:ascii="Book Antiqua" w:hAnsi="Book Antiqua" w:cs="Arial"/>
        </w:rPr>
        <w:tab/>
        <w:t>Some question mark must be raised about the Home Office decision-maker’s understanding of the relevant legal framework. As I mentioned to Mr Duffy at the hearing, the respondent may want to reconsider decision letter with reference to the correct policy. It is a matter for the respondent whether</w:t>
      </w:r>
      <w:r w:rsidR="00840D9B">
        <w:rPr>
          <w:rFonts w:ascii="Book Antiqua" w:hAnsi="Book Antiqua" w:cs="Arial"/>
        </w:rPr>
        <w:t xml:space="preserve"> he wishes to review the matter</w:t>
      </w:r>
      <w:r w:rsidR="006E5030">
        <w:rPr>
          <w:rFonts w:ascii="Book Antiqua" w:hAnsi="Book Antiqua" w:cs="Arial"/>
        </w:rPr>
        <w:t xml:space="preserve"> and </w:t>
      </w:r>
      <w:r w:rsidR="00840D9B">
        <w:rPr>
          <w:rFonts w:ascii="Book Antiqua" w:hAnsi="Book Antiqua" w:cs="Arial"/>
        </w:rPr>
        <w:t xml:space="preserve">to decide </w:t>
      </w:r>
      <w:r w:rsidR="006E5030">
        <w:rPr>
          <w:rFonts w:ascii="Book Antiqua" w:hAnsi="Book Antiqua" w:cs="Arial"/>
        </w:rPr>
        <w:t>w</w:t>
      </w:r>
      <w:r w:rsidR="00840D9B">
        <w:rPr>
          <w:rFonts w:ascii="Book Antiqua" w:hAnsi="Book Antiqua" w:cs="Arial"/>
        </w:rPr>
        <w:t>hich policy is applicable. T</w:t>
      </w:r>
      <w:r w:rsidR="006E5030">
        <w:rPr>
          <w:rFonts w:ascii="Book Antiqua" w:hAnsi="Book Antiqua" w:cs="Arial"/>
        </w:rPr>
        <w:t>he most recent policy statement that appears to be relevant is the policy on “EEA decisions on grounds of public policy and public security” (Version 3.0 – 14 December 2017)</w:t>
      </w:r>
      <w:r w:rsidR="00840D9B">
        <w:rPr>
          <w:rFonts w:ascii="Book Antiqua" w:hAnsi="Book Antiqua" w:cs="Arial"/>
        </w:rPr>
        <w:t xml:space="preserve"> at pg.34</w:t>
      </w:r>
      <w:r w:rsidR="006E5030">
        <w:rPr>
          <w:rFonts w:ascii="Book Antiqua" w:hAnsi="Book Antiqua" w:cs="Arial"/>
        </w:rPr>
        <w:t xml:space="preserve">. It outlines the respondent’s approach when individuals have previously been deported under the Immigration Act 1971. Whether the respondent decides to review the decision letter is </w:t>
      </w:r>
      <w:r w:rsidR="00840D9B">
        <w:rPr>
          <w:rFonts w:ascii="Book Antiqua" w:hAnsi="Book Antiqua" w:cs="Arial"/>
        </w:rPr>
        <w:t xml:space="preserve">a matter for him, but he may want to ensure that the decision is taken on the correct basis. </w:t>
      </w:r>
      <w:r w:rsidR="006E5030">
        <w:rPr>
          <w:rFonts w:ascii="Book Antiqua" w:hAnsi="Book Antiqua" w:cs="Arial"/>
        </w:rPr>
        <w:t xml:space="preserve"> </w:t>
      </w:r>
    </w:p>
    <w:p w14:paraId="575F5821" w14:textId="77777777" w:rsidR="003F45CD" w:rsidRDefault="003F45CD" w:rsidP="00A21A37">
      <w:pPr>
        <w:tabs>
          <w:tab w:val="left" w:pos="567"/>
        </w:tabs>
        <w:ind w:left="564" w:hanging="564"/>
        <w:jc w:val="both"/>
        <w:rPr>
          <w:rFonts w:ascii="Book Antiqua" w:hAnsi="Book Antiqua" w:cs="Arial"/>
        </w:rPr>
      </w:pPr>
    </w:p>
    <w:p w14:paraId="7FC4BCB5" w14:textId="77777777" w:rsidR="00F52E9E" w:rsidRDefault="00F52E9E" w:rsidP="00F52E9E">
      <w:pPr>
        <w:tabs>
          <w:tab w:val="left" w:pos="567"/>
        </w:tabs>
        <w:ind w:left="564" w:hanging="564"/>
        <w:jc w:val="both"/>
        <w:rPr>
          <w:rFonts w:ascii="Book Antiqua" w:hAnsi="Book Antiqua" w:cs="Arial"/>
        </w:rPr>
      </w:pPr>
      <w:r>
        <w:rPr>
          <w:rFonts w:ascii="Book Antiqua" w:hAnsi="Book Antiqua" w:cs="Arial"/>
        </w:rPr>
        <w:t>6</w:t>
      </w:r>
      <w:r w:rsidR="006E5030">
        <w:rPr>
          <w:rFonts w:ascii="Book Antiqua" w:hAnsi="Book Antiqua" w:cs="Arial"/>
        </w:rPr>
        <w:t>.</w:t>
      </w:r>
      <w:r w:rsidR="006E5030">
        <w:rPr>
          <w:rFonts w:ascii="Book Antiqua" w:hAnsi="Book Antiqua" w:cs="Arial"/>
        </w:rPr>
        <w:tab/>
      </w:r>
      <w:r>
        <w:rPr>
          <w:rFonts w:ascii="Book Antiqua" w:hAnsi="Book Antiqua" w:cs="Arial"/>
        </w:rPr>
        <w:t>The appellant appealed the respondent’s decision dated 11 October 2016 to refuse to issue a permanent residence card as the family member of an EEA national who retained a right of residence following divorce. First-tier Tribunal Judge Page (“</w:t>
      </w:r>
      <w:r w:rsidR="00840D9B">
        <w:rPr>
          <w:rFonts w:ascii="Book Antiqua" w:hAnsi="Book Antiqua" w:cs="Arial"/>
        </w:rPr>
        <w:t>the j</w:t>
      </w:r>
      <w:r>
        <w:rPr>
          <w:rFonts w:ascii="Book Antiqua" w:hAnsi="Book Antiqua" w:cs="Arial"/>
        </w:rPr>
        <w:t xml:space="preserve">udge”) dismissed the appeal in a decision promulgated on 31 October 2017. </w:t>
      </w:r>
      <w:r w:rsidR="004B3B87">
        <w:rPr>
          <w:rFonts w:ascii="Book Antiqua" w:hAnsi="Book Antiqua" w:cs="Arial"/>
        </w:rPr>
        <w:t>He made the following findings:</w:t>
      </w:r>
    </w:p>
    <w:p w14:paraId="398859F9" w14:textId="77777777" w:rsidR="004B3B87" w:rsidRDefault="004B3B87" w:rsidP="00F52E9E">
      <w:pPr>
        <w:tabs>
          <w:tab w:val="left" w:pos="567"/>
        </w:tabs>
        <w:ind w:left="564" w:hanging="564"/>
        <w:jc w:val="both"/>
        <w:rPr>
          <w:rFonts w:ascii="Book Antiqua" w:hAnsi="Book Antiqua" w:cs="Arial"/>
        </w:rPr>
      </w:pPr>
    </w:p>
    <w:p w14:paraId="3EF086CA" w14:textId="77777777" w:rsidR="004B3B87" w:rsidRPr="00844FE0" w:rsidRDefault="004B3B87" w:rsidP="004B3B87">
      <w:pPr>
        <w:tabs>
          <w:tab w:val="left" w:pos="567"/>
        </w:tabs>
        <w:ind w:left="1440" w:hanging="1440"/>
        <w:jc w:val="both"/>
        <w:rPr>
          <w:rFonts w:ascii="Book Antiqua" w:hAnsi="Book Antiqua" w:cs="Arial"/>
          <w:sz w:val="20"/>
          <w:szCs w:val="20"/>
        </w:rPr>
      </w:pPr>
      <w:r>
        <w:rPr>
          <w:rFonts w:ascii="Book Antiqua" w:hAnsi="Book Antiqua" w:cs="Arial"/>
        </w:rPr>
        <w:tab/>
      </w:r>
      <w:r w:rsidRPr="00844FE0">
        <w:rPr>
          <w:rFonts w:ascii="Book Antiqua" w:hAnsi="Book Antiqua" w:cs="Arial"/>
          <w:sz w:val="20"/>
          <w:szCs w:val="20"/>
        </w:rPr>
        <w:t>“19.</w:t>
      </w:r>
      <w:r w:rsidRPr="00844FE0">
        <w:rPr>
          <w:rFonts w:ascii="Book Antiqua" w:hAnsi="Book Antiqua" w:cs="Arial"/>
          <w:sz w:val="20"/>
          <w:szCs w:val="20"/>
        </w:rPr>
        <w:tab/>
        <w:t>The appellant is not an EEA national. He could not be an EEA national and a “qualified person” under Regulation 6 if he was. To be so he would have to be here in accordance with the EEA Regulations 2006 and that would be impossible in his circumstances because of the extant deportation order. It begs the question as to how he could sensibly, be so described, in circumstances where he had obtained a residence card upon marriage by deception, the deception being the nondisclosure that he was subject to a deportation order. In his circumstances he could not be in the United Kingdom in accordance with the EEA Regulations 2006. As a deported person he should not have been in the United Kingdom when he married, or now.</w:t>
      </w:r>
    </w:p>
    <w:p w14:paraId="2C6FCB5A" w14:textId="77777777" w:rsidR="004B3B87" w:rsidRPr="00844FE0" w:rsidRDefault="004B3B87" w:rsidP="004B3B87">
      <w:pPr>
        <w:tabs>
          <w:tab w:val="left" w:pos="567"/>
        </w:tabs>
        <w:ind w:left="1440" w:hanging="1440"/>
        <w:jc w:val="both"/>
        <w:rPr>
          <w:rFonts w:ascii="Book Antiqua" w:hAnsi="Book Antiqua" w:cs="Arial"/>
          <w:sz w:val="20"/>
          <w:szCs w:val="20"/>
        </w:rPr>
      </w:pPr>
    </w:p>
    <w:p w14:paraId="57D8F89C" w14:textId="77777777" w:rsidR="004B3B87" w:rsidRPr="00844FE0" w:rsidRDefault="004B3B87" w:rsidP="004B3B87">
      <w:pPr>
        <w:tabs>
          <w:tab w:val="left" w:pos="567"/>
        </w:tabs>
        <w:ind w:left="1440" w:hanging="1440"/>
        <w:jc w:val="both"/>
        <w:rPr>
          <w:rFonts w:ascii="Book Antiqua" w:hAnsi="Book Antiqua" w:cs="Arial"/>
          <w:sz w:val="20"/>
          <w:szCs w:val="20"/>
        </w:rPr>
      </w:pPr>
      <w:r w:rsidRPr="00844FE0">
        <w:rPr>
          <w:rFonts w:ascii="Book Antiqua" w:hAnsi="Book Antiqua" w:cs="Arial"/>
          <w:sz w:val="20"/>
          <w:szCs w:val="20"/>
        </w:rPr>
        <w:tab/>
        <w:t>20.</w:t>
      </w:r>
      <w:r w:rsidRPr="00844FE0">
        <w:rPr>
          <w:rFonts w:ascii="Book Antiqua" w:hAnsi="Book Antiqua" w:cs="Arial"/>
          <w:sz w:val="20"/>
          <w:szCs w:val="20"/>
        </w:rPr>
        <w:tab/>
        <w:t>The burden of proof has been upon the appellant in this appeal on the issue of entitlement to a permanent residence ca</w:t>
      </w:r>
      <w:r w:rsidR="00607D9C">
        <w:rPr>
          <w:rFonts w:ascii="Book Antiqua" w:hAnsi="Book Antiqua" w:cs="Arial"/>
          <w:sz w:val="20"/>
          <w:szCs w:val="20"/>
        </w:rPr>
        <w:t>r</w:t>
      </w:r>
      <w:r w:rsidRPr="00844FE0">
        <w:rPr>
          <w:rFonts w:ascii="Book Antiqua" w:hAnsi="Book Antiqua" w:cs="Arial"/>
          <w:sz w:val="20"/>
          <w:szCs w:val="20"/>
        </w:rPr>
        <w:t xml:space="preserve">d. If the judgment of the European Court in </w:t>
      </w:r>
      <w:proofErr w:type="spellStart"/>
      <w:r w:rsidR="0020060F">
        <w:rPr>
          <w:rFonts w:ascii="Book Antiqua" w:hAnsi="Book Antiqua" w:cs="Arial"/>
          <w:b/>
          <w:sz w:val="20"/>
          <w:szCs w:val="20"/>
          <w:u w:val="single"/>
        </w:rPr>
        <w:t>Met</w:t>
      </w:r>
      <w:r w:rsidRPr="00844FE0">
        <w:rPr>
          <w:rFonts w:ascii="Book Antiqua" w:hAnsi="Book Antiqua" w:cs="Arial"/>
          <w:b/>
          <w:sz w:val="20"/>
          <w:szCs w:val="20"/>
          <w:u w:val="single"/>
        </w:rPr>
        <w:t>o</w:t>
      </w:r>
      <w:r w:rsidR="00844FE0" w:rsidRPr="00844FE0">
        <w:rPr>
          <w:rFonts w:ascii="Book Antiqua" w:hAnsi="Book Antiqua" w:cs="Arial"/>
          <w:b/>
          <w:sz w:val="20"/>
          <w:szCs w:val="20"/>
          <w:u w:val="single"/>
        </w:rPr>
        <w:t>c</w:t>
      </w:r>
      <w:r w:rsidRPr="00844FE0">
        <w:rPr>
          <w:rFonts w:ascii="Book Antiqua" w:hAnsi="Book Antiqua" w:cs="Arial"/>
          <w:b/>
          <w:sz w:val="20"/>
          <w:szCs w:val="20"/>
          <w:u w:val="single"/>
        </w:rPr>
        <w:t>k</w:t>
      </w:r>
      <w:proofErr w:type="spellEnd"/>
      <w:r w:rsidRPr="00844FE0">
        <w:rPr>
          <w:rFonts w:ascii="Book Antiqua" w:hAnsi="Book Antiqua" w:cs="Arial"/>
          <w:sz w:val="20"/>
          <w:szCs w:val="20"/>
        </w:rPr>
        <w:t xml:space="preserve"> had been a complete answer to the question as to how the appellant could be entitled to a residence card in these </w:t>
      </w:r>
      <w:r w:rsidR="00844FE0" w:rsidRPr="00844FE0">
        <w:rPr>
          <w:rFonts w:ascii="Book Antiqua" w:hAnsi="Book Antiqua" w:cs="Arial"/>
          <w:sz w:val="20"/>
          <w:szCs w:val="20"/>
        </w:rPr>
        <w:t>circumstances</w:t>
      </w:r>
      <w:r w:rsidRPr="00844FE0">
        <w:rPr>
          <w:rFonts w:ascii="Book Antiqua" w:hAnsi="Book Antiqua" w:cs="Arial"/>
          <w:sz w:val="20"/>
          <w:szCs w:val="20"/>
        </w:rPr>
        <w:t xml:space="preserve">, I would have expected to have seen that point made in the skeleton argument prepared by Ms </w:t>
      </w:r>
      <w:proofErr w:type="spellStart"/>
      <w:r w:rsidRPr="00844FE0">
        <w:rPr>
          <w:rFonts w:ascii="Book Antiqua" w:hAnsi="Book Antiqua" w:cs="Arial"/>
          <w:sz w:val="20"/>
          <w:szCs w:val="20"/>
        </w:rPr>
        <w:t>Akinbolu</w:t>
      </w:r>
      <w:proofErr w:type="spellEnd"/>
      <w:r w:rsidRPr="00844FE0">
        <w:rPr>
          <w:rFonts w:ascii="Book Antiqua" w:hAnsi="Book Antiqua" w:cs="Arial"/>
          <w:sz w:val="20"/>
          <w:szCs w:val="20"/>
        </w:rPr>
        <w:t>. In the absence of au</w:t>
      </w:r>
      <w:r w:rsidR="00844FE0" w:rsidRPr="00844FE0">
        <w:rPr>
          <w:rFonts w:ascii="Book Antiqua" w:hAnsi="Book Antiqua" w:cs="Arial"/>
          <w:sz w:val="20"/>
          <w:szCs w:val="20"/>
        </w:rPr>
        <w:t>thority from the Upper Tribunal</w:t>
      </w:r>
      <w:r w:rsidRPr="00844FE0">
        <w:rPr>
          <w:rFonts w:ascii="Book Antiqua" w:hAnsi="Book Antiqua" w:cs="Arial"/>
          <w:sz w:val="20"/>
          <w:szCs w:val="20"/>
        </w:rPr>
        <w:t xml:space="preserve"> </w:t>
      </w:r>
      <w:r w:rsidR="00844FE0" w:rsidRPr="00844FE0">
        <w:rPr>
          <w:rFonts w:ascii="Book Antiqua" w:hAnsi="Book Antiqua" w:cs="Arial"/>
          <w:sz w:val="20"/>
          <w:szCs w:val="20"/>
        </w:rPr>
        <w:t>t</w:t>
      </w:r>
      <w:r w:rsidRPr="00844FE0">
        <w:rPr>
          <w:rFonts w:ascii="Book Antiqua" w:hAnsi="Book Antiqua" w:cs="Arial"/>
          <w:sz w:val="20"/>
          <w:szCs w:val="20"/>
        </w:rPr>
        <w:t xml:space="preserve">hat the European Court judgment in </w:t>
      </w:r>
      <w:proofErr w:type="spellStart"/>
      <w:r w:rsidRPr="00844FE0">
        <w:rPr>
          <w:rFonts w:ascii="Book Antiqua" w:hAnsi="Book Antiqua" w:cs="Arial"/>
          <w:b/>
          <w:sz w:val="20"/>
          <w:szCs w:val="20"/>
          <w:u w:val="single"/>
        </w:rPr>
        <w:t>Metock</w:t>
      </w:r>
      <w:proofErr w:type="spellEnd"/>
      <w:r w:rsidRPr="00844FE0">
        <w:rPr>
          <w:rFonts w:ascii="Book Antiqua" w:hAnsi="Book Antiqua" w:cs="Arial"/>
          <w:sz w:val="20"/>
          <w:szCs w:val="20"/>
        </w:rPr>
        <w:t xml:space="preserve"> enables the appellant, the subject to a deportation order at the time of his marriage to an EEA national, I am not persuaded that it is arguable. </w:t>
      </w:r>
    </w:p>
    <w:p w14:paraId="39C66C5D" w14:textId="77777777" w:rsidR="004B3B87" w:rsidRPr="00844FE0" w:rsidRDefault="004B3B87" w:rsidP="004B3B87">
      <w:pPr>
        <w:tabs>
          <w:tab w:val="left" w:pos="567"/>
        </w:tabs>
        <w:ind w:left="1440" w:hanging="1440"/>
        <w:jc w:val="both"/>
        <w:rPr>
          <w:rFonts w:ascii="Book Antiqua" w:hAnsi="Book Antiqua" w:cs="Arial"/>
          <w:sz w:val="20"/>
          <w:szCs w:val="20"/>
        </w:rPr>
      </w:pPr>
    </w:p>
    <w:p w14:paraId="0C37F0A6" w14:textId="77777777" w:rsidR="004B3B87" w:rsidRPr="00844FE0" w:rsidRDefault="004B3B87" w:rsidP="004B3B87">
      <w:pPr>
        <w:tabs>
          <w:tab w:val="left" w:pos="567"/>
        </w:tabs>
        <w:ind w:left="1440" w:hanging="1440"/>
        <w:jc w:val="both"/>
        <w:rPr>
          <w:rFonts w:ascii="Book Antiqua" w:hAnsi="Book Antiqua" w:cs="Arial"/>
          <w:sz w:val="20"/>
          <w:szCs w:val="20"/>
        </w:rPr>
      </w:pPr>
      <w:r w:rsidRPr="00844FE0">
        <w:rPr>
          <w:rFonts w:ascii="Book Antiqua" w:hAnsi="Book Antiqua" w:cs="Arial"/>
          <w:sz w:val="20"/>
          <w:szCs w:val="20"/>
        </w:rPr>
        <w:tab/>
        <w:t>21.</w:t>
      </w:r>
      <w:r w:rsidRPr="00844FE0">
        <w:rPr>
          <w:rFonts w:ascii="Book Antiqua" w:hAnsi="Book Antiqua" w:cs="Arial"/>
          <w:sz w:val="20"/>
          <w:szCs w:val="20"/>
        </w:rPr>
        <w:tab/>
        <w:t>I need make no findings about whether the appellant’s marriage was a sham. They are now divorced. As I am not satisfied that the ap</w:t>
      </w:r>
      <w:r w:rsidR="00C7378E">
        <w:rPr>
          <w:rFonts w:ascii="Book Antiqua" w:hAnsi="Book Antiqua" w:cs="Arial"/>
          <w:sz w:val="20"/>
          <w:szCs w:val="20"/>
        </w:rPr>
        <w:t>pellant had any entit</w:t>
      </w:r>
      <w:r w:rsidRPr="00844FE0">
        <w:rPr>
          <w:rFonts w:ascii="Book Antiqua" w:hAnsi="Book Antiqua" w:cs="Arial"/>
          <w:sz w:val="20"/>
          <w:szCs w:val="20"/>
        </w:rPr>
        <w:t xml:space="preserve">lement at the time of divorce if the marriage was genuine, I need not wade through the voluminous evidence of the sponsor’s employment records, or the </w:t>
      </w:r>
      <w:proofErr w:type="gramStart"/>
      <w:r w:rsidRPr="00844FE0">
        <w:rPr>
          <w:rFonts w:ascii="Book Antiqua" w:hAnsi="Book Antiqua" w:cs="Arial"/>
          <w:sz w:val="20"/>
          <w:szCs w:val="20"/>
        </w:rPr>
        <w:t>appellant’s</w:t>
      </w:r>
      <w:proofErr w:type="gramEnd"/>
      <w:r w:rsidRPr="00844FE0">
        <w:rPr>
          <w:rFonts w:ascii="Book Antiqua" w:hAnsi="Book Antiqua" w:cs="Arial"/>
          <w:sz w:val="20"/>
          <w:szCs w:val="20"/>
        </w:rPr>
        <w:t xml:space="preserve"> for that matter. </w:t>
      </w:r>
      <w:r w:rsidR="00844FE0" w:rsidRPr="00844FE0">
        <w:rPr>
          <w:rFonts w:ascii="Book Antiqua" w:hAnsi="Book Antiqua" w:cs="Arial"/>
          <w:sz w:val="20"/>
          <w:szCs w:val="20"/>
        </w:rPr>
        <w:t xml:space="preserve">In my judgment the appellant’s application was void at the outset because he had obtained his residence card by deception upon marriage by not disclosing his true immigration history. If the appellant had informed the respondent in his application for a residence card after marriage that </w:t>
      </w:r>
      <w:proofErr w:type="spellStart"/>
      <w:r w:rsidR="00844FE0" w:rsidRPr="00844FE0">
        <w:rPr>
          <w:rFonts w:ascii="Book Antiqua" w:hAnsi="Book Antiqua" w:cs="Arial"/>
          <w:b/>
          <w:sz w:val="20"/>
          <w:szCs w:val="20"/>
          <w:u w:val="single"/>
        </w:rPr>
        <w:t>Metock</w:t>
      </w:r>
      <w:proofErr w:type="spellEnd"/>
      <w:r w:rsidR="00844FE0" w:rsidRPr="00844FE0">
        <w:rPr>
          <w:rFonts w:ascii="Book Antiqua" w:hAnsi="Book Antiqua" w:cs="Arial"/>
          <w:sz w:val="20"/>
          <w:szCs w:val="20"/>
        </w:rPr>
        <w:t xml:space="preserve"> rendered the respondent’s deportation order null and void, the respondent would have refused the appellant’s application. In my judgment, the later application for a permanent residence card that was refused on 11 October 2016, and under appeal, was flawed by the deception used in the first application and the fact that the appellant was not in the United Kingdom, and has never been in the United Kingdom, in accordance with the EEA Regulations 2006.”</w:t>
      </w:r>
    </w:p>
    <w:p w14:paraId="5917C102" w14:textId="77777777" w:rsidR="006E5030" w:rsidRDefault="006E5030" w:rsidP="00A21A37">
      <w:pPr>
        <w:tabs>
          <w:tab w:val="left" w:pos="567"/>
        </w:tabs>
        <w:ind w:left="564" w:hanging="564"/>
        <w:jc w:val="both"/>
        <w:rPr>
          <w:rFonts w:ascii="Book Antiqua" w:hAnsi="Book Antiqua" w:cs="Arial"/>
        </w:rPr>
      </w:pPr>
    </w:p>
    <w:p w14:paraId="7F54461C" w14:textId="77777777" w:rsidR="00844FE0" w:rsidRDefault="00844FE0" w:rsidP="00FB102C">
      <w:pPr>
        <w:tabs>
          <w:tab w:val="left" w:pos="567"/>
        </w:tabs>
        <w:ind w:left="564" w:hanging="564"/>
        <w:jc w:val="both"/>
        <w:rPr>
          <w:rFonts w:ascii="Book Antiqua" w:hAnsi="Book Antiqua" w:cs="Arial"/>
        </w:rPr>
      </w:pPr>
      <w:r>
        <w:rPr>
          <w:rFonts w:ascii="Book Antiqua" w:hAnsi="Book Antiqua" w:cs="Arial"/>
        </w:rPr>
        <w:lastRenderedPageBreak/>
        <w:t>7.</w:t>
      </w:r>
      <w:r>
        <w:rPr>
          <w:rFonts w:ascii="Book Antiqua" w:hAnsi="Book Antiqua" w:cs="Arial"/>
        </w:rPr>
        <w:tab/>
        <w:t xml:space="preserve">The appellant appealed the First-tier decision </w:t>
      </w:r>
      <w:r w:rsidR="00FB102C">
        <w:rPr>
          <w:rFonts w:ascii="Book Antiqua" w:hAnsi="Book Antiqua" w:cs="Arial"/>
        </w:rPr>
        <w:t>arguing that t</w:t>
      </w:r>
      <w:r>
        <w:rPr>
          <w:rFonts w:ascii="Book Antiqua" w:hAnsi="Book Antiqua" w:cs="Arial"/>
        </w:rPr>
        <w:t>he judg</w:t>
      </w:r>
      <w:r w:rsidR="00FB102C">
        <w:rPr>
          <w:rFonts w:ascii="Book Antiqua" w:hAnsi="Book Antiqua" w:cs="Arial"/>
        </w:rPr>
        <w:t xml:space="preserve">e failed to give adequate reasons for </w:t>
      </w:r>
      <w:r w:rsidR="00C7378E">
        <w:rPr>
          <w:rFonts w:ascii="Book Antiqua" w:hAnsi="Book Antiqua" w:cs="Arial"/>
        </w:rPr>
        <w:t>not applying</w:t>
      </w:r>
      <w:r w:rsidR="00FB102C">
        <w:rPr>
          <w:rFonts w:ascii="Book Antiqua" w:hAnsi="Book Antiqua" w:cs="Arial"/>
        </w:rPr>
        <w:t xml:space="preserve"> the principles outlined in </w:t>
      </w:r>
      <w:proofErr w:type="spellStart"/>
      <w:r w:rsidR="0020060F">
        <w:rPr>
          <w:rFonts w:ascii="Book Antiqua" w:hAnsi="Book Antiqua" w:cs="Arial"/>
          <w:i/>
        </w:rPr>
        <w:t>Met</w:t>
      </w:r>
      <w:r w:rsidR="00FB102C" w:rsidRPr="00FB102C">
        <w:rPr>
          <w:rFonts w:ascii="Book Antiqua" w:hAnsi="Book Antiqua" w:cs="Arial"/>
          <w:i/>
        </w:rPr>
        <w:t>ock</w:t>
      </w:r>
      <w:proofErr w:type="spellEnd"/>
      <w:r w:rsidR="00FB102C" w:rsidRPr="00FB102C">
        <w:rPr>
          <w:rFonts w:ascii="Book Antiqua" w:hAnsi="Book Antiqua" w:cs="Arial"/>
          <w:i/>
        </w:rPr>
        <w:t xml:space="preserve"> &amp; Others (Area of Freedom, Security and Justice)</w:t>
      </w:r>
      <w:r w:rsidR="00FB102C">
        <w:rPr>
          <w:rFonts w:ascii="Book Antiqua" w:hAnsi="Book Antiqua" w:cs="Arial"/>
        </w:rPr>
        <w:t xml:space="preserve"> [2008] EUECJ C-127/08. The domestic courts are bound by decisions of the Court of Justice of the European Union. </w:t>
      </w:r>
    </w:p>
    <w:p w14:paraId="5F129EF3" w14:textId="77777777" w:rsidR="00FB102C" w:rsidRDefault="00FB102C" w:rsidP="00FB102C">
      <w:pPr>
        <w:tabs>
          <w:tab w:val="left" w:pos="567"/>
        </w:tabs>
        <w:ind w:left="1284"/>
        <w:jc w:val="both"/>
        <w:rPr>
          <w:rFonts w:ascii="Book Antiqua" w:hAnsi="Book Antiqua" w:cs="Arial"/>
        </w:rPr>
      </w:pPr>
    </w:p>
    <w:p w14:paraId="6868B700" w14:textId="77777777" w:rsidR="00B607EE" w:rsidRDefault="00FB102C" w:rsidP="00933B65">
      <w:pPr>
        <w:tabs>
          <w:tab w:val="left" w:pos="567"/>
        </w:tabs>
        <w:jc w:val="both"/>
        <w:rPr>
          <w:rFonts w:ascii="Book Antiqua" w:hAnsi="Book Antiqua" w:cs="Arial"/>
        </w:rPr>
      </w:pPr>
      <w:r>
        <w:rPr>
          <w:rFonts w:ascii="Book Antiqua" w:hAnsi="Book Antiqua" w:cs="Arial"/>
        </w:rPr>
        <w:t>8.</w:t>
      </w:r>
      <w:r>
        <w:rPr>
          <w:rFonts w:ascii="Book Antiqua" w:hAnsi="Book Antiqua" w:cs="Arial"/>
        </w:rPr>
        <w:tab/>
        <w:t>First-tier Tribunal Judge Pooler granted permission to appeal in the following terms:</w:t>
      </w:r>
    </w:p>
    <w:p w14:paraId="14417C54" w14:textId="77777777" w:rsidR="00FB102C" w:rsidRDefault="00FB102C" w:rsidP="00933B65">
      <w:pPr>
        <w:tabs>
          <w:tab w:val="left" w:pos="567"/>
        </w:tabs>
        <w:jc w:val="both"/>
        <w:rPr>
          <w:rFonts w:ascii="Book Antiqua" w:hAnsi="Book Antiqua" w:cs="Arial"/>
        </w:rPr>
      </w:pPr>
    </w:p>
    <w:p w14:paraId="2F4B69A0" w14:textId="77777777" w:rsidR="00FB102C" w:rsidRPr="00FB102C" w:rsidRDefault="00FB102C" w:rsidP="00FB102C">
      <w:pPr>
        <w:tabs>
          <w:tab w:val="left" w:pos="567"/>
        </w:tabs>
        <w:ind w:left="1440"/>
        <w:jc w:val="both"/>
        <w:rPr>
          <w:rFonts w:ascii="Book Antiqua" w:hAnsi="Book Antiqua" w:cs="Arial"/>
          <w:sz w:val="20"/>
          <w:szCs w:val="20"/>
        </w:rPr>
      </w:pPr>
      <w:r w:rsidRPr="00FB102C">
        <w:rPr>
          <w:rFonts w:ascii="Book Antiqua" w:hAnsi="Book Antiqua" w:cs="Arial"/>
          <w:sz w:val="20"/>
          <w:szCs w:val="20"/>
        </w:rPr>
        <w:t>“It is arguable that the appellant was entitled to the benefits of the Directive on marriage to an EEA national. It is also arguable, if the appellant succeeded on that basis, that the judge erred by not deciding the other issues in the appeal, namely whether the appellant’s marriage was one of convenience and whether his spouse had been exercising treaty rights.”</w:t>
      </w:r>
    </w:p>
    <w:p w14:paraId="7B1FE10F" w14:textId="77777777" w:rsidR="00B607EE" w:rsidRDefault="00B607EE" w:rsidP="00933B65">
      <w:pPr>
        <w:tabs>
          <w:tab w:val="left" w:pos="567"/>
        </w:tabs>
        <w:jc w:val="both"/>
        <w:rPr>
          <w:rFonts w:ascii="Book Antiqua" w:hAnsi="Book Antiqua" w:cs="Arial"/>
        </w:rPr>
      </w:pPr>
    </w:p>
    <w:p w14:paraId="1109F6A9" w14:textId="77777777"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14:paraId="46486EC3" w14:textId="77777777" w:rsidR="00405694" w:rsidRDefault="00405694" w:rsidP="00933B65">
      <w:pPr>
        <w:tabs>
          <w:tab w:val="left" w:pos="567"/>
        </w:tabs>
        <w:jc w:val="both"/>
        <w:rPr>
          <w:rFonts w:ascii="Book Antiqua" w:hAnsi="Book Antiqua" w:cs="Arial"/>
        </w:rPr>
      </w:pPr>
    </w:p>
    <w:p w14:paraId="63CDFF9C" w14:textId="77777777" w:rsidR="00D60D76" w:rsidRDefault="00D60D76" w:rsidP="00D60D76">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r>
      <w:r w:rsidR="00B55F60">
        <w:rPr>
          <w:rFonts w:ascii="Book Antiqua" w:hAnsi="Book Antiqua" w:cs="Arial"/>
        </w:rPr>
        <w:t>Rule 40(2</w:t>
      </w:r>
      <w:r>
        <w:rPr>
          <w:rFonts w:ascii="Book Antiqua" w:hAnsi="Book Antiqua" w:cs="Arial"/>
        </w:rPr>
        <w:t>)</w:t>
      </w:r>
      <w:r w:rsidR="00B55F60">
        <w:rPr>
          <w:rFonts w:ascii="Book Antiqua" w:hAnsi="Book Antiqua" w:cs="Arial"/>
        </w:rPr>
        <w:t>(a)</w:t>
      </w:r>
      <w:r>
        <w:rPr>
          <w:rFonts w:ascii="Book Antiqua" w:hAnsi="Book Antiqua" w:cs="Arial"/>
        </w:rPr>
        <w:t xml:space="preserve"> states that the Upper Tribunal must provide a decision notice to each party as soon as reasonably practicable after making a decision which finally disposes of all issues in the proceedings. Rule 40(3) </w:t>
      </w:r>
      <w:r w:rsidR="00B55F60">
        <w:rPr>
          <w:rFonts w:ascii="Book Antiqua" w:hAnsi="Book Antiqua" w:cs="Arial"/>
        </w:rPr>
        <w:t xml:space="preserve">provides exceptions to the requirement to provide written reasons with the decision notice </w:t>
      </w:r>
      <w:r>
        <w:rPr>
          <w:rFonts w:ascii="Book Antiqua" w:hAnsi="Book Antiqua" w:cs="Arial"/>
        </w:rPr>
        <w:t xml:space="preserve">if the decision is made with the consent of the parties or the parties have consented to the Upper Tribunal not giving written reasons. In this case both parties </w:t>
      </w:r>
      <w:r w:rsidR="00840833">
        <w:rPr>
          <w:rFonts w:ascii="Book Antiqua" w:hAnsi="Book Antiqua" w:cs="Arial"/>
        </w:rPr>
        <w:t>agreed that the First-tier Tribunal decision involved the making of an error of law</w:t>
      </w:r>
      <w:r>
        <w:rPr>
          <w:rFonts w:ascii="Book Antiqua" w:hAnsi="Book Antiqua" w:cs="Arial"/>
        </w:rPr>
        <w:t xml:space="preserve"> so it is not necessary to give detailed reasons.</w:t>
      </w:r>
    </w:p>
    <w:p w14:paraId="70D3FC87" w14:textId="77777777" w:rsidR="00405694" w:rsidRDefault="00405694" w:rsidP="00933B65">
      <w:pPr>
        <w:tabs>
          <w:tab w:val="left" w:pos="567"/>
        </w:tabs>
        <w:jc w:val="both"/>
        <w:rPr>
          <w:rFonts w:ascii="Book Antiqua" w:hAnsi="Book Antiqua" w:cs="Arial"/>
        </w:rPr>
      </w:pPr>
    </w:p>
    <w:p w14:paraId="0F8BC6B9" w14:textId="77777777" w:rsidR="00D60D76" w:rsidRDefault="00D60D76" w:rsidP="00D60D76">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t xml:space="preserve">In summary, the parties agreed that the judge failed to apply the principles outlined in </w:t>
      </w:r>
      <w:proofErr w:type="spellStart"/>
      <w:r w:rsidR="0020060F">
        <w:rPr>
          <w:rFonts w:ascii="Book Antiqua" w:hAnsi="Book Antiqua" w:cs="Arial"/>
          <w:i/>
        </w:rPr>
        <w:t>Met</w:t>
      </w:r>
      <w:r w:rsidRPr="00D60D76">
        <w:rPr>
          <w:rFonts w:ascii="Book Antiqua" w:hAnsi="Book Antiqua" w:cs="Arial"/>
          <w:i/>
        </w:rPr>
        <w:t>ock</w:t>
      </w:r>
      <w:proofErr w:type="spellEnd"/>
      <w:r>
        <w:rPr>
          <w:rFonts w:ascii="Book Antiqua" w:hAnsi="Book Antiqua" w:cs="Arial"/>
        </w:rPr>
        <w:t xml:space="preserve"> correctly. The judge failed to give adequate reasons for departing from those principles. The fact that the case was not referred to in counsel’s skeleton argument is hardl</w:t>
      </w:r>
      <w:r w:rsidR="00840833">
        <w:rPr>
          <w:rFonts w:ascii="Book Antiqua" w:hAnsi="Book Antiqua" w:cs="Arial"/>
        </w:rPr>
        <w:t>y good reason not to address</w:t>
      </w:r>
      <w:r>
        <w:rPr>
          <w:rFonts w:ascii="Book Antiqua" w:hAnsi="Book Antiqua" w:cs="Arial"/>
        </w:rPr>
        <w:t xml:space="preserve"> the principles outlined by the Court of Justice. </w:t>
      </w:r>
      <w:r w:rsidR="00840833">
        <w:rPr>
          <w:rFonts w:ascii="Book Antiqua" w:hAnsi="Book Antiqua" w:cs="Arial"/>
        </w:rPr>
        <w:t>The</w:t>
      </w:r>
      <w:r>
        <w:rPr>
          <w:rFonts w:ascii="Book Antiqua" w:hAnsi="Book Antiqua" w:cs="Arial"/>
        </w:rPr>
        <w:t xml:space="preserve"> judge’s findings relating to the import of the deportation order made under the Immigration </w:t>
      </w:r>
      <w:r w:rsidR="00C7378E">
        <w:rPr>
          <w:rFonts w:ascii="Book Antiqua" w:hAnsi="Book Antiqua" w:cs="Arial"/>
        </w:rPr>
        <w:t>Act 1971</w:t>
      </w:r>
      <w:r>
        <w:rPr>
          <w:rFonts w:ascii="Book Antiqua" w:hAnsi="Book Antiqua" w:cs="Arial"/>
        </w:rPr>
        <w:t xml:space="preserve"> </w:t>
      </w:r>
      <w:r w:rsidR="00815FD9">
        <w:rPr>
          <w:rFonts w:ascii="Book Antiqua" w:hAnsi="Book Antiqua" w:cs="Arial"/>
        </w:rPr>
        <w:t>are</w:t>
      </w:r>
      <w:r>
        <w:rPr>
          <w:rFonts w:ascii="Book Antiqua" w:hAnsi="Book Antiqua" w:cs="Arial"/>
        </w:rPr>
        <w:t xml:space="preserve"> confused and unclear. The decision fails to appreciate that domestic and European law are distinct legal frameworks. The confusion may have originated in the respondent’s decision letter, which </w:t>
      </w:r>
      <w:r w:rsidR="00840833">
        <w:rPr>
          <w:rFonts w:ascii="Book Antiqua" w:hAnsi="Book Antiqua" w:cs="Arial"/>
        </w:rPr>
        <w:t>also muddled</w:t>
      </w:r>
      <w:r>
        <w:rPr>
          <w:rFonts w:ascii="Book Antiqua" w:hAnsi="Book Antiqua" w:cs="Arial"/>
        </w:rPr>
        <w:t xml:space="preserve"> the </w:t>
      </w:r>
      <w:r w:rsidR="00840833">
        <w:rPr>
          <w:rFonts w:ascii="Book Antiqua" w:hAnsi="Book Antiqua" w:cs="Arial"/>
        </w:rPr>
        <w:t>distinct frameworks of</w:t>
      </w:r>
      <w:r>
        <w:rPr>
          <w:rFonts w:ascii="Book Antiqua" w:hAnsi="Book Antiqua" w:cs="Arial"/>
        </w:rPr>
        <w:t xml:space="preserve"> domestic and European law. It is not a prerequisite for the appellant to be in the UK lawfully to establish residence rights under European law. </w:t>
      </w:r>
      <w:r w:rsidR="00C7378E">
        <w:rPr>
          <w:rFonts w:ascii="Book Antiqua" w:hAnsi="Book Antiqua" w:cs="Arial"/>
        </w:rPr>
        <w:t xml:space="preserve">The establishment of European residence rights does not render a deportation order made under the Immigration Act 1971 “null and void”, but the respondent would have to consider whether it justifies revocation of an existing deportation order, and if not, whether there were public policy grounds to justify refusing the application for a residence card. </w:t>
      </w:r>
      <w:r>
        <w:rPr>
          <w:rFonts w:ascii="Book Antiqua" w:hAnsi="Book Antiqua" w:cs="Arial"/>
        </w:rPr>
        <w:t xml:space="preserve">If the respondent considered that there were public policy issues arising from the appellant’s entry in breach of a deportation order </w:t>
      </w:r>
      <w:r w:rsidR="00840833">
        <w:rPr>
          <w:rFonts w:ascii="Book Antiqua" w:hAnsi="Book Antiqua" w:cs="Arial"/>
        </w:rPr>
        <w:t>those concerns</w:t>
      </w:r>
      <w:r>
        <w:rPr>
          <w:rFonts w:ascii="Book Antiqua" w:hAnsi="Book Antiqua" w:cs="Arial"/>
        </w:rPr>
        <w:t xml:space="preserve"> could and should have been raised in the context of the relevant public policy provisions contained in the Directive and the EEA Regulations. </w:t>
      </w:r>
      <w:r w:rsidR="00ED3CC4">
        <w:rPr>
          <w:rFonts w:ascii="Book Antiqua" w:hAnsi="Book Antiqua" w:cs="Arial"/>
        </w:rPr>
        <w:t>The judge failed to make findings in relation to</w:t>
      </w:r>
      <w:r w:rsidR="00C7378E">
        <w:rPr>
          <w:rFonts w:ascii="Book Antiqua" w:hAnsi="Book Antiqua" w:cs="Arial"/>
        </w:rPr>
        <w:t xml:space="preserve"> </w:t>
      </w:r>
      <w:r w:rsidR="00851173">
        <w:rPr>
          <w:rFonts w:ascii="Book Antiqua" w:hAnsi="Book Antiqua" w:cs="Arial"/>
        </w:rPr>
        <w:t xml:space="preserve">issues that were material to a proper determination of the appeal i.e. whether the marriage was one of convenience. </w:t>
      </w:r>
    </w:p>
    <w:p w14:paraId="00536E78" w14:textId="77777777" w:rsidR="00405694" w:rsidRDefault="00405694" w:rsidP="00933B65">
      <w:pPr>
        <w:tabs>
          <w:tab w:val="left" w:pos="567"/>
        </w:tabs>
        <w:jc w:val="both"/>
        <w:rPr>
          <w:rFonts w:ascii="Book Antiqua" w:hAnsi="Book Antiqua" w:cs="Arial"/>
        </w:rPr>
      </w:pPr>
    </w:p>
    <w:p w14:paraId="1BC19B1B" w14:textId="77777777" w:rsidR="00ED3CC4" w:rsidRDefault="00ED3CC4" w:rsidP="00ED3CC4">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t xml:space="preserve">I conclude that the First-tier Tribunal decision involved the making of an error on a point of law. I agree with the parties that the nature and extent of judicial fact finding </w:t>
      </w:r>
      <w:r w:rsidR="0058206A">
        <w:rPr>
          <w:rFonts w:ascii="Book Antiqua" w:hAnsi="Book Antiqua" w:cs="Arial"/>
        </w:rPr>
        <w:t xml:space="preserve">that is </w:t>
      </w:r>
      <w:r>
        <w:rPr>
          <w:rFonts w:ascii="Book Antiqua" w:hAnsi="Book Antiqua" w:cs="Arial"/>
        </w:rPr>
        <w:t xml:space="preserve">necessary to remake the decision is such that it is appropriate to remit the case </w:t>
      </w:r>
      <w:r>
        <w:rPr>
          <w:rFonts w:ascii="Book Antiqua" w:hAnsi="Book Antiqua" w:cs="Arial"/>
        </w:rPr>
        <w:lastRenderedPageBreak/>
        <w:t>to the First-tier Tribunal for a fresh hearing</w:t>
      </w:r>
      <w:r w:rsidR="0058206A">
        <w:rPr>
          <w:rFonts w:ascii="Book Antiqua" w:hAnsi="Book Antiqua" w:cs="Arial"/>
        </w:rPr>
        <w:t xml:space="preserve"> (see paragraph 7.2 Practice Statement – 25/09/12)</w:t>
      </w:r>
      <w:r>
        <w:rPr>
          <w:rFonts w:ascii="Book Antiqua" w:hAnsi="Book Antiqua" w:cs="Arial"/>
        </w:rPr>
        <w:t xml:space="preserve">. </w:t>
      </w:r>
    </w:p>
    <w:p w14:paraId="6D682669" w14:textId="77777777" w:rsidR="00405694" w:rsidRDefault="00405694" w:rsidP="00933B65">
      <w:pPr>
        <w:tabs>
          <w:tab w:val="left" w:pos="567"/>
        </w:tabs>
        <w:jc w:val="both"/>
        <w:rPr>
          <w:rFonts w:ascii="Book Antiqua" w:hAnsi="Book Antiqua" w:cs="Arial"/>
        </w:rPr>
      </w:pPr>
    </w:p>
    <w:p w14:paraId="4F967CEF" w14:textId="77777777" w:rsidR="00ED3CC4" w:rsidRPr="00ED3CC4" w:rsidRDefault="00ED3CC4" w:rsidP="00933B65">
      <w:pPr>
        <w:tabs>
          <w:tab w:val="left" w:pos="567"/>
        </w:tabs>
        <w:jc w:val="both"/>
        <w:rPr>
          <w:rFonts w:ascii="Book Antiqua" w:hAnsi="Book Antiqua" w:cs="Arial"/>
          <w:b/>
          <w:u w:val="single"/>
        </w:rPr>
      </w:pPr>
      <w:r w:rsidRPr="00ED3CC4">
        <w:rPr>
          <w:rFonts w:ascii="Book Antiqua" w:hAnsi="Book Antiqua" w:cs="Arial"/>
          <w:b/>
          <w:u w:val="single"/>
        </w:rPr>
        <w:t>Directions</w:t>
      </w:r>
    </w:p>
    <w:p w14:paraId="5B43C127" w14:textId="77777777" w:rsidR="00ED3CC4" w:rsidRDefault="00ED3CC4" w:rsidP="00933B65">
      <w:pPr>
        <w:tabs>
          <w:tab w:val="left" w:pos="567"/>
        </w:tabs>
        <w:jc w:val="both"/>
        <w:rPr>
          <w:rFonts w:ascii="Book Antiqua" w:hAnsi="Book Antiqua" w:cs="Arial"/>
        </w:rPr>
      </w:pPr>
    </w:p>
    <w:p w14:paraId="5155D753" w14:textId="77777777" w:rsidR="00ED3CC4" w:rsidRDefault="00ED3CC4" w:rsidP="00ED3CC4">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t>The Upper Tribunal does not usually make directions relating to the conduct of the remitted appeal, but in this case, it is likely</w:t>
      </w:r>
      <w:r w:rsidR="00851173">
        <w:rPr>
          <w:rFonts w:ascii="Book Antiqua" w:hAnsi="Book Antiqua" w:cs="Arial"/>
        </w:rPr>
        <w:t xml:space="preserve"> to assist both parties and general case management </w:t>
      </w:r>
      <w:r>
        <w:rPr>
          <w:rFonts w:ascii="Book Antiqua" w:hAnsi="Book Antiqua" w:cs="Arial"/>
        </w:rPr>
        <w:t>if the respondent is directed to produce a copy of the interview record relied upon in the decision letter. To this end the respondent is directed to serve a copy of the interview recor</w:t>
      </w:r>
      <w:r w:rsidR="00851173">
        <w:rPr>
          <w:rFonts w:ascii="Book Antiqua" w:hAnsi="Book Antiqua" w:cs="Arial"/>
        </w:rPr>
        <w:t>d/</w:t>
      </w:r>
      <w:r>
        <w:rPr>
          <w:rFonts w:ascii="Book Antiqua" w:hAnsi="Book Antiqua" w:cs="Arial"/>
        </w:rPr>
        <w:t xml:space="preserve">transcript by </w:t>
      </w:r>
      <w:r w:rsidR="0058206A" w:rsidRPr="0058206A">
        <w:rPr>
          <w:rFonts w:ascii="Book Antiqua" w:hAnsi="Book Antiqua" w:cs="Arial"/>
          <w:b/>
        </w:rPr>
        <w:t>Monday 23 July 2018</w:t>
      </w:r>
      <w:r w:rsidR="0058206A">
        <w:rPr>
          <w:rFonts w:ascii="Book Antiqua" w:hAnsi="Book Antiqua" w:cs="Arial"/>
        </w:rPr>
        <w:t xml:space="preserve"> at the latest. </w:t>
      </w:r>
    </w:p>
    <w:p w14:paraId="6532630B" w14:textId="77777777" w:rsidR="00ED3CC4" w:rsidRDefault="00ED3CC4" w:rsidP="00933B65">
      <w:pPr>
        <w:tabs>
          <w:tab w:val="left" w:pos="567"/>
        </w:tabs>
        <w:jc w:val="both"/>
        <w:rPr>
          <w:rFonts w:ascii="Book Antiqua" w:hAnsi="Book Antiqua" w:cs="Arial"/>
          <w:u w:val="single"/>
        </w:rPr>
      </w:pPr>
    </w:p>
    <w:p w14:paraId="590E794E" w14:textId="77777777" w:rsidR="0058206A" w:rsidRDefault="0058206A" w:rsidP="00933B65">
      <w:pPr>
        <w:tabs>
          <w:tab w:val="left" w:pos="567"/>
        </w:tabs>
        <w:jc w:val="both"/>
        <w:rPr>
          <w:rFonts w:ascii="Book Antiqua" w:hAnsi="Book Antiqua" w:cs="Arial"/>
          <w:u w:val="single"/>
        </w:rPr>
      </w:pPr>
    </w:p>
    <w:p w14:paraId="1B509D26" w14:textId="77777777" w:rsidR="00FB102C" w:rsidRPr="00FB102C" w:rsidRDefault="00FB102C" w:rsidP="00933B65">
      <w:pPr>
        <w:tabs>
          <w:tab w:val="left" w:pos="567"/>
        </w:tabs>
        <w:jc w:val="both"/>
        <w:rPr>
          <w:rFonts w:ascii="Book Antiqua" w:hAnsi="Book Antiqua" w:cs="Arial"/>
          <w:u w:val="single"/>
        </w:rPr>
      </w:pPr>
      <w:r w:rsidRPr="00FB102C">
        <w:rPr>
          <w:rFonts w:ascii="Book Antiqua" w:hAnsi="Book Antiqua" w:cs="Arial"/>
          <w:u w:val="single"/>
        </w:rPr>
        <w:t>DECISION</w:t>
      </w:r>
    </w:p>
    <w:p w14:paraId="7EA97F49" w14:textId="77777777" w:rsidR="00FB102C" w:rsidRDefault="00FB102C" w:rsidP="00933B65">
      <w:pPr>
        <w:tabs>
          <w:tab w:val="left" w:pos="567"/>
        </w:tabs>
        <w:jc w:val="both"/>
        <w:rPr>
          <w:rFonts w:ascii="Book Antiqua" w:hAnsi="Book Antiqua" w:cs="Arial"/>
        </w:rPr>
      </w:pPr>
    </w:p>
    <w:p w14:paraId="47851479" w14:textId="77777777" w:rsidR="00FB102C" w:rsidRDefault="00FB102C" w:rsidP="00933B65">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14:paraId="576F30A9" w14:textId="77777777" w:rsidR="00FB102C" w:rsidRDefault="00FB102C" w:rsidP="00933B65">
      <w:pPr>
        <w:tabs>
          <w:tab w:val="left" w:pos="567"/>
        </w:tabs>
        <w:jc w:val="both"/>
        <w:rPr>
          <w:rFonts w:ascii="Book Antiqua" w:hAnsi="Book Antiqua" w:cs="Arial"/>
        </w:rPr>
      </w:pPr>
    </w:p>
    <w:p w14:paraId="5FAAA0E7" w14:textId="77777777" w:rsidR="00FB102C" w:rsidRDefault="00FB102C" w:rsidP="00933B65">
      <w:pPr>
        <w:tabs>
          <w:tab w:val="left" w:pos="567"/>
        </w:tabs>
        <w:jc w:val="both"/>
        <w:rPr>
          <w:rFonts w:ascii="Book Antiqua" w:hAnsi="Book Antiqua" w:cs="Arial"/>
        </w:rPr>
      </w:pPr>
      <w:r>
        <w:rPr>
          <w:rFonts w:ascii="Book Antiqua" w:hAnsi="Book Antiqua" w:cs="Arial"/>
        </w:rPr>
        <w:t xml:space="preserve">The </w:t>
      </w:r>
      <w:r w:rsidR="0058206A">
        <w:rPr>
          <w:rFonts w:ascii="Book Antiqua" w:hAnsi="Book Antiqua" w:cs="Arial"/>
        </w:rPr>
        <w:t xml:space="preserve">case </w:t>
      </w:r>
      <w:r>
        <w:rPr>
          <w:rFonts w:ascii="Book Antiqua" w:hAnsi="Book Antiqua" w:cs="Arial"/>
        </w:rPr>
        <w:t>is remitted for a fresh hearing before the First-tier Tribunal</w:t>
      </w:r>
    </w:p>
    <w:p w14:paraId="2FEBB222" w14:textId="77777777" w:rsidR="00FB102C" w:rsidRDefault="00FB102C" w:rsidP="00933B65">
      <w:pPr>
        <w:tabs>
          <w:tab w:val="left" w:pos="567"/>
        </w:tabs>
        <w:jc w:val="both"/>
        <w:rPr>
          <w:rFonts w:ascii="Book Antiqua" w:hAnsi="Book Antiqua" w:cs="Arial"/>
        </w:rPr>
      </w:pPr>
    </w:p>
    <w:p w14:paraId="001D91A1" w14:textId="77777777" w:rsidR="0058206A" w:rsidRDefault="0058206A" w:rsidP="00933B65">
      <w:pPr>
        <w:tabs>
          <w:tab w:val="left" w:pos="567"/>
        </w:tabs>
        <w:jc w:val="both"/>
        <w:rPr>
          <w:rFonts w:ascii="Book Antiqua" w:hAnsi="Book Antiqua" w:cs="Arial"/>
        </w:rPr>
      </w:pPr>
    </w:p>
    <w:p w14:paraId="096887B6" w14:textId="5729A936"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580C9C" w:rsidRPr="000A38E1">
        <w:rPr>
          <w:rFonts w:ascii="Book Antiqua" w:hAnsi="Book Antiqua" w:cs="Arial"/>
          <w:noProof/>
        </w:rPr>
        <w:drawing>
          <wp:inline distT="0" distB="0" distL="0" distR="0" wp14:anchorId="2C475C0E" wp14:editId="6C24B466">
            <wp:extent cx="1381125" cy="3714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00A57676">
        <w:rPr>
          <w:rFonts w:ascii="Book Antiqua" w:hAnsi="Book Antiqua" w:cs="Arial"/>
        </w:rPr>
        <w:tab/>
      </w:r>
      <w:r w:rsidR="00F55975">
        <w:rPr>
          <w:rFonts w:ascii="Book Antiqua" w:hAnsi="Book Antiqua" w:cs="Arial"/>
        </w:rPr>
        <w:t>Date 25</w:t>
      </w:r>
      <w:r w:rsidR="000351ED">
        <w:rPr>
          <w:rFonts w:ascii="Book Antiqua" w:hAnsi="Book Antiqua" w:cs="Arial"/>
        </w:rPr>
        <w:t xml:space="preserve"> June 2018</w:t>
      </w:r>
    </w:p>
    <w:p w14:paraId="0A2B09C5" w14:textId="77777777"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14:paraId="30227258" w14:textId="77777777" w:rsidR="00546523" w:rsidRDefault="00546523" w:rsidP="00933B65">
      <w:pPr>
        <w:tabs>
          <w:tab w:val="left" w:pos="567"/>
        </w:tabs>
        <w:jc w:val="both"/>
        <w:rPr>
          <w:rFonts w:ascii="Book Antiqua" w:hAnsi="Book Antiqua" w:cs="Arial"/>
        </w:rPr>
      </w:pPr>
    </w:p>
    <w:p w14:paraId="348975DC" w14:textId="77777777" w:rsidR="00BB40C3" w:rsidRDefault="00BB40C3" w:rsidP="00546523">
      <w:pPr>
        <w:tabs>
          <w:tab w:val="left" w:pos="567"/>
        </w:tabs>
        <w:jc w:val="both"/>
        <w:rPr>
          <w:rFonts w:ascii="Book Antiqua" w:hAnsi="Book Antiqua" w:cs="Arial"/>
          <w:u w:val="single"/>
        </w:rPr>
      </w:pPr>
    </w:p>
    <w:p w14:paraId="187B4E58" w14:textId="77777777" w:rsidR="00546523" w:rsidRDefault="00546523" w:rsidP="00933B65">
      <w:pPr>
        <w:tabs>
          <w:tab w:val="left" w:pos="567"/>
        </w:tabs>
        <w:jc w:val="both"/>
        <w:rPr>
          <w:rFonts w:ascii="Book Antiqua" w:hAnsi="Book Antiqua" w:cs="Arial"/>
        </w:rPr>
      </w:pPr>
    </w:p>
    <w:p w14:paraId="4D793C24" w14:textId="77777777" w:rsidR="00933B65" w:rsidRDefault="00933B65" w:rsidP="00933B65">
      <w:pPr>
        <w:tabs>
          <w:tab w:val="left" w:pos="567"/>
        </w:tabs>
        <w:jc w:val="both"/>
        <w:rPr>
          <w:rFonts w:ascii="Book Antiqua" w:hAnsi="Book Antiqua" w:cs="Arial"/>
        </w:rPr>
      </w:pPr>
    </w:p>
    <w:p w14:paraId="3F05176E" w14:textId="77777777" w:rsidR="00933B65" w:rsidRDefault="00933B65" w:rsidP="008832E8">
      <w:pPr>
        <w:tabs>
          <w:tab w:val="left" w:pos="567"/>
        </w:tabs>
        <w:ind w:left="567"/>
        <w:jc w:val="both"/>
        <w:rPr>
          <w:rFonts w:ascii="Book Antiqua" w:hAnsi="Book Antiqua" w:cs="Arial"/>
        </w:rPr>
      </w:pPr>
      <w:r>
        <w:rPr>
          <w:rFonts w:ascii="Book Antiqua" w:hAnsi="Book Antiqua" w:cs="Arial"/>
        </w:rPr>
        <w:tab/>
      </w:r>
    </w:p>
    <w:p w14:paraId="4160B572" w14:textId="77777777"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2029A" w14:textId="77777777" w:rsidR="00F20D08" w:rsidRDefault="00F20D08">
      <w:r>
        <w:separator/>
      </w:r>
    </w:p>
  </w:endnote>
  <w:endnote w:type="continuationSeparator" w:id="0">
    <w:p w14:paraId="6C4449BB" w14:textId="77777777" w:rsidR="00F20D08" w:rsidRDefault="00F20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C266" w14:textId="77777777"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80C9C">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7434" w14:textId="77777777"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9EA9A" w14:textId="77777777" w:rsidR="00F20D08" w:rsidRDefault="00F20D08">
      <w:r>
        <w:separator/>
      </w:r>
    </w:p>
  </w:footnote>
  <w:footnote w:type="continuationSeparator" w:id="0">
    <w:p w14:paraId="5C8E0B14" w14:textId="77777777" w:rsidR="00F20D08" w:rsidRDefault="00F20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9633" w14:textId="77777777" w:rsidR="000351ED" w:rsidRPr="000351ED" w:rsidRDefault="00F75541" w:rsidP="000351ED">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0351ED" w:rsidRPr="000351ED">
      <w:rPr>
        <w:rFonts w:ascii="Book Antiqua" w:hAnsi="Book Antiqua" w:cs="Arial"/>
        <w:color w:val="000000"/>
        <w:sz w:val="16"/>
        <w:szCs w:val="16"/>
      </w:rPr>
      <w:t>EA/12819/2016</w:t>
    </w:r>
  </w:p>
  <w:p w14:paraId="149121C2" w14:textId="77777777" w:rsidR="00CF2453" w:rsidRPr="00CF2453" w:rsidRDefault="00CF2453" w:rsidP="00CF2453">
    <w:pPr>
      <w:tabs>
        <w:tab w:val="right" w:pos="9720"/>
      </w:tabs>
      <w:ind w:right="-82"/>
      <w:jc w:val="right"/>
      <w:rPr>
        <w:rFonts w:ascii="Book Antiqua" w:hAnsi="Book Antiqua" w:cs="Arial"/>
        <w:color w:val="000000"/>
        <w:sz w:val="16"/>
        <w:szCs w:val="16"/>
      </w:rPr>
    </w:pPr>
  </w:p>
  <w:p w14:paraId="1EC8D370" w14:textId="77777777"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78F"/>
    <w:multiLevelType w:val="hybridMultilevel"/>
    <w:tmpl w:val="312CEB16"/>
    <w:lvl w:ilvl="0" w:tplc="DC3C9C50">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10B88"/>
    <w:rsid w:val="000351ED"/>
    <w:rsid w:val="00035309"/>
    <w:rsid w:val="00047060"/>
    <w:rsid w:val="00056E7C"/>
    <w:rsid w:val="000644CE"/>
    <w:rsid w:val="000D0603"/>
    <w:rsid w:val="000F0D6B"/>
    <w:rsid w:val="00115648"/>
    <w:rsid w:val="00194FB4"/>
    <w:rsid w:val="001A14A2"/>
    <w:rsid w:val="001A373D"/>
    <w:rsid w:val="001C2435"/>
    <w:rsid w:val="0020060F"/>
    <w:rsid w:val="00200671"/>
    <w:rsid w:val="00266679"/>
    <w:rsid w:val="00266FFE"/>
    <w:rsid w:val="00270D89"/>
    <w:rsid w:val="00272712"/>
    <w:rsid w:val="00294F41"/>
    <w:rsid w:val="002F6D78"/>
    <w:rsid w:val="003049FE"/>
    <w:rsid w:val="00345182"/>
    <w:rsid w:val="00396F7B"/>
    <w:rsid w:val="003B36AE"/>
    <w:rsid w:val="003F45CD"/>
    <w:rsid w:val="004044E6"/>
    <w:rsid w:val="00405694"/>
    <w:rsid w:val="00407E66"/>
    <w:rsid w:val="004171D0"/>
    <w:rsid w:val="00425677"/>
    <w:rsid w:val="00426F9F"/>
    <w:rsid w:val="0048245D"/>
    <w:rsid w:val="00490985"/>
    <w:rsid w:val="00497CC7"/>
    <w:rsid w:val="004A012D"/>
    <w:rsid w:val="004B3B87"/>
    <w:rsid w:val="004B5D67"/>
    <w:rsid w:val="004F4BE7"/>
    <w:rsid w:val="00501A7C"/>
    <w:rsid w:val="00546523"/>
    <w:rsid w:val="0057020B"/>
    <w:rsid w:val="00580C9C"/>
    <w:rsid w:val="005819E4"/>
    <w:rsid w:val="0058206A"/>
    <w:rsid w:val="005907D8"/>
    <w:rsid w:val="00607D9C"/>
    <w:rsid w:val="00614E94"/>
    <w:rsid w:val="00631E34"/>
    <w:rsid w:val="00662048"/>
    <w:rsid w:val="0068059E"/>
    <w:rsid w:val="006A364A"/>
    <w:rsid w:val="006E5030"/>
    <w:rsid w:val="00713905"/>
    <w:rsid w:val="00731039"/>
    <w:rsid w:val="0073630A"/>
    <w:rsid w:val="007B09CD"/>
    <w:rsid w:val="00815FD9"/>
    <w:rsid w:val="00816668"/>
    <w:rsid w:val="00821972"/>
    <w:rsid w:val="00840833"/>
    <w:rsid w:val="00840D9B"/>
    <w:rsid w:val="00844FE0"/>
    <w:rsid w:val="00851173"/>
    <w:rsid w:val="008550D5"/>
    <w:rsid w:val="008832E8"/>
    <w:rsid w:val="008A3B24"/>
    <w:rsid w:val="008E01FB"/>
    <w:rsid w:val="008F0F73"/>
    <w:rsid w:val="008F5AD6"/>
    <w:rsid w:val="009108D0"/>
    <w:rsid w:val="00933B65"/>
    <w:rsid w:val="0094479E"/>
    <w:rsid w:val="009701EB"/>
    <w:rsid w:val="00985E8D"/>
    <w:rsid w:val="009942DD"/>
    <w:rsid w:val="009D5EB6"/>
    <w:rsid w:val="00A03E4C"/>
    <w:rsid w:val="00A21A37"/>
    <w:rsid w:val="00A472B6"/>
    <w:rsid w:val="00A57676"/>
    <w:rsid w:val="00A621AC"/>
    <w:rsid w:val="00A65470"/>
    <w:rsid w:val="00A7051D"/>
    <w:rsid w:val="00A70F8E"/>
    <w:rsid w:val="00A86A8D"/>
    <w:rsid w:val="00AB1DC6"/>
    <w:rsid w:val="00AB703E"/>
    <w:rsid w:val="00B270E4"/>
    <w:rsid w:val="00B34BF8"/>
    <w:rsid w:val="00B55F60"/>
    <w:rsid w:val="00B607EE"/>
    <w:rsid w:val="00BB40C3"/>
    <w:rsid w:val="00C27E41"/>
    <w:rsid w:val="00C56E05"/>
    <w:rsid w:val="00C61D30"/>
    <w:rsid w:val="00C7378E"/>
    <w:rsid w:val="00C91E16"/>
    <w:rsid w:val="00CE5C94"/>
    <w:rsid w:val="00CF2453"/>
    <w:rsid w:val="00D25C76"/>
    <w:rsid w:val="00D3274C"/>
    <w:rsid w:val="00D36F32"/>
    <w:rsid w:val="00D40718"/>
    <w:rsid w:val="00D60D76"/>
    <w:rsid w:val="00DA52F3"/>
    <w:rsid w:val="00DE3D56"/>
    <w:rsid w:val="00E15512"/>
    <w:rsid w:val="00E2527C"/>
    <w:rsid w:val="00E274DF"/>
    <w:rsid w:val="00E31CE3"/>
    <w:rsid w:val="00E468D9"/>
    <w:rsid w:val="00E63B55"/>
    <w:rsid w:val="00E96B33"/>
    <w:rsid w:val="00ED1E61"/>
    <w:rsid w:val="00ED3CC4"/>
    <w:rsid w:val="00F20D08"/>
    <w:rsid w:val="00F52E9E"/>
    <w:rsid w:val="00F55975"/>
    <w:rsid w:val="00F648C0"/>
    <w:rsid w:val="00F66C52"/>
    <w:rsid w:val="00F75541"/>
    <w:rsid w:val="00F861B0"/>
    <w:rsid w:val="00F8752A"/>
    <w:rsid w:val="00FA0A2E"/>
    <w:rsid w:val="00FB0516"/>
    <w:rsid w:val="00FB102C"/>
    <w:rsid w:val="00FE1EF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FC4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paragraph" w:styleId="NormalWeb">
    <w:name w:val="Normal (Web)"/>
    <w:basedOn w:val="Normal"/>
    <w:uiPriority w:val="99"/>
    <w:unhideWhenUsed/>
    <w:rsid w:val="00F861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2018-07-17T08:27:00Z</dcterms:created>
  <dcterms:modified xsi:type="dcterms:W3CDTF">2018-07-17T08:27:00Z</dcterms:modified>
</cp:coreProperties>
</file>