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B24" w:rsidRDefault="00480B24" w:rsidP="00C321B5">
      <w:pPr>
        <w:jc w:val="center"/>
        <w:rPr>
          <w:rFonts w:ascii="Book Antiqua" w:hAnsi="Book Antiqua" w:cs="Arial"/>
          <w:sz w:val="16"/>
          <w:szCs w:val="16"/>
        </w:rPr>
      </w:pPr>
    </w:p>
    <w:p w:rsidR="00C321B5" w:rsidRPr="00F5664C" w:rsidRDefault="004161F9" w:rsidP="00C321B5">
      <w:pPr>
        <w:jc w:val="center"/>
        <w:rPr>
          <w:rFonts w:ascii="Book Antiqua" w:hAnsi="Book Antiqua" w:cs="Arial"/>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C321B5" w:rsidRPr="00F5664C" w:rsidRDefault="001A1E2C" w:rsidP="00463ECF">
      <w:pPr>
        <w:tabs>
          <w:tab w:val="right" w:pos="9639"/>
        </w:tabs>
        <w:outlineLvl w:val="0"/>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80B24">
        <w:rPr>
          <w:rFonts w:ascii="Book Antiqua" w:hAnsi="Book Antiqua" w:cs="Arial"/>
          <w:b/>
        </w:rPr>
        <w:t xml:space="preserve">   </w:t>
      </w:r>
      <w:proofErr w:type="gramEnd"/>
      <w:r w:rsidR="00480B24">
        <w:rPr>
          <w:rFonts w:ascii="Book Antiqua" w:hAnsi="Book Antiqua" w:cs="Arial"/>
          <w:b/>
        </w:rPr>
        <w:t xml:space="preserve">                    </w:t>
      </w:r>
      <w:r w:rsidR="00B3524D" w:rsidRPr="00480B24">
        <w:rPr>
          <w:rFonts w:ascii="Book Antiqua" w:hAnsi="Book Antiqua" w:cs="Arial"/>
          <w:b/>
        </w:rPr>
        <w:t>Appeal Number</w:t>
      </w:r>
      <w:r w:rsidR="00D53769" w:rsidRPr="00480B24">
        <w:rPr>
          <w:rFonts w:ascii="Book Antiqua" w:hAnsi="Book Antiqua" w:cs="Arial"/>
          <w:b/>
        </w:rPr>
        <w:t>:</w:t>
      </w:r>
      <w:r w:rsidR="00B3524D" w:rsidRPr="00480B24">
        <w:rPr>
          <w:rFonts w:ascii="Book Antiqua" w:hAnsi="Book Antiqua" w:cs="Arial"/>
          <w:b/>
        </w:rPr>
        <w:t xml:space="preserve"> </w:t>
      </w:r>
      <w:bookmarkStart w:id="0" w:name="_Hlk524440022"/>
      <w:r w:rsidR="00086CD3" w:rsidRPr="00480B24">
        <w:rPr>
          <w:rFonts w:ascii="Book Antiqua" w:hAnsi="Book Antiqua" w:cs="Arial"/>
          <w:b/>
          <w:caps/>
        </w:rPr>
        <w:t>EA/12995/2016</w:t>
      </w:r>
      <w:bookmarkEnd w:id="0"/>
    </w:p>
    <w:p w:rsidR="00C345E1" w:rsidRPr="00F5664C" w:rsidRDefault="00C345E1" w:rsidP="00C345E1">
      <w:pPr>
        <w:jc w:val="center"/>
        <w:rPr>
          <w:rFonts w:ascii="Book Antiqua" w:hAnsi="Book Antiqua" w:cs="Arial"/>
        </w:rPr>
      </w:pPr>
    </w:p>
    <w:p w:rsidR="00C345E1" w:rsidRPr="00F5664C" w:rsidRDefault="00C345E1" w:rsidP="00463ECF">
      <w:pPr>
        <w:jc w:val="center"/>
        <w:outlineLvl w:val="0"/>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62"/>
        <w:gridCol w:w="5046"/>
      </w:tblGrid>
      <w:tr w:rsidR="00D22636" w:rsidRPr="00F5664C" w:rsidTr="00772138">
        <w:tc>
          <w:tcPr>
            <w:tcW w:w="4962"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86CD3">
              <w:rPr>
                <w:rFonts w:ascii="Book Antiqua" w:hAnsi="Book Antiqua" w:cs="Arial"/>
                <w:b/>
              </w:rPr>
              <w:t xml:space="preserve">Field House </w:t>
            </w:r>
          </w:p>
        </w:tc>
        <w:tc>
          <w:tcPr>
            <w:tcW w:w="5046" w:type="dxa"/>
          </w:tcPr>
          <w:p w:rsidR="00D22636" w:rsidRPr="00F5664C" w:rsidRDefault="00EB2117" w:rsidP="00772138">
            <w:pPr>
              <w:jc w:val="both"/>
              <w:rPr>
                <w:rFonts w:ascii="Book Antiqua" w:hAnsi="Book Antiqua" w:cs="Arial"/>
                <w:b/>
              </w:rPr>
            </w:pPr>
            <w:r>
              <w:rPr>
                <w:rFonts w:ascii="Book Antiqua" w:hAnsi="Book Antiqua" w:cs="Arial"/>
                <w:b/>
              </w:rPr>
              <w:t xml:space="preserve">Oral </w:t>
            </w:r>
            <w:r w:rsidR="00463ECF">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772138">
        <w:tc>
          <w:tcPr>
            <w:tcW w:w="4962"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A716BB">
              <w:rPr>
                <w:rFonts w:ascii="Book Antiqua" w:hAnsi="Book Antiqua" w:cs="Arial"/>
                <w:b/>
              </w:rPr>
              <w:t xml:space="preserve">31 August 2018 </w:t>
            </w:r>
          </w:p>
        </w:tc>
        <w:tc>
          <w:tcPr>
            <w:tcW w:w="5046" w:type="dxa"/>
          </w:tcPr>
          <w:p w:rsidR="00D22636" w:rsidRPr="00F5664C" w:rsidRDefault="00772138" w:rsidP="004A1848">
            <w:pPr>
              <w:jc w:val="both"/>
              <w:rPr>
                <w:rFonts w:ascii="Book Antiqua" w:hAnsi="Book Antiqua" w:cs="Arial"/>
                <w:b/>
              </w:rPr>
            </w:pPr>
            <w:r>
              <w:rPr>
                <w:rFonts w:ascii="Book Antiqua" w:hAnsi="Book Antiqua" w:cs="Arial"/>
                <w:b/>
              </w:rPr>
              <w:t>On 12 September 2018</w:t>
            </w:r>
          </w:p>
        </w:tc>
      </w:tr>
      <w:tr w:rsidR="00D22636" w:rsidRPr="00F5664C" w:rsidTr="00772138">
        <w:tc>
          <w:tcPr>
            <w:tcW w:w="4962" w:type="dxa"/>
          </w:tcPr>
          <w:p w:rsidR="00D22636" w:rsidRPr="00F5664C" w:rsidRDefault="00D22636" w:rsidP="004A1848">
            <w:pPr>
              <w:jc w:val="both"/>
              <w:rPr>
                <w:rFonts w:ascii="Book Antiqua" w:hAnsi="Book Antiqua" w:cs="Arial"/>
                <w:b/>
              </w:rPr>
            </w:pPr>
          </w:p>
        </w:tc>
        <w:tc>
          <w:tcPr>
            <w:tcW w:w="5046"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463ECF">
      <w:pPr>
        <w:jc w:val="center"/>
        <w:outlineLvl w:val="0"/>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B7873" w:rsidP="00463ECF">
      <w:pPr>
        <w:jc w:val="center"/>
        <w:outlineLvl w:val="0"/>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F60D99">
        <w:rPr>
          <w:rFonts w:ascii="Book Antiqua" w:hAnsi="Book Antiqua" w:cs="Arial"/>
          <w:b/>
        </w:rPr>
        <w:t>JORDAN</w:t>
      </w:r>
    </w:p>
    <w:p w:rsidR="00B16F58" w:rsidRPr="00F5664C" w:rsidRDefault="00B16F58" w:rsidP="00A15234">
      <w:pPr>
        <w:jc w:val="center"/>
        <w:rPr>
          <w:rFonts w:ascii="Book Antiqua" w:hAnsi="Book Antiqua" w:cs="Arial"/>
          <w:b/>
        </w:rPr>
      </w:pPr>
    </w:p>
    <w:p w:rsidR="00A845DC" w:rsidRPr="00F5664C" w:rsidRDefault="00A845DC" w:rsidP="00463ECF">
      <w:pPr>
        <w:jc w:val="center"/>
        <w:outlineLvl w:val="0"/>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086CD3" w:rsidP="00463ECF">
      <w:pPr>
        <w:jc w:val="center"/>
        <w:outlineLvl w:val="0"/>
        <w:rPr>
          <w:rFonts w:ascii="Book Antiqua" w:hAnsi="Book Antiqua" w:cs="Arial"/>
          <w:b/>
          <w:caps/>
        </w:rPr>
      </w:pPr>
      <w:r w:rsidRPr="00086CD3">
        <w:rPr>
          <w:rFonts w:ascii="Book Antiqua" w:hAnsi="Book Antiqua" w:cs="Arial"/>
          <w:b/>
          <w:caps/>
        </w:rPr>
        <w:t>Aga Mohammed Abdul</w:t>
      </w:r>
      <w:r>
        <w:rPr>
          <w:rFonts w:ascii="Book Antiqua" w:hAnsi="Book Antiqua" w:cs="Arial"/>
          <w:b/>
          <w:caps/>
        </w:rPr>
        <w:t xml:space="preserve"> </w:t>
      </w:r>
      <w:r w:rsidRPr="00086CD3">
        <w:rPr>
          <w:rFonts w:ascii="Book Antiqua" w:hAnsi="Book Antiqua" w:cs="Arial"/>
          <w:b/>
          <w:caps/>
        </w:rPr>
        <w:t>Hafeez</w:t>
      </w:r>
    </w:p>
    <w:p w:rsidR="00463ECF" w:rsidRPr="00480B24" w:rsidRDefault="00463ECF" w:rsidP="00463ECF">
      <w:pPr>
        <w:jc w:val="center"/>
        <w:rPr>
          <w:rFonts w:ascii="Book Antiqua" w:hAnsi="Book Antiqua" w:cs="Arial"/>
          <w:caps/>
        </w:rPr>
      </w:pPr>
      <w:r w:rsidRPr="00480B24">
        <w:rPr>
          <w:rFonts w:ascii="Book Antiqua" w:hAnsi="Book Antiqua" w:cs="Arial"/>
          <w:caps/>
        </w:rPr>
        <w:t xml:space="preserve">(ANONYMITY DIRECTION </w:t>
      </w:r>
      <w:r w:rsidR="00086CD3" w:rsidRPr="00480B24">
        <w:rPr>
          <w:rFonts w:ascii="Book Antiqua" w:hAnsi="Book Antiqua" w:cs="Arial"/>
          <w:caps/>
        </w:rPr>
        <w:t>not made</w:t>
      </w:r>
      <w:r w:rsidRPr="00480B24">
        <w:rPr>
          <w:rFonts w:ascii="Book Antiqua" w:hAnsi="Book Antiqua" w:cs="Arial"/>
          <w:caps/>
        </w:rPr>
        <w:t>)</w:t>
      </w:r>
    </w:p>
    <w:p w:rsidR="00704B61" w:rsidRPr="00F5664C" w:rsidRDefault="00704B61" w:rsidP="00463ECF">
      <w:pPr>
        <w:jc w:val="right"/>
        <w:outlineLvl w:val="0"/>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480B24" w:rsidRPr="00F5664C" w:rsidRDefault="00480B24"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463ECF">
      <w:pPr>
        <w:jc w:val="right"/>
        <w:outlineLvl w:val="0"/>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463ECF">
      <w:pPr>
        <w:outlineLvl w:val="0"/>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463ECF">
      <w:pPr>
        <w:tabs>
          <w:tab w:val="left" w:pos="2520"/>
        </w:tabs>
        <w:outlineLvl w:val="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716BB">
        <w:rPr>
          <w:rFonts w:ascii="Book Antiqua" w:hAnsi="Book Antiqua" w:cs="Arial"/>
        </w:rPr>
        <w:t xml:space="preserve">Mr H Shamsuzzoha, Legal Representative, Londonium Solicitors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716BB">
        <w:rPr>
          <w:rFonts w:ascii="Book Antiqua" w:hAnsi="Book Antiqua" w:cs="Arial"/>
        </w:rPr>
        <w:t xml:space="preserve">Mr T Melvin, Home Office Presenting Officer </w:t>
      </w:r>
    </w:p>
    <w:p w:rsidR="00DE7DB7" w:rsidRPr="00F5664C" w:rsidRDefault="00DE7DB7" w:rsidP="00402B9E">
      <w:pPr>
        <w:tabs>
          <w:tab w:val="left" w:pos="2520"/>
        </w:tabs>
        <w:jc w:val="center"/>
        <w:rPr>
          <w:rFonts w:ascii="Book Antiqua" w:hAnsi="Book Antiqua" w:cs="Arial"/>
        </w:rPr>
      </w:pPr>
    </w:p>
    <w:p w:rsidR="00DE7DB7" w:rsidRDefault="00463ECF" w:rsidP="00463ECF">
      <w:pPr>
        <w:tabs>
          <w:tab w:val="left" w:pos="2520"/>
        </w:tabs>
        <w:jc w:val="center"/>
        <w:outlineLvl w:val="0"/>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463ECF" w:rsidRPr="00F5664C" w:rsidRDefault="00463ECF" w:rsidP="00402B9E">
      <w:pPr>
        <w:tabs>
          <w:tab w:val="left" w:pos="2520"/>
        </w:tabs>
        <w:jc w:val="center"/>
        <w:rPr>
          <w:rFonts w:ascii="Book Antiqua" w:hAnsi="Book Antiqua" w:cs="Arial"/>
        </w:rPr>
      </w:pPr>
    </w:p>
    <w:p w:rsidR="0057609C" w:rsidRDefault="00A716BB" w:rsidP="0057609C">
      <w:pPr>
        <w:numPr>
          <w:ilvl w:val="0"/>
          <w:numId w:val="3"/>
        </w:numPr>
        <w:spacing w:before="240"/>
        <w:jc w:val="both"/>
        <w:rPr>
          <w:rFonts w:ascii="Book Antiqua" w:hAnsi="Book Antiqua" w:cs="Arial"/>
        </w:rPr>
      </w:pPr>
      <w:r>
        <w:rPr>
          <w:rFonts w:ascii="Book Antiqua" w:hAnsi="Book Antiqua" w:cs="Arial"/>
        </w:rPr>
        <w:t xml:space="preserve">This is the appeal of Mr Aga Hafeez against the decision of First-tier Tribunal Judge O’Malley who after a hearing on 7 March 2018 dismissed the appellant’s appeal against the decision of the respondent to issue a card acknowledging the appellant’s lawful presence in the United Kingdom under the EEA Regulations 2006.  At the hearing the appellant did not attend nor was he represented.  There was and is no excuse for that having occurred.  The representatives had written the day before to say that the appellant had been involved in an accident.  That letter was sent by fax to the Tribunal at 17:17 hours after the normal business of the Tribunal had ended on 6 March 2018 the day before the hearing.  It was an application for an adjournment.  No response understandably was made to that application by the time the matter arrived before the judge on the following day.  Indeed, no </w:t>
      </w:r>
      <w:r w:rsidR="00105F77">
        <w:rPr>
          <w:rFonts w:ascii="Book Antiqua" w:hAnsi="Book Antiqua" w:cs="Arial"/>
        </w:rPr>
        <w:t>respon</w:t>
      </w:r>
      <w:bookmarkStart w:id="1" w:name="_GoBack"/>
      <w:bookmarkEnd w:id="1"/>
      <w:r w:rsidR="00105F77">
        <w:rPr>
          <w:rFonts w:ascii="Book Antiqua" w:hAnsi="Book Antiqua" w:cs="Arial"/>
        </w:rPr>
        <w:t xml:space="preserve">se to the </w:t>
      </w:r>
      <w:r>
        <w:rPr>
          <w:rFonts w:ascii="Book Antiqua" w:hAnsi="Book Antiqua" w:cs="Arial"/>
        </w:rPr>
        <w:t xml:space="preserve">application could reasonably </w:t>
      </w:r>
      <w:r>
        <w:rPr>
          <w:rFonts w:ascii="Book Antiqua" w:hAnsi="Book Antiqua" w:cs="Arial"/>
        </w:rPr>
        <w:lastRenderedPageBreak/>
        <w:t xml:space="preserve">have been made, bearing in mind the lateness of the delivery of that application.  Consequently, the application for an adjournment had </w:t>
      </w:r>
      <w:r w:rsidR="005A2E39">
        <w:rPr>
          <w:rFonts w:ascii="Book Antiqua" w:hAnsi="Book Antiqua" w:cs="Arial"/>
        </w:rPr>
        <w:t>not</w:t>
      </w:r>
      <w:r>
        <w:rPr>
          <w:rFonts w:ascii="Book Antiqua" w:hAnsi="Book Antiqua" w:cs="Arial"/>
        </w:rPr>
        <w:t xml:space="preserve"> been permitted, therefore there was no professional or other reason justifying the appellant’s representatives from not attending the hearing on that day.  Had they done so they could have explained to the judge what the situation was and they could have provided a copy to the judge of the medical report upon which the appellant relied.</w:t>
      </w:r>
    </w:p>
    <w:p w:rsidR="00A716BB" w:rsidRDefault="00A716BB" w:rsidP="0057609C">
      <w:pPr>
        <w:numPr>
          <w:ilvl w:val="0"/>
          <w:numId w:val="3"/>
        </w:numPr>
        <w:spacing w:before="240"/>
        <w:jc w:val="both"/>
        <w:rPr>
          <w:rFonts w:ascii="Book Antiqua" w:hAnsi="Book Antiqua" w:cs="Arial"/>
        </w:rPr>
      </w:pPr>
      <w:r>
        <w:rPr>
          <w:rFonts w:ascii="Book Antiqua" w:hAnsi="Book Antiqua" w:cs="Arial"/>
        </w:rPr>
        <w:t xml:space="preserve">As it was, the judge did not know of the faxed letter.  I find that it was not before him and could not reasonably have been put before him by 10 o’clock or thereabouts, and consequently he had no inkling at </w:t>
      </w:r>
      <w:proofErr w:type="gramStart"/>
      <w:r>
        <w:rPr>
          <w:rFonts w:ascii="Book Antiqua" w:hAnsi="Book Antiqua" w:cs="Arial"/>
        </w:rPr>
        <w:t>all of</w:t>
      </w:r>
      <w:proofErr w:type="gramEnd"/>
      <w:r>
        <w:rPr>
          <w:rFonts w:ascii="Book Antiqua" w:hAnsi="Book Antiqua" w:cs="Arial"/>
        </w:rPr>
        <w:t xml:space="preserve"> the medical evidence.  </w:t>
      </w:r>
    </w:p>
    <w:p w:rsidR="00A716BB" w:rsidRDefault="005A2E39" w:rsidP="0057609C">
      <w:pPr>
        <w:numPr>
          <w:ilvl w:val="0"/>
          <w:numId w:val="3"/>
        </w:numPr>
        <w:spacing w:before="240"/>
        <w:jc w:val="both"/>
        <w:rPr>
          <w:rFonts w:ascii="Book Antiqua" w:hAnsi="Book Antiqua" w:cs="Arial"/>
        </w:rPr>
      </w:pPr>
      <w:r>
        <w:rPr>
          <w:rFonts w:ascii="Book Antiqua" w:hAnsi="Book Antiqua" w:cs="Arial"/>
        </w:rPr>
        <w:t>That</w:t>
      </w:r>
      <w:r w:rsidR="00A716BB">
        <w:rPr>
          <w:rFonts w:ascii="Book Antiqua" w:hAnsi="Book Antiqua" w:cs="Arial"/>
        </w:rPr>
        <w:t xml:space="preserve"> is not however the only dereliction of duty on the part of the appellant’s solicitors.  They had submitted a bundle in breach of directions and that bundle had apparently been sent on </w:t>
      </w:r>
      <w:r w:rsidR="009E6E90">
        <w:rPr>
          <w:rFonts w:ascii="Book Antiqua" w:hAnsi="Book Antiqua" w:cs="Arial"/>
        </w:rPr>
        <w:t>5 March, two days before the hearing.  That too was well-short of any reasonable length of time by which the Tribunal could have processed that application, or indeed by which the bundle could have been placed before the judge.  It requires at least a few days for a bundle to b</w:t>
      </w:r>
      <w:r>
        <w:rPr>
          <w:rFonts w:ascii="Book Antiqua" w:hAnsi="Book Antiqua" w:cs="Arial"/>
        </w:rPr>
        <w:t xml:space="preserve">e </w:t>
      </w:r>
      <w:r w:rsidR="009E6E90">
        <w:rPr>
          <w:rFonts w:ascii="Book Antiqua" w:hAnsi="Book Antiqua" w:cs="Arial"/>
        </w:rPr>
        <w:t xml:space="preserve">joined up with the relevant file.  That was in breach of an order for directions which </w:t>
      </w:r>
      <w:r>
        <w:rPr>
          <w:rFonts w:ascii="Book Antiqua" w:hAnsi="Book Antiqua" w:cs="Arial"/>
        </w:rPr>
        <w:t>had</w:t>
      </w:r>
      <w:r w:rsidR="009E6E90">
        <w:rPr>
          <w:rFonts w:ascii="Book Antiqua" w:hAnsi="Book Antiqua" w:cs="Arial"/>
        </w:rPr>
        <w:t xml:space="preserve"> been made months before where bundles were to be submitted, but that was not complied with.  </w:t>
      </w:r>
      <w:proofErr w:type="gramStart"/>
      <w:r>
        <w:rPr>
          <w:rFonts w:ascii="Book Antiqua" w:hAnsi="Book Antiqua" w:cs="Arial"/>
        </w:rPr>
        <w:t>Consequently</w:t>
      </w:r>
      <w:proofErr w:type="gramEnd"/>
      <w:r w:rsidR="009E6E90">
        <w:rPr>
          <w:rFonts w:ascii="Book Antiqua" w:hAnsi="Book Antiqua" w:cs="Arial"/>
        </w:rPr>
        <w:t xml:space="preserve"> the late </w:t>
      </w:r>
      <w:r>
        <w:rPr>
          <w:rFonts w:ascii="Book Antiqua" w:hAnsi="Book Antiqua" w:cs="Arial"/>
        </w:rPr>
        <w:t>filing</w:t>
      </w:r>
      <w:r w:rsidR="009E6E90">
        <w:rPr>
          <w:rFonts w:ascii="Book Antiqua" w:hAnsi="Book Antiqua" w:cs="Arial"/>
        </w:rPr>
        <w:t xml:space="preserve"> </w:t>
      </w:r>
      <w:r>
        <w:rPr>
          <w:rFonts w:ascii="Book Antiqua" w:hAnsi="Book Antiqua" w:cs="Arial"/>
        </w:rPr>
        <w:t>of</w:t>
      </w:r>
      <w:r w:rsidR="009E6E90">
        <w:rPr>
          <w:rFonts w:ascii="Book Antiqua" w:hAnsi="Book Antiqua" w:cs="Arial"/>
        </w:rPr>
        <w:t xml:space="preserve"> this bundle which did not therefore reach the judge in time for his consideration was entirely as a result of the fault of the appellant’s solicitors.  There is no excuse for that </w:t>
      </w:r>
      <w:r>
        <w:rPr>
          <w:rFonts w:ascii="Book Antiqua" w:hAnsi="Book Antiqua" w:cs="Arial"/>
        </w:rPr>
        <w:t>situation</w:t>
      </w:r>
      <w:r w:rsidR="009E6E90">
        <w:rPr>
          <w:rFonts w:ascii="Book Antiqua" w:hAnsi="Book Antiqua" w:cs="Arial"/>
        </w:rPr>
        <w:t xml:space="preserve"> to have arisen.</w:t>
      </w:r>
    </w:p>
    <w:p w:rsidR="00105F77" w:rsidRDefault="009E6E90" w:rsidP="0057609C">
      <w:pPr>
        <w:numPr>
          <w:ilvl w:val="0"/>
          <w:numId w:val="3"/>
        </w:numPr>
        <w:spacing w:before="240"/>
        <w:jc w:val="both"/>
        <w:rPr>
          <w:rFonts w:ascii="Book Antiqua" w:hAnsi="Book Antiqua" w:cs="Arial"/>
        </w:rPr>
      </w:pPr>
      <w:r w:rsidRPr="006B48BF">
        <w:rPr>
          <w:rFonts w:ascii="Book Antiqua" w:hAnsi="Book Antiqua" w:cs="Arial"/>
        </w:rPr>
        <w:t xml:space="preserve">In those circumstances it would have been entirely appropriate for me to have said that there was no error of law on the part of the judge.  He did not know the existence of relevant material, he had not been provided with that relevant material in a proper, timely fashion, and she made her decision </w:t>
      </w:r>
      <w:proofErr w:type="gramStart"/>
      <w:r w:rsidRPr="006B48BF">
        <w:rPr>
          <w:rFonts w:ascii="Book Antiqua" w:hAnsi="Book Antiqua" w:cs="Arial"/>
        </w:rPr>
        <w:t>on the basis of</w:t>
      </w:r>
      <w:proofErr w:type="gramEnd"/>
      <w:r w:rsidRPr="006B48BF">
        <w:rPr>
          <w:rFonts w:ascii="Book Antiqua" w:hAnsi="Book Antiqua" w:cs="Arial"/>
        </w:rPr>
        <w:t xml:space="preserve"> its absence.  </w:t>
      </w:r>
    </w:p>
    <w:p w:rsidR="006B48BF" w:rsidRDefault="009E6E90" w:rsidP="0057609C">
      <w:pPr>
        <w:numPr>
          <w:ilvl w:val="0"/>
          <w:numId w:val="3"/>
        </w:numPr>
        <w:spacing w:before="240"/>
        <w:jc w:val="both"/>
        <w:rPr>
          <w:rFonts w:ascii="Book Antiqua" w:hAnsi="Book Antiqua" w:cs="Arial"/>
        </w:rPr>
      </w:pPr>
      <w:r w:rsidRPr="006B48BF">
        <w:rPr>
          <w:rFonts w:ascii="Book Antiqua" w:hAnsi="Book Antiqua" w:cs="Arial"/>
        </w:rPr>
        <w:t xml:space="preserve">However, there </w:t>
      </w:r>
      <w:r w:rsidR="005A2E39" w:rsidRPr="006B48BF">
        <w:rPr>
          <w:rFonts w:ascii="Book Antiqua" w:hAnsi="Book Antiqua" w:cs="Arial"/>
        </w:rPr>
        <w:t>is of</w:t>
      </w:r>
      <w:r w:rsidRPr="006B48BF">
        <w:rPr>
          <w:rFonts w:ascii="Book Antiqua" w:hAnsi="Book Antiqua" w:cs="Arial"/>
        </w:rPr>
        <w:t xml:space="preserve"> course an overriding duty to deal with matters fairly, and in this </w:t>
      </w:r>
      <w:proofErr w:type="gramStart"/>
      <w:r w:rsidRPr="006B48BF">
        <w:rPr>
          <w:rFonts w:ascii="Book Antiqua" w:hAnsi="Book Antiqua" w:cs="Arial"/>
        </w:rPr>
        <w:t>case</w:t>
      </w:r>
      <w:proofErr w:type="gramEnd"/>
      <w:r w:rsidRPr="006B48BF">
        <w:rPr>
          <w:rFonts w:ascii="Book Antiqua" w:hAnsi="Book Antiqua" w:cs="Arial"/>
        </w:rPr>
        <w:t xml:space="preserve"> it appears that the appellant had suffered an incident (I do not know what sort of incident) on 28 February 2018, that is just over a week before the relevant hearing date.  He had suffered </w:t>
      </w:r>
      <w:r w:rsidR="005A2E39" w:rsidRPr="006B48BF">
        <w:rPr>
          <w:rFonts w:ascii="Book Antiqua" w:hAnsi="Book Antiqua" w:cs="Arial"/>
        </w:rPr>
        <w:t>multiple</w:t>
      </w:r>
      <w:r w:rsidRPr="006B48BF">
        <w:rPr>
          <w:rFonts w:ascii="Book Antiqua" w:hAnsi="Book Antiqua" w:cs="Arial"/>
        </w:rPr>
        <w:t xml:space="preserve"> points of injuries around his upper body resulting in a temporary loss of consciousness.  He had been treated at hospital but was later discharged.  He had suffered some damage to nerve muscles on</w:t>
      </w:r>
      <w:r w:rsidR="00105F77">
        <w:rPr>
          <w:rFonts w:ascii="Book Antiqua" w:hAnsi="Book Antiqua" w:cs="Arial"/>
        </w:rPr>
        <w:t xml:space="preserve"> the</w:t>
      </w:r>
      <w:r w:rsidRPr="006B48BF">
        <w:rPr>
          <w:rFonts w:ascii="Book Antiqua" w:hAnsi="Book Antiqua" w:cs="Arial"/>
        </w:rPr>
        <w:t xml:space="preserve"> left side of </w:t>
      </w:r>
      <w:r w:rsidR="00105F77">
        <w:rPr>
          <w:rFonts w:ascii="Book Antiqua" w:hAnsi="Book Antiqua" w:cs="Arial"/>
        </w:rPr>
        <w:t xml:space="preserve">his </w:t>
      </w:r>
      <w:r w:rsidRPr="006B48BF">
        <w:rPr>
          <w:rFonts w:ascii="Book Antiqua" w:hAnsi="Book Antiqua" w:cs="Arial"/>
        </w:rPr>
        <w:t>neck which prevented lateral movement of his left hand which was in a plaster</w:t>
      </w:r>
      <w:r w:rsidR="00105F77">
        <w:rPr>
          <w:rFonts w:ascii="Book Antiqua" w:hAnsi="Book Antiqua" w:cs="Arial"/>
        </w:rPr>
        <w:t>-cast.  The pain was</w:t>
      </w:r>
      <w:r w:rsidRPr="006B48BF">
        <w:rPr>
          <w:rFonts w:ascii="Book Antiqua" w:hAnsi="Book Antiqua" w:cs="Arial"/>
        </w:rPr>
        <w:t xml:space="preserve"> exacerbated by downward pressure on his left hand.  As a result of the diagnosis which was made by the doctor, she</w:t>
      </w:r>
      <w:r w:rsidR="00105F77">
        <w:rPr>
          <w:rFonts w:ascii="Book Antiqua" w:hAnsi="Book Antiqua" w:cs="Arial"/>
        </w:rPr>
        <w:t xml:space="preserve"> </w:t>
      </w:r>
      <w:r w:rsidRPr="006B48BF">
        <w:rPr>
          <w:rFonts w:ascii="Book Antiqua" w:hAnsi="Book Antiqua" w:cs="Arial"/>
        </w:rPr>
        <w:t>advised full rest and care and some regimented movements for the remainder of the course of medication which was to last some four weeks</w:t>
      </w:r>
      <w:r w:rsidR="00105F77">
        <w:rPr>
          <w:rFonts w:ascii="Book Antiqua" w:hAnsi="Book Antiqua" w:cs="Arial"/>
        </w:rPr>
        <w:t>.  H</w:t>
      </w:r>
      <w:r w:rsidRPr="006B48BF">
        <w:rPr>
          <w:rFonts w:ascii="Book Antiqua" w:hAnsi="Book Antiqua" w:cs="Arial"/>
        </w:rPr>
        <w:t xml:space="preserve">e was likely to suffer moderate to significant </w:t>
      </w:r>
      <w:r w:rsidR="005A2E39" w:rsidRPr="006B48BF">
        <w:rPr>
          <w:rFonts w:ascii="Book Antiqua" w:hAnsi="Book Antiqua" w:cs="Arial"/>
        </w:rPr>
        <w:t>discomfort</w:t>
      </w:r>
      <w:r w:rsidRPr="006B48BF">
        <w:rPr>
          <w:rFonts w:ascii="Book Antiqua" w:hAnsi="Book Antiqua" w:cs="Arial"/>
        </w:rPr>
        <w:t xml:space="preserve"> and pain whilst moving and it was her</w:t>
      </w:r>
      <w:r w:rsidR="00105F77">
        <w:rPr>
          <w:rFonts w:ascii="Book Antiqua" w:hAnsi="Book Antiqua" w:cs="Arial"/>
        </w:rPr>
        <w:t xml:space="preserve"> considered assessment that he wa</w:t>
      </w:r>
      <w:r w:rsidRPr="006B48BF">
        <w:rPr>
          <w:rFonts w:ascii="Book Antiqua" w:hAnsi="Book Antiqua" w:cs="Arial"/>
        </w:rPr>
        <w:t>s not currently medically fit to participate in a courtroom setting.</w:t>
      </w:r>
      <w:r w:rsidR="006B48BF" w:rsidRPr="006B48BF">
        <w:rPr>
          <w:rFonts w:ascii="Book Antiqua" w:hAnsi="Book Antiqua" w:cs="Arial"/>
        </w:rPr>
        <w:t xml:space="preserve">  </w:t>
      </w:r>
      <w:r w:rsidRPr="006B48BF">
        <w:rPr>
          <w:rFonts w:ascii="Book Antiqua" w:hAnsi="Book Antiqua" w:cs="Arial"/>
        </w:rPr>
        <w:t>Had the judge received a copy of that medical evidence I am satisfied that he would have been required as a matter of fairness to adjourn the hearing</w:t>
      </w:r>
      <w:r w:rsidR="005A2E39" w:rsidRPr="006B48BF">
        <w:rPr>
          <w:rFonts w:ascii="Book Antiqua" w:hAnsi="Book Antiqua" w:cs="Arial"/>
        </w:rPr>
        <w:t>.  I am bound</w:t>
      </w:r>
      <w:r w:rsidRPr="006B48BF">
        <w:rPr>
          <w:rFonts w:ascii="Book Antiqua" w:hAnsi="Book Antiqua" w:cs="Arial"/>
        </w:rPr>
        <w:t xml:space="preserve"> to say that</w:t>
      </w:r>
      <w:r w:rsidR="00105F77">
        <w:rPr>
          <w:rFonts w:ascii="Book Antiqua" w:hAnsi="Book Antiqua" w:cs="Arial"/>
        </w:rPr>
        <w:t>,</w:t>
      </w:r>
      <w:r w:rsidRPr="006B48BF">
        <w:rPr>
          <w:rFonts w:ascii="Book Antiqua" w:hAnsi="Book Antiqua" w:cs="Arial"/>
        </w:rPr>
        <w:t xml:space="preserve"> </w:t>
      </w:r>
      <w:proofErr w:type="gramStart"/>
      <w:r w:rsidRPr="006B48BF">
        <w:rPr>
          <w:rFonts w:ascii="Book Antiqua" w:hAnsi="Book Antiqua" w:cs="Arial"/>
        </w:rPr>
        <w:t>in the course of</w:t>
      </w:r>
      <w:proofErr w:type="gramEnd"/>
      <w:r w:rsidRPr="006B48BF">
        <w:rPr>
          <w:rFonts w:ascii="Book Antiqua" w:hAnsi="Book Antiqua" w:cs="Arial"/>
        </w:rPr>
        <w:t xml:space="preserve"> the hearing today</w:t>
      </w:r>
      <w:r w:rsidR="00105F77">
        <w:rPr>
          <w:rFonts w:ascii="Book Antiqua" w:hAnsi="Book Antiqua" w:cs="Arial"/>
        </w:rPr>
        <w:t>,</w:t>
      </w:r>
      <w:r w:rsidRPr="006B48BF">
        <w:rPr>
          <w:rFonts w:ascii="Book Antiqua" w:hAnsi="Book Antiqua" w:cs="Arial"/>
        </w:rPr>
        <w:t xml:space="preserve"> Mr </w:t>
      </w:r>
      <w:proofErr w:type="spellStart"/>
      <w:r w:rsidRPr="006B48BF">
        <w:rPr>
          <w:rFonts w:ascii="Book Antiqua" w:hAnsi="Book Antiqua" w:cs="Arial"/>
        </w:rPr>
        <w:t>Shamsuzzoha</w:t>
      </w:r>
      <w:proofErr w:type="spellEnd"/>
      <w:r w:rsidRPr="006B48BF">
        <w:rPr>
          <w:rFonts w:ascii="Book Antiqua" w:hAnsi="Book Antiqua" w:cs="Arial"/>
        </w:rPr>
        <w:t xml:space="preserve"> who appeared on behalf of the appellant was not able to locate a copy either of the covering </w:t>
      </w:r>
      <w:r w:rsidR="00105F77">
        <w:rPr>
          <w:rFonts w:ascii="Book Antiqua" w:hAnsi="Book Antiqua" w:cs="Arial"/>
        </w:rPr>
        <w:t xml:space="preserve">letter or of the medical report.  </w:t>
      </w:r>
      <w:r w:rsidRPr="006B48BF">
        <w:rPr>
          <w:rFonts w:ascii="Book Antiqua" w:hAnsi="Book Antiqua" w:cs="Arial"/>
        </w:rPr>
        <w:t xml:space="preserve">I found such a copy in the depths of the file and was able to provide the parties with a copy of it.  Mr Melvin </w:t>
      </w:r>
      <w:r w:rsidR="004B77EC" w:rsidRPr="006B48BF">
        <w:rPr>
          <w:rFonts w:ascii="Book Antiqua" w:hAnsi="Book Antiqua" w:cs="Arial"/>
        </w:rPr>
        <w:t xml:space="preserve">had not received such a copy and indeed he had not received a copy of the bundle </w:t>
      </w:r>
      <w:r w:rsidR="004B77EC" w:rsidRPr="006B48BF">
        <w:rPr>
          <w:rFonts w:ascii="Book Antiqua" w:hAnsi="Book Antiqua" w:cs="Arial"/>
        </w:rPr>
        <w:lastRenderedPageBreak/>
        <w:t xml:space="preserve">either which is the subject of that appeal.  I have no doubt that that was </w:t>
      </w:r>
      <w:proofErr w:type="gramStart"/>
      <w:r w:rsidR="004B77EC" w:rsidRPr="006B48BF">
        <w:rPr>
          <w:rFonts w:ascii="Book Antiqua" w:hAnsi="Book Antiqua" w:cs="Arial"/>
        </w:rPr>
        <w:t>as a result of</w:t>
      </w:r>
      <w:proofErr w:type="gramEnd"/>
      <w:r w:rsidR="004B77EC" w:rsidRPr="006B48BF">
        <w:rPr>
          <w:rFonts w:ascii="Book Antiqua" w:hAnsi="Book Antiqua" w:cs="Arial"/>
        </w:rPr>
        <w:t xml:space="preserve"> the failure on behalf of Londonium Solicitors.  </w:t>
      </w:r>
    </w:p>
    <w:p w:rsidR="006B48BF" w:rsidRPr="006B48BF" w:rsidRDefault="006B48BF" w:rsidP="006B48BF">
      <w:pPr>
        <w:spacing w:before="240"/>
        <w:jc w:val="both"/>
        <w:rPr>
          <w:rFonts w:ascii="Book Antiqua" w:hAnsi="Book Antiqua" w:cs="Arial"/>
          <w:u w:val="single"/>
        </w:rPr>
      </w:pPr>
      <w:r w:rsidRPr="006B48BF">
        <w:rPr>
          <w:rFonts w:ascii="Book Antiqua" w:hAnsi="Book Antiqua" w:cs="Arial"/>
          <w:u w:val="single"/>
        </w:rPr>
        <w:t xml:space="preserve">NOTICE OF DECISION </w:t>
      </w:r>
    </w:p>
    <w:p w:rsidR="006B48BF" w:rsidRDefault="004B77EC" w:rsidP="0057609C">
      <w:pPr>
        <w:numPr>
          <w:ilvl w:val="0"/>
          <w:numId w:val="3"/>
        </w:numPr>
        <w:spacing w:before="240"/>
        <w:jc w:val="both"/>
        <w:rPr>
          <w:rFonts w:ascii="Book Antiqua" w:hAnsi="Book Antiqua" w:cs="Arial"/>
        </w:rPr>
      </w:pPr>
      <w:r w:rsidRPr="006B48BF">
        <w:rPr>
          <w:rFonts w:ascii="Book Antiqua" w:hAnsi="Book Antiqua" w:cs="Arial"/>
        </w:rPr>
        <w:t xml:space="preserve">However, in the </w:t>
      </w:r>
      <w:r w:rsidR="005A2E39" w:rsidRPr="006B48BF">
        <w:rPr>
          <w:rFonts w:ascii="Book Antiqua" w:hAnsi="Book Antiqua" w:cs="Arial"/>
        </w:rPr>
        <w:t>interests</w:t>
      </w:r>
      <w:r w:rsidRPr="006B48BF">
        <w:rPr>
          <w:rFonts w:ascii="Book Antiqua" w:hAnsi="Book Antiqua" w:cs="Arial"/>
        </w:rPr>
        <w:t xml:space="preserve"> of </w:t>
      </w:r>
      <w:r w:rsidR="005A2E39" w:rsidRPr="006B48BF">
        <w:rPr>
          <w:rFonts w:ascii="Book Antiqua" w:hAnsi="Book Antiqua" w:cs="Arial"/>
        </w:rPr>
        <w:t>justice</w:t>
      </w:r>
      <w:r w:rsidRPr="006B48BF">
        <w:rPr>
          <w:rFonts w:ascii="Book Antiqua" w:hAnsi="Book Antiqua" w:cs="Arial"/>
        </w:rPr>
        <w:t xml:space="preserve"> I </w:t>
      </w:r>
      <w:r w:rsidR="006556F4">
        <w:rPr>
          <w:rFonts w:ascii="Book Antiqua" w:hAnsi="Book Antiqua" w:cs="Arial"/>
        </w:rPr>
        <w:t xml:space="preserve">set aside the First-tier Tribunal decision and direct that the re-making of the decision be conducted by the First-tier Tribunal.  </w:t>
      </w:r>
      <w:r w:rsidRPr="006B48BF">
        <w:rPr>
          <w:rFonts w:ascii="Book Antiqua" w:hAnsi="Book Antiqua" w:cs="Arial"/>
        </w:rPr>
        <w:t xml:space="preserve">I set the matter down for hearing at Taylor House.  If that proper hearing is to be conducted </w:t>
      </w:r>
      <w:r w:rsidR="005A2E39" w:rsidRPr="006B48BF">
        <w:rPr>
          <w:rFonts w:ascii="Book Antiqua" w:hAnsi="Book Antiqua" w:cs="Arial"/>
        </w:rPr>
        <w:t>fairly</w:t>
      </w:r>
      <w:r w:rsidRPr="006B48BF">
        <w:rPr>
          <w:rFonts w:ascii="Book Antiqua" w:hAnsi="Book Antiqua" w:cs="Arial"/>
        </w:rPr>
        <w:t xml:space="preserve"> then the appellant’s solicitors must take heed of what I have said in relation to their prior conduct.  They </w:t>
      </w:r>
      <w:r w:rsidR="005A2E39" w:rsidRPr="006B48BF">
        <w:rPr>
          <w:rFonts w:ascii="Book Antiqua" w:hAnsi="Book Antiqua" w:cs="Arial"/>
        </w:rPr>
        <w:t>must</w:t>
      </w:r>
      <w:r w:rsidRPr="006B48BF">
        <w:rPr>
          <w:rFonts w:ascii="Book Antiqua" w:hAnsi="Book Antiqua" w:cs="Arial"/>
        </w:rPr>
        <w:t xml:space="preserve"> be ready</w:t>
      </w:r>
      <w:r w:rsidR="006556F4">
        <w:rPr>
          <w:rFonts w:ascii="Book Antiqua" w:hAnsi="Book Antiqua" w:cs="Arial"/>
        </w:rPr>
        <w:t>. T</w:t>
      </w:r>
      <w:r w:rsidRPr="006B48BF">
        <w:rPr>
          <w:rFonts w:ascii="Book Antiqua" w:hAnsi="Book Antiqua" w:cs="Arial"/>
        </w:rPr>
        <w:t xml:space="preserve">hey must have served a bundle in time and they must attend, even if it is to make the point that the appellant is unfit to attend a hearing.  </w:t>
      </w:r>
    </w:p>
    <w:p w:rsidR="00463ECF" w:rsidRPr="00463ECF" w:rsidRDefault="00463ECF" w:rsidP="00463ECF">
      <w:pPr>
        <w:jc w:val="both"/>
        <w:rPr>
          <w:rFonts w:ascii="Book Antiqua" w:hAnsi="Book Antiqua" w:cs="Arial"/>
        </w:rPr>
      </w:pPr>
    </w:p>
    <w:p w:rsidR="000369F5" w:rsidRDefault="000369F5" w:rsidP="000369F5">
      <w:pPr>
        <w:tabs>
          <w:tab w:val="left" w:pos="2520"/>
        </w:tabs>
        <w:jc w:val="both"/>
        <w:rPr>
          <w:rFonts w:ascii="Book Antiqua" w:hAnsi="Book Antiqua" w:cs="Arial"/>
        </w:rPr>
      </w:pPr>
    </w:p>
    <w:p w:rsidR="00463ECF" w:rsidRDefault="00463ECF" w:rsidP="000369F5">
      <w:pPr>
        <w:tabs>
          <w:tab w:val="left" w:pos="2520"/>
        </w:tabs>
        <w:jc w:val="both"/>
        <w:rPr>
          <w:rFonts w:ascii="Book Antiqua" w:hAnsi="Book Antiqua" w:cs="Arial"/>
        </w:rPr>
      </w:pPr>
    </w:p>
    <w:p w:rsidR="00463ECF" w:rsidRPr="00F5664C" w:rsidRDefault="00463ECF"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463ECF" w:rsidRDefault="007B1F49" w:rsidP="007B1F49">
      <w:pPr>
        <w:tabs>
          <w:tab w:val="left" w:pos="2520"/>
        </w:tabs>
        <w:jc w:val="right"/>
        <w:rPr>
          <w:rFonts w:ascii="Book Antiqua" w:hAnsi="Book Antiqua" w:cs="Arial"/>
        </w:rPr>
      </w:pPr>
      <w:r>
        <w:rPr>
          <w:rFonts w:ascii="Book Antiqua" w:hAnsi="Book Antiqua" w:cs="Arial"/>
        </w:rPr>
        <w:t>ANDREW JORDAN</w:t>
      </w:r>
    </w:p>
    <w:p w:rsidR="007B1F49" w:rsidRDefault="00EB2117" w:rsidP="007B1F49">
      <w:pPr>
        <w:tabs>
          <w:tab w:val="left" w:pos="2520"/>
        </w:tabs>
        <w:jc w:val="right"/>
        <w:rPr>
          <w:rFonts w:ascii="Book Antiqua" w:hAnsi="Book Antiqua" w:cs="Arial"/>
        </w:rPr>
      </w:pPr>
      <w:r>
        <w:rPr>
          <w:rFonts w:ascii="Book Antiqua" w:hAnsi="Book Antiqua" w:cs="Arial"/>
        </w:rPr>
        <w:t xml:space="preserve">DEPUTY </w:t>
      </w:r>
      <w:r w:rsidR="007B1F49">
        <w:rPr>
          <w:rFonts w:ascii="Book Antiqua" w:hAnsi="Book Antiqua" w:cs="Arial"/>
        </w:rPr>
        <w:t>JUDGE OF THE UPPER TRIBUNAL</w:t>
      </w:r>
    </w:p>
    <w:p w:rsidR="007B1F49" w:rsidRDefault="007B1F49" w:rsidP="007B1F49">
      <w:pPr>
        <w:tabs>
          <w:tab w:val="left" w:pos="2520"/>
        </w:tabs>
        <w:jc w:val="right"/>
        <w:rPr>
          <w:rFonts w:ascii="Book Antiqua" w:hAnsi="Book Antiqua" w:cs="Arial"/>
        </w:rPr>
      </w:pPr>
    </w:p>
    <w:p w:rsidR="007B1F49" w:rsidRDefault="001E6972" w:rsidP="007B1F49">
      <w:pPr>
        <w:tabs>
          <w:tab w:val="left" w:pos="2520"/>
        </w:tabs>
        <w:jc w:val="right"/>
        <w:rPr>
          <w:rFonts w:ascii="Book Antiqua" w:hAnsi="Book Antiqua" w:cs="Arial"/>
        </w:rPr>
      </w:pPr>
      <w:r>
        <w:rPr>
          <w:rFonts w:ascii="Book Antiqua" w:hAnsi="Book Antiqua" w:cs="Arial"/>
        </w:rPr>
        <w:t>31 August 2018</w:t>
      </w:r>
    </w:p>
    <w:p w:rsidR="00463ECF" w:rsidRDefault="00463ECF" w:rsidP="00463ECF">
      <w:pPr>
        <w:tabs>
          <w:tab w:val="left" w:pos="2520"/>
        </w:tabs>
        <w:rPr>
          <w:rFonts w:ascii="Book Antiqua" w:hAnsi="Book Antiqua" w:cs="Arial"/>
        </w:rPr>
      </w:pPr>
    </w:p>
    <w:sectPr w:rsidR="00463ECF" w:rsidSect="00480B24">
      <w:headerReference w:type="default" r:id="rId8"/>
      <w:footerReference w:type="default" r:id="rId9"/>
      <w:footerReference w:type="first" r:id="rId10"/>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3D7" w:rsidRDefault="003443D7">
      <w:r>
        <w:separator/>
      </w:r>
    </w:p>
  </w:endnote>
  <w:endnote w:type="continuationSeparator" w:id="0">
    <w:p w:rsidR="003443D7" w:rsidRDefault="0034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604707"/>
      <w:docPartObj>
        <w:docPartGallery w:val="Page Numbers (Bottom of Page)"/>
        <w:docPartUnique/>
      </w:docPartObj>
    </w:sdtPr>
    <w:sdtEndPr>
      <w:rPr>
        <w:rFonts w:ascii="Book Antiqua" w:hAnsi="Book Antiqua"/>
        <w:noProof/>
      </w:rPr>
    </w:sdtEndPr>
    <w:sdtContent>
      <w:p w:rsidR="00772138" w:rsidRPr="00480B24" w:rsidRDefault="00772138">
        <w:pPr>
          <w:pStyle w:val="Footer"/>
          <w:jc w:val="center"/>
          <w:rPr>
            <w:rFonts w:ascii="Book Antiqua" w:hAnsi="Book Antiqua"/>
          </w:rPr>
        </w:pPr>
        <w:r w:rsidRPr="00480B24">
          <w:rPr>
            <w:rFonts w:ascii="Book Antiqua" w:hAnsi="Book Antiqua"/>
          </w:rPr>
          <w:fldChar w:fldCharType="begin"/>
        </w:r>
        <w:r w:rsidRPr="00480B24">
          <w:rPr>
            <w:rFonts w:ascii="Book Antiqua" w:hAnsi="Book Antiqua"/>
          </w:rPr>
          <w:instrText xml:space="preserve"> PAGE   \* MERGEFORMAT </w:instrText>
        </w:r>
        <w:r w:rsidRPr="00480B24">
          <w:rPr>
            <w:rFonts w:ascii="Book Antiqua" w:hAnsi="Book Antiqua"/>
          </w:rPr>
          <w:fldChar w:fldCharType="separate"/>
        </w:r>
        <w:r w:rsidR="00AC5226">
          <w:rPr>
            <w:rFonts w:ascii="Book Antiqua" w:hAnsi="Book Antiqua"/>
            <w:noProof/>
          </w:rPr>
          <w:t>3</w:t>
        </w:r>
        <w:r w:rsidRPr="00480B24">
          <w:rPr>
            <w:rFonts w:ascii="Book Antiqua" w:hAnsi="Book Antiqua"/>
            <w:noProof/>
          </w:rPr>
          <w:fldChar w:fldCharType="end"/>
        </w:r>
      </w:p>
    </w:sdtContent>
  </w:sdt>
  <w:p w:rsidR="00772138" w:rsidRDefault="00772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138" w:rsidRPr="00480B24" w:rsidRDefault="00643C9F" w:rsidP="00643C9F">
    <w:pPr>
      <w:pStyle w:val="Footer"/>
      <w:jc w:val="center"/>
      <w:rPr>
        <w:rFonts w:ascii="Book Antiqua" w:hAnsi="Book Antiqua"/>
        <w:b/>
      </w:rPr>
    </w:pPr>
    <w:r w:rsidRPr="00480B24">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3D7" w:rsidRDefault="003443D7">
      <w:r>
        <w:separator/>
      </w:r>
    </w:p>
  </w:footnote>
  <w:footnote w:type="continuationSeparator" w:id="0">
    <w:p w:rsidR="003443D7" w:rsidRDefault="00344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138" w:rsidRDefault="00480B24" w:rsidP="00772138">
    <w:pPr>
      <w:pStyle w:val="Header"/>
      <w:jc w:val="right"/>
      <w:rPr>
        <w:rFonts w:ascii="Book Antiqua" w:hAnsi="Book Antiqua"/>
        <w:sz w:val="16"/>
        <w:szCs w:val="16"/>
      </w:rPr>
    </w:pPr>
    <w:r>
      <w:rPr>
        <w:rFonts w:ascii="Book Antiqua" w:hAnsi="Book Antiqua"/>
        <w:sz w:val="16"/>
        <w:szCs w:val="16"/>
      </w:rPr>
      <w:t xml:space="preserve">Appeal Number: </w:t>
    </w:r>
    <w:r w:rsidR="00772138" w:rsidRPr="00480B24">
      <w:rPr>
        <w:rFonts w:ascii="Book Antiqua" w:hAnsi="Book Antiqua"/>
        <w:sz w:val="16"/>
        <w:szCs w:val="16"/>
      </w:rPr>
      <w:t>EA/12995/2016</w:t>
    </w:r>
  </w:p>
  <w:p w:rsidR="00480B24" w:rsidRPr="00480B24" w:rsidRDefault="00480B24" w:rsidP="00772138">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E876AD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F515869"/>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0C84ADB"/>
    <w:multiLevelType w:val="multilevel"/>
    <w:tmpl w:val="B228471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F9"/>
    <w:rsid w:val="00000621"/>
    <w:rsid w:val="000036C2"/>
    <w:rsid w:val="000246B5"/>
    <w:rsid w:val="00033D3D"/>
    <w:rsid w:val="000369F5"/>
    <w:rsid w:val="00071A7E"/>
    <w:rsid w:val="000746C0"/>
    <w:rsid w:val="00074D1D"/>
    <w:rsid w:val="00086CD3"/>
    <w:rsid w:val="00092580"/>
    <w:rsid w:val="000D5D94"/>
    <w:rsid w:val="000F19E2"/>
    <w:rsid w:val="00105F77"/>
    <w:rsid w:val="001165A7"/>
    <w:rsid w:val="00151BB7"/>
    <w:rsid w:val="0016457F"/>
    <w:rsid w:val="00167D3A"/>
    <w:rsid w:val="001A1E2C"/>
    <w:rsid w:val="001E6972"/>
    <w:rsid w:val="001F2716"/>
    <w:rsid w:val="0020133A"/>
    <w:rsid w:val="00207617"/>
    <w:rsid w:val="00237104"/>
    <w:rsid w:val="00243AE8"/>
    <w:rsid w:val="00283659"/>
    <w:rsid w:val="002C4E73"/>
    <w:rsid w:val="002D68BF"/>
    <w:rsid w:val="00321F6D"/>
    <w:rsid w:val="00336CBF"/>
    <w:rsid w:val="003443D7"/>
    <w:rsid w:val="003534A3"/>
    <w:rsid w:val="003546C8"/>
    <w:rsid w:val="003A7CF2"/>
    <w:rsid w:val="003B0789"/>
    <w:rsid w:val="003C5CE5"/>
    <w:rsid w:val="003E267B"/>
    <w:rsid w:val="003E7CD1"/>
    <w:rsid w:val="00402B9E"/>
    <w:rsid w:val="004161F9"/>
    <w:rsid w:val="00423932"/>
    <w:rsid w:val="004249CB"/>
    <w:rsid w:val="0044127D"/>
    <w:rsid w:val="004448DB"/>
    <w:rsid w:val="00446C9A"/>
    <w:rsid w:val="00463ECF"/>
    <w:rsid w:val="00477193"/>
    <w:rsid w:val="00480B24"/>
    <w:rsid w:val="00494E71"/>
    <w:rsid w:val="004A1848"/>
    <w:rsid w:val="004A7C65"/>
    <w:rsid w:val="004B77EC"/>
    <w:rsid w:val="004D1A51"/>
    <w:rsid w:val="004F283E"/>
    <w:rsid w:val="004F7249"/>
    <w:rsid w:val="00507FEC"/>
    <w:rsid w:val="00510F0E"/>
    <w:rsid w:val="005479E1"/>
    <w:rsid w:val="005570FD"/>
    <w:rsid w:val="005575EA"/>
    <w:rsid w:val="0057609C"/>
    <w:rsid w:val="0057790C"/>
    <w:rsid w:val="00593795"/>
    <w:rsid w:val="005A2E39"/>
    <w:rsid w:val="005A75FF"/>
    <w:rsid w:val="005B7789"/>
    <w:rsid w:val="0060701A"/>
    <w:rsid w:val="00612787"/>
    <w:rsid w:val="00643C9F"/>
    <w:rsid w:val="006556F4"/>
    <w:rsid w:val="0065791C"/>
    <w:rsid w:val="00690B8A"/>
    <w:rsid w:val="006B48BF"/>
    <w:rsid w:val="006D1DFA"/>
    <w:rsid w:val="006D506B"/>
    <w:rsid w:val="006E0744"/>
    <w:rsid w:val="006E3C90"/>
    <w:rsid w:val="00704B61"/>
    <w:rsid w:val="0071591B"/>
    <w:rsid w:val="00740641"/>
    <w:rsid w:val="00742A8D"/>
    <w:rsid w:val="00745BE0"/>
    <w:rsid w:val="007552A9"/>
    <w:rsid w:val="00761858"/>
    <w:rsid w:val="00767D59"/>
    <w:rsid w:val="00772138"/>
    <w:rsid w:val="00776E97"/>
    <w:rsid w:val="00780FD7"/>
    <w:rsid w:val="007912AD"/>
    <w:rsid w:val="007A1F28"/>
    <w:rsid w:val="007B0824"/>
    <w:rsid w:val="007B1F49"/>
    <w:rsid w:val="007E5A2D"/>
    <w:rsid w:val="008070E8"/>
    <w:rsid w:val="008222C6"/>
    <w:rsid w:val="008303B8"/>
    <w:rsid w:val="00833DCE"/>
    <w:rsid w:val="00842418"/>
    <w:rsid w:val="0085376B"/>
    <w:rsid w:val="00871D34"/>
    <w:rsid w:val="008A1A16"/>
    <w:rsid w:val="008B270C"/>
    <w:rsid w:val="008C3D3D"/>
    <w:rsid w:val="008D4131"/>
    <w:rsid w:val="008F1932"/>
    <w:rsid w:val="008F294D"/>
    <w:rsid w:val="00921062"/>
    <w:rsid w:val="0093083E"/>
    <w:rsid w:val="00937986"/>
    <w:rsid w:val="00943D62"/>
    <w:rsid w:val="00966ECF"/>
    <w:rsid w:val="009727A3"/>
    <w:rsid w:val="00987774"/>
    <w:rsid w:val="009A11E8"/>
    <w:rsid w:val="009A44AE"/>
    <w:rsid w:val="009B2E11"/>
    <w:rsid w:val="009D74BF"/>
    <w:rsid w:val="009E4E62"/>
    <w:rsid w:val="009E6E90"/>
    <w:rsid w:val="009F0D99"/>
    <w:rsid w:val="009F5220"/>
    <w:rsid w:val="009F7C4D"/>
    <w:rsid w:val="00A15234"/>
    <w:rsid w:val="00A201AB"/>
    <w:rsid w:val="00A30793"/>
    <w:rsid w:val="00A31C8B"/>
    <w:rsid w:val="00A716BB"/>
    <w:rsid w:val="00A845DC"/>
    <w:rsid w:val="00A97AEE"/>
    <w:rsid w:val="00AB2ECD"/>
    <w:rsid w:val="00AC5226"/>
    <w:rsid w:val="00AC5CF6"/>
    <w:rsid w:val="00AE38E7"/>
    <w:rsid w:val="00B144FA"/>
    <w:rsid w:val="00B16F58"/>
    <w:rsid w:val="00B30648"/>
    <w:rsid w:val="00B3524D"/>
    <w:rsid w:val="00B40F69"/>
    <w:rsid w:val="00B44566"/>
    <w:rsid w:val="00B46616"/>
    <w:rsid w:val="00B610E3"/>
    <w:rsid w:val="00B61205"/>
    <w:rsid w:val="00B617C4"/>
    <w:rsid w:val="00B626FA"/>
    <w:rsid w:val="00B7040A"/>
    <w:rsid w:val="00B96FA0"/>
    <w:rsid w:val="00BB7873"/>
    <w:rsid w:val="00BC6062"/>
    <w:rsid w:val="00BD4196"/>
    <w:rsid w:val="00BF22CA"/>
    <w:rsid w:val="00C0501A"/>
    <w:rsid w:val="00C26032"/>
    <w:rsid w:val="00C265B0"/>
    <w:rsid w:val="00C321B5"/>
    <w:rsid w:val="00C345E1"/>
    <w:rsid w:val="00C52B56"/>
    <w:rsid w:val="00C977BA"/>
    <w:rsid w:val="00CB6E35"/>
    <w:rsid w:val="00CE1A46"/>
    <w:rsid w:val="00CE1C16"/>
    <w:rsid w:val="00CF253F"/>
    <w:rsid w:val="00CF56B4"/>
    <w:rsid w:val="00D20F09"/>
    <w:rsid w:val="00D22636"/>
    <w:rsid w:val="00D40FD9"/>
    <w:rsid w:val="00D53769"/>
    <w:rsid w:val="00D70775"/>
    <w:rsid w:val="00D75E49"/>
    <w:rsid w:val="00D85C13"/>
    <w:rsid w:val="00D91BE3"/>
    <w:rsid w:val="00D94AFC"/>
    <w:rsid w:val="00DB70AE"/>
    <w:rsid w:val="00DB7231"/>
    <w:rsid w:val="00DB7CE1"/>
    <w:rsid w:val="00DB7D8A"/>
    <w:rsid w:val="00DD28B3"/>
    <w:rsid w:val="00DD5071"/>
    <w:rsid w:val="00DD5C39"/>
    <w:rsid w:val="00DD60C7"/>
    <w:rsid w:val="00DE26AF"/>
    <w:rsid w:val="00DE7DB7"/>
    <w:rsid w:val="00E00A0A"/>
    <w:rsid w:val="00E07F57"/>
    <w:rsid w:val="00E1212D"/>
    <w:rsid w:val="00E4710E"/>
    <w:rsid w:val="00E50BCE"/>
    <w:rsid w:val="00E57504"/>
    <w:rsid w:val="00E61292"/>
    <w:rsid w:val="00E76309"/>
    <w:rsid w:val="00E77C4D"/>
    <w:rsid w:val="00E81D01"/>
    <w:rsid w:val="00EB2117"/>
    <w:rsid w:val="00EE0DB7"/>
    <w:rsid w:val="00EE45D8"/>
    <w:rsid w:val="00F004CD"/>
    <w:rsid w:val="00F22EDA"/>
    <w:rsid w:val="00F3224D"/>
    <w:rsid w:val="00F337F0"/>
    <w:rsid w:val="00F33E0E"/>
    <w:rsid w:val="00F421CF"/>
    <w:rsid w:val="00F5664C"/>
    <w:rsid w:val="00F60D99"/>
    <w:rsid w:val="00F9260B"/>
    <w:rsid w:val="00F963D2"/>
    <w:rsid w:val="00FB7E80"/>
    <w:rsid w:val="00FC0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BD0CF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DocumentMap">
    <w:name w:val="Document Map"/>
    <w:basedOn w:val="Normal"/>
    <w:semiHidden/>
    <w:rsid w:val="00463ECF"/>
    <w:pPr>
      <w:shd w:val="clear" w:color="auto" w:fill="000080"/>
    </w:pPr>
    <w:rPr>
      <w:rFonts w:ascii="Tahoma" w:hAnsi="Tahoma" w:cs="Tahoma"/>
      <w:sz w:val="20"/>
      <w:szCs w:val="20"/>
    </w:rPr>
  </w:style>
  <w:style w:type="character" w:customStyle="1" w:styleId="FooterChar">
    <w:name w:val="Footer Char"/>
    <w:basedOn w:val="DefaultParagraphFont"/>
    <w:link w:val="Footer"/>
    <w:uiPriority w:val="99"/>
    <w:rsid w:val="007721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1016</Words>
  <Characters>4832</Characters>
  <Application>Microsoft Office Word</Application>
  <DocSecurity>0</DocSecurity>
  <Lines>40</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2018-10-01T09:51:00Z</dcterms:created>
  <dcterms:modified xsi:type="dcterms:W3CDTF">2018-10-01T09:51:00Z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