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76E1" w14:textId="77777777" w:rsidR="00643BFC" w:rsidRPr="009F5FFB" w:rsidRDefault="00F1768F" w:rsidP="00643BFC">
      <w:pPr>
        <w:jc w:val="center"/>
        <w:rPr>
          <w:rFonts w:ascii="Book Antiqua" w:hAnsi="Book Antiqua" w:cs="Arial"/>
          <w:caps/>
          <w:color w:val="000000"/>
          <w:sz w:val="16"/>
          <w:szCs w:val="16"/>
        </w:rPr>
      </w:pPr>
      <w:r w:rsidRPr="009F5FFB">
        <w:rPr>
          <w:noProof/>
          <w:sz w:val="16"/>
          <w:szCs w:val="16"/>
        </w:rPr>
        <w:drawing>
          <wp:inline distT="0" distB="0" distL="0" distR="0" wp14:anchorId="6A6EC89F" wp14:editId="3713698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DBC21D3" w14:textId="77777777" w:rsidR="00D94AFC" w:rsidRPr="009F5FFB" w:rsidRDefault="00D94AFC">
      <w:pPr>
        <w:rPr>
          <w:rFonts w:ascii="Book Antiqua" w:hAnsi="Book Antiqua" w:cs="Arial"/>
          <w:color w:val="000000"/>
          <w:sz w:val="16"/>
          <w:szCs w:val="16"/>
        </w:rPr>
      </w:pPr>
    </w:p>
    <w:p w14:paraId="656A8C0B" w14:textId="77777777" w:rsidR="00643BFC" w:rsidRPr="0066745A" w:rsidRDefault="00797649" w:rsidP="00780F86">
      <w:pPr>
        <w:tabs>
          <w:tab w:val="right" w:pos="9720"/>
        </w:tabs>
        <w:ind w:right="-82"/>
        <w:rPr>
          <w:rFonts w:ascii="Book Antiqua" w:hAnsi="Book Antiqua" w:cs="Arial"/>
          <w:b/>
          <w:color w:val="000000"/>
        </w:rPr>
      </w:pPr>
      <w:r w:rsidRPr="0066745A">
        <w:rPr>
          <w:rFonts w:ascii="Book Antiqua" w:hAnsi="Book Antiqua" w:cs="Arial"/>
          <w:b/>
          <w:color w:val="000000"/>
        </w:rPr>
        <w:t>Upper</w:t>
      </w:r>
      <w:r w:rsidR="00643BFC" w:rsidRPr="0066745A">
        <w:rPr>
          <w:rFonts w:ascii="Book Antiqua" w:hAnsi="Book Antiqua" w:cs="Arial"/>
          <w:b/>
          <w:color w:val="000000"/>
        </w:rPr>
        <w:t xml:space="preserve"> Tribunal</w:t>
      </w:r>
    </w:p>
    <w:p w14:paraId="438B6D85" w14:textId="77777777" w:rsidR="007B0824" w:rsidRPr="0066745A" w:rsidRDefault="00643BFC" w:rsidP="00780F86">
      <w:pPr>
        <w:tabs>
          <w:tab w:val="right" w:pos="9720"/>
        </w:tabs>
        <w:ind w:right="-82"/>
        <w:rPr>
          <w:rFonts w:ascii="Book Antiqua" w:hAnsi="Book Antiqua" w:cs="Arial"/>
          <w:color w:val="000000"/>
        </w:rPr>
      </w:pPr>
      <w:r w:rsidRPr="0066745A">
        <w:rPr>
          <w:rFonts w:ascii="Book Antiqua" w:hAnsi="Book Antiqua" w:cs="Arial"/>
          <w:b/>
          <w:color w:val="000000"/>
        </w:rPr>
        <w:t>(Immigration and Asylum Chamber)</w:t>
      </w:r>
      <w:r w:rsidR="00DB70AE" w:rsidRPr="0066745A">
        <w:rPr>
          <w:rFonts w:ascii="Book Antiqua" w:hAnsi="Book Antiqua" w:cs="Arial"/>
          <w:b/>
          <w:color w:val="000000"/>
        </w:rPr>
        <w:tab/>
      </w:r>
      <w:r w:rsidR="00B3524D" w:rsidRPr="0066745A">
        <w:rPr>
          <w:rFonts w:ascii="Book Antiqua" w:hAnsi="Book Antiqua" w:cs="Arial"/>
          <w:color w:val="000000"/>
        </w:rPr>
        <w:t>Appeal Number</w:t>
      </w:r>
      <w:r w:rsidR="00D53769" w:rsidRPr="0066745A">
        <w:rPr>
          <w:rFonts w:ascii="Book Antiqua" w:hAnsi="Book Antiqua" w:cs="Arial"/>
          <w:color w:val="000000"/>
        </w:rPr>
        <w:t>:</w:t>
      </w:r>
      <w:r w:rsidR="00B3524D" w:rsidRPr="0066745A">
        <w:rPr>
          <w:rFonts w:ascii="Book Antiqua" w:hAnsi="Book Antiqua" w:cs="Arial"/>
          <w:color w:val="000000"/>
        </w:rPr>
        <w:t xml:space="preserve"> </w:t>
      </w:r>
      <w:bookmarkStart w:id="0" w:name="_GoBack"/>
      <w:r w:rsidR="00DA2C7E" w:rsidRPr="0066745A">
        <w:rPr>
          <w:rFonts w:ascii="Book Antiqua" w:hAnsi="Book Antiqua" w:cs="Arial"/>
          <w:caps/>
          <w:color w:val="000000"/>
        </w:rPr>
        <w:t>EA/13104/2016</w:t>
      </w:r>
      <w:bookmarkEnd w:id="0"/>
    </w:p>
    <w:p w14:paraId="56F553E4" w14:textId="77777777" w:rsidR="00C345E1" w:rsidRPr="0066745A" w:rsidRDefault="00C345E1" w:rsidP="00C345E1">
      <w:pPr>
        <w:jc w:val="center"/>
        <w:rPr>
          <w:rFonts w:ascii="Book Antiqua" w:hAnsi="Book Antiqua" w:cs="Arial"/>
          <w:color w:val="000000"/>
        </w:rPr>
      </w:pPr>
    </w:p>
    <w:p w14:paraId="1CA04419" w14:textId="77777777" w:rsidR="00C345E1" w:rsidRPr="0066745A" w:rsidRDefault="00C345E1" w:rsidP="00C345E1">
      <w:pPr>
        <w:jc w:val="center"/>
        <w:rPr>
          <w:rFonts w:ascii="Book Antiqua" w:hAnsi="Book Antiqua" w:cs="Arial"/>
          <w:color w:val="000000"/>
        </w:rPr>
      </w:pPr>
    </w:p>
    <w:p w14:paraId="4B6126A2" w14:textId="77777777" w:rsidR="00C345E1" w:rsidRPr="0066745A" w:rsidRDefault="00C345E1" w:rsidP="00C345E1">
      <w:pPr>
        <w:jc w:val="center"/>
        <w:rPr>
          <w:rFonts w:ascii="Book Antiqua" w:hAnsi="Book Antiqua" w:cs="Arial"/>
          <w:b/>
          <w:color w:val="000000"/>
          <w:u w:val="single"/>
        </w:rPr>
      </w:pPr>
      <w:r w:rsidRPr="0066745A">
        <w:rPr>
          <w:rFonts w:ascii="Book Antiqua" w:hAnsi="Book Antiqua" w:cs="Arial"/>
          <w:b/>
          <w:color w:val="000000"/>
          <w:u w:val="single"/>
        </w:rPr>
        <w:t>THE IMMIGRATION ACTS</w:t>
      </w:r>
    </w:p>
    <w:p w14:paraId="6913ED7D" w14:textId="77777777" w:rsidR="00C345E1" w:rsidRPr="0066745A" w:rsidRDefault="00C345E1" w:rsidP="00C345E1">
      <w:pPr>
        <w:jc w:val="center"/>
        <w:rPr>
          <w:rFonts w:ascii="Book Antiqua" w:hAnsi="Book Antiqua" w:cs="Arial"/>
          <w:b/>
          <w:u w:val="single"/>
        </w:rPr>
      </w:pPr>
    </w:p>
    <w:p w14:paraId="3C8AD00B" w14:textId="77777777" w:rsidR="00C345E1" w:rsidRPr="0066745A"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66745A" w14:paraId="4B35EE4C" w14:textId="77777777" w:rsidTr="001C7F2A">
        <w:tc>
          <w:tcPr>
            <w:tcW w:w="6048" w:type="dxa"/>
          </w:tcPr>
          <w:p w14:paraId="345C0499" w14:textId="77777777" w:rsidR="00D22636" w:rsidRPr="0066745A" w:rsidRDefault="00D22636" w:rsidP="004A1848">
            <w:pPr>
              <w:jc w:val="both"/>
              <w:rPr>
                <w:rFonts w:ascii="Book Antiqua" w:hAnsi="Book Antiqua" w:cs="Arial"/>
                <w:b/>
              </w:rPr>
            </w:pPr>
            <w:r w:rsidRPr="0066745A">
              <w:rPr>
                <w:rFonts w:ascii="Book Antiqua" w:hAnsi="Book Antiqua" w:cs="Arial"/>
                <w:b/>
              </w:rPr>
              <w:t xml:space="preserve">Heard at </w:t>
            </w:r>
            <w:r w:rsidR="00DA2C7E" w:rsidRPr="0066745A">
              <w:rPr>
                <w:rFonts w:ascii="Book Antiqua" w:hAnsi="Book Antiqua" w:cs="Arial"/>
                <w:b/>
              </w:rPr>
              <w:t>Field House</w:t>
            </w:r>
          </w:p>
        </w:tc>
        <w:tc>
          <w:tcPr>
            <w:tcW w:w="3960" w:type="dxa"/>
          </w:tcPr>
          <w:p w14:paraId="492929D0" w14:textId="77777777" w:rsidR="00D22636" w:rsidRPr="0066745A" w:rsidRDefault="001C7F2A" w:rsidP="00093D4D">
            <w:pPr>
              <w:jc w:val="both"/>
              <w:rPr>
                <w:rFonts w:ascii="Book Antiqua" w:hAnsi="Book Antiqua" w:cs="Arial"/>
                <w:b/>
                <w:color w:val="000000"/>
              </w:rPr>
            </w:pPr>
            <w:r w:rsidRPr="0066745A">
              <w:rPr>
                <w:rFonts w:ascii="Book Antiqua" w:hAnsi="Book Antiqua" w:cs="Arial"/>
                <w:b/>
                <w:color w:val="000000"/>
              </w:rPr>
              <w:t>Decision &amp; Reasons</w:t>
            </w:r>
            <w:r w:rsidR="00283659" w:rsidRPr="0066745A">
              <w:rPr>
                <w:rFonts w:ascii="Book Antiqua" w:hAnsi="Book Antiqua" w:cs="Arial"/>
                <w:b/>
                <w:color w:val="000000"/>
              </w:rPr>
              <w:t xml:space="preserve"> Promulgated</w:t>
            </w:r>
          </w:p>
        </w:tc>
      </w:tr>
      <w:tr w:rsidR="00D22636" w:rsidRPr="0066745A" w14:paraId="1FC0923C" w14:textId="77777777" w:rsidTr="001C7F2A">
        <w:tc>
          <w:tcPr>
            <w:tcW w:w="6048" w:type="dxa"/>
          </w:tcPr>
          <w:p w14:paraId="6F03BC5D" w14:textId="77777777" w:rsidR="00D22636" w:rsidRPr="0066745A" w:rsidRDefault="00D22636" w:rsidP="004A1848">
            <w:pPr>
              <w:jc w:val="both"/>
              <w:rPr>
                <w:rFonts w:ascii="Book Antiqua" w:hAnsi="Book Antiqua" w:cs="Arial"/>
                <w:b/>
              </w:rPr>
            </w:pPr>
            <w:r w:rsidRPr="0066745A">
              <w:rPr>
                <w:rFonts w:ascii="Book Antiqua" w:hAnsi="Book Antiqua" w:cs="Arial"/>
                <w:b/>
              </w:rPr>
              <w:t xml:space="preserve">On </w:t>
            </w:r>
            <w:r w:rsidR="00DA2C7E" w:rsidRPr="0066745A">
              <w:rPr>
                <w:rFonts w:ascii="Book Antiqua" w:hAnsi="Book Antiqua" w:cs="Arial"/>
                <w:b/>
              </w:rPr>
              <w:t>31 August 2018</w:t>
            </w:r>
          </w:p>
        </w:tc>
        <w:tc>
          <w:tcPr>
            <w:tcW w:w="3960" w:type="dxa"/>
          </w:tcPr>
          <w:p w14:paraId="7D5E250E" w14:textId="34D64223" w:rsidR="00D22636" w:rsidRPr="0066745A" w:rsidRDefault="00D544B1" w:rsidP="004A1848">
            <w:pPr>
              <w:jc w:val="both"/>
              <w:rPr>
                <w:rFonts w:ascii="Book Antiqua" w:hAnsi="Book Antiqua" w:cs="Arial"/>
                <w:b/>
              </w:rPr>
            </w:pPr>
            <w:r>
              <w:rPr>
                <w:rFonts w:ascii="Book Antiqua" w:hAnsi="Book Antiqua" w:cs="Arial"/>
                <w:b/>
              </w:rPr>
              <w:t>On 11 September 2018</w:t>
            </w:r>
          </w:p>
        </w:tc>
      </w:tr>
      <w:tr w:rsidR="00D22636" w:rsidRPr="0066745A" w14:paraId="1FD75E6F" w14:textId="77777777" w:rsidTr="001C7F2A">
        <w:tc>
          <w:tcPr>
            <w:tcW w:w="6048" w:type="dxa"/>
          </w:tcPr>
          <w:p w14:paraId="39B6BCEC" w14:textId="77777777" w:rsidR="00D22636" w:rsidRPr="0066745A" w:rsidRDefault="00D22636" w:rsidP="004A1848">
            <w:pPr>
              <w:jc w:val="both"/>
              <w:rPr>
                <w:rFonts w:ascii="Book Antiqua" w:hAnsi="Book Antiqua" w:cs="Arial"/>
                <w:b/>
              </w:rPr>
            </w:pPr>
          </w:p>
        </w:tc>
        <w:tc>
          <w:tcPr>
            <w:tcW w:w="3960" w:type="dxa"/>
          </w:tcPr>
          <w:p w14:paraId="327A7B42" w14:textId="0A22DDFF" w:rsidR="00D22636" w:rsidRPr="0066745A" w:rsidRDefault="00D22636" w:rsidP="004A1848">
            <w:pPr>
              <w:jc w:val="both"/>
              <w:rPr>
                <w:rFonts w:ascii="Book Antiqua" w:hAnsi="Book Antiqua" w:cs="Arial"/>
                <w:b/>
              </w:rPr>
            </w:pPr>
          </w:p>
        </w:tc>
      </w:tr>
    </w:tbl>
    <w:p w14:paraId="244E786E" w14:textId="77777777" w:rsidR="00A15234" w:rsidRPr="0066745A" w:rsidRDefault="00A15234" w:rsidP="00A15234">
      <w:pPr>
        <w:jc w:val="center"/>
        <w:rPr>
          <w:rFonts w:ascii="Book Antiqua" w:hAnsi="Book Antiqua" w:cs="Arial"/>
        </w:rPr>
      </w:pPr>
    </w:p>
    <w:p w14:paraId="456C7CC0" w14:textId="77777777" w:rsidR="00A15234" w:rsidRPr="0066745A" w:rsidRDefault="00207617" w:rsidP="00A15234">
      <w:pPr>
        <w:jc w:val="center"/>
        <w:rPr>
          <w:rFonts w:ascii="Book Antiqua" w:hAnsi="Book Antiqua" w:cs="Arial"/>
          <w:b/>
        </w:rPr>
      </w:pPr>
      <w:r w:rsidRPr="0066745A">
        <w:rPr>
          <w:rFonts w:ascii="Book Antiqua" w:hAnsi="Book Antiqua" w:cs="Arial"/>
          <w:b/>
        </w:rPr>
        <w:t>Befo</w:t>
      </w:r>
      <w:r w:rsidR="00A15234" w:rsidRPr="0066745A">
        <w:rPr>
          <w:rFonts w:ascii="Book Antiqua" w:hAnsi="Book Antiqua" w:cs="Arial"/>
          <w:b/>
        </w:rPr>
        <w:t>re</w:t>
      </w:r>
    </w:p>
    <w:p w14:paraId="6DFAB57A" w14:textId="77777777" w:rsidR="00A15234" w:rsidRPr="0066745A" w:rsidRDefault="00A15234" w:rsidP="00A15234">
      <w:pPr>
        <w:jc w:val="center"/>
        <w:rPr>
          <w:rFonts w:ascii="Book Antiqua" w:hAnsi="Book Antiqua" w:cs="Arial"/>
          <w:b/>
        </w:rPr>
      </w:pPr>
    </w:p>
    <w:p w14:paraId="46110075" w14:textId="77777777" w:rsidR="00D20757" w:rsidRPr="0066745A" w:rsidRDefault="006D6955" w:rsidP="00A15234">
      <w:pPr>
        <w:jc w:val="center"/>
        <w:rPr>
          <w:rFonts w:ascii="Book Antiqua" w:hAnsi="Book Antiqua" w:cs="Arial"/>
          <w:b/>
          <w:color w:val="000000"/>
        </w:rPr>
      </w:pPr>
      <w:r w:rsidRPr="0066745A">
        <w:rPr>
          <w:rFonts w:ascii="Book Antiqua" w:hAnsi="Book Antiqua" w:cs="Arial"/>
          <w:b/>
          <w:color w:val="000000"/>
        </w:rPr>
        <w:t xml:space="preserve">DEPUTY UPPER TRIBUNAL </w:t>
      </w:r>
      <w:r w:rsidR="001B2F75" w:rsidRPr="0066745A">
        <w:rPr>
          <w:rFonts w:ascii="Book Antiqua" w:hAnsi="Book Antiqua" w:cs="Arial"/>
          <w:b/>
          <w:color w:val="000000"/>
        </w:rPr>
        <w:t xml:space="preserve">JUDGE </w:t>
      </w:r>
      <w:r w:rsidR="0037652C" w:rsidRPr="0066745A">
        <w:rPr>
          <w:rFonts w:ascii="Book Antiqua" w:hAnsi="Book Antiqua" w:cs="Arial"/>
          <w:b/>
          <w:color w:val="000000"/>
        </w:rPr>
        <w:t>HANBURY</w:t>
      </w:r>
    </w:p>
    <w:p w14:paraId="154B5B27" w14:textId="77777777" w:rsidR="00D20757" w:rsidRPr="0066745A" w:rsidRDefault="00D20757" w:rsidP="00A15234">
      <w:pPr>
        <w:jc w:val="center"/>
        <w:rPr>
          <w:rFonts w:ascii="Book Antiqua" w:hAnsi="Book Antiqua" w:cs="Arial"/>
          <w:b/>
        </w:rPr>
      </w:pPr>
    </w:p>
    <w:p w14:paraId="1262D68A" w14:textId="77777777" w:rsidR="009F5FFB" w:rsidRDefault="009F5FFB" w:rsidP="00A15234">
      <w:pPr>
        <w:jc w:val="center"/>
        <w:rPr>
          <w:rFonts w:ascii="Book Antiqua" w:hAnsi="Book Antiqua" w:cs="Arial"/>
          <w:b/>
        </w:rPr>
      </w:pPr>
    </w:p>
    <w:p w14:paraId="06F4A80F" w14:textId="30B106E9" w:rsidR="00A845DC" w:rsidRPr="0066745A" w:rsidRDefault="00A845DC" w:rsidP="00A15234">
      <w:pPr>
        <w:jc w:val="center"/>
        <w:rPr>
          <w:rFonts w:ascii="Book Antiqua" w:hAnsi="Book Antiqua" w:cs="Arial"/>
          <w:b/>
        </w:rPr>
      </w:pPr>
      <w:r w:rsidRPr="0066745A">
        <w:rPr>
          <w:rFonts w:ascii="Book Antiqua" w:hAnsi="Book Antiqua" w:cs="Arial"/>
          <w:b/>
        </w:rPr>
        <w:t>Between</w:t>
      </w:r>
    </w:p>
    <w:p w14:paraId="72E00676" w14:textId="77777777" w:rsidR="00A845DC" w:rsidRPr="0066745A" w:rsidRDefault="00A845DC" w:rsidP="00A15234">
      <w:pPr>
        <w:jc w:val="center"/>
        <w:rPr>
          <w:rFonts w:ascii="Book Antiqua" w:hAnsi="Book Antiqua" w:cs="Arial"/>
          <w:b/>
        </w:rPr>
      </w:pPr>
    </w:p>
    <w:p w14:paraId="1764D3DB" w14:textId="77777777" w:rsidR="00DA2C7E" w:rsidRPr="0066745A" w:rsidRDefault="00DA2C7E" w:rsidP="00A15234">
      <w:pPr>
        <w:jc w:val="center"/>
        <w:rPr>
          <w:rFonts w:ascii="Book Antiqua" w:hAnsi="Book Antiqua" w:cs="Arial"/>
          <w:b/>
        </w:rPr>
      </w:pPr>
      <w:r w:rsidRPr="0066745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6745A">
        <w:rPr>
          <w:rFonts w:ascii="Book Antiqua" w:hAnsi="Book Antiqua" w:cs="Arial"/>
          <w:b/>
        </w:rPr>
        <w:instrText xml:space="preserve"> FORMTEXT </w:instrText>
      </w:r>
      <w:r w:rsidRPr="0066745A">
        <w:rPr>
          <w:rFonts w:ascii="Book Antiqua" w:hAnsi="Book Antiqua" w:cs="Arial"/>
          <w:b/>
        </w:rPr>
      </w:r>
      <w:r w:rsidRPr="0066745A">
        <w:rPr>
          <w:rFonts w:ascii="Book Antiqua" w:hAnsi="Book Antiqua" w:cs="Arial"/>
          <w:b/>
        </w:rPr>
        <w:fldChar w:fldCharType="separate"/>
      </w:r>
      <w:r w:rsidRPr="0066745A">
        <w:rPr>
          <w:rFonts w:ascii="Book Antiqua" w:hAnsi="Book Antiqua" w:cs="Arial"/>
          <w:b/>
          <w:noProof/>
        </w:rPr>
        <w:t>THE SECRETARY OF STATE FOR THE HOME DEPARTMENT</w:t>
      </w:r>
      <w:r w:rsidRPr="0066745A">
        <w:rPr>
          <w:rFonts w:ascii="Book Antiqua" w:hAnsi="Book Antiqua" w:cs="Arial"/>
          <w:b/>
        </w:rPr>
        <w:fldChar w:fldCharType="end"/>
      </w:r>
      <w:bookmarkEnd w:id="1"/>
    </w:p>
    <w:p w14:paraId="12203D1F" w14:textId="77777777" w:rsidR="00704B61" w:rsidRPr="0066745A" w:rsidRDefault="00704B61" w:rsidP="00704B61">
      <w:pPr>
        <w:jc w:val="right"/>
        <w:rPr>
          <w:rFonts w:ascii="Book Antiqua" w:hAnsi="Book Antiqua" w:cs="Arial"/>
          <w:u w:val="single"/>
        </w:rPr>
      </w:pPr>
      <w:r w:rsidRPr="0066745A">
        <w:rPr>
          <w:rFonts w:ascii="Book Antiqua" w:hAnsi="Book Antiqua" w:cs="Arial"/>
          <w:u w:val="single"/>
        </w:rPr>
        <w:t>Appellant</w:t>
      </w:r>
    </w:p>
    <w:p w14:paraId="79D58974" w14:textId="77777777" w:rsidR="00704B61" w:rsidRPr="0066745A" w:rsidRDefault="00DD5071" w:rsidP="00704B61">
      <w:pPr>
        <w:jc w:val="center"/>
        <w:rPr>
          <w:rFonts w:ascii="Book Antiqua" w:hAnsi="Book Antiqua" w:cs="Arial"/>
          <w:b/>
        </w:rPr>
      </w:pPr>
      <w:r w:rsidRPr="0066745A">
        <w:rPr>
          <w:rFonts w:ascii="Book Antiqua" w:hAnsi="Book Antiqua" w:cs="Arial"/>
          <w:b/>
        </w:rPr>
        <w:t>and</w:t>
      </w:r>
    </w:p>
    <w:p w14:paraId="10071404" w14:textId="77777777" w:rsidR="00DA2C7E" w:rsidRPr="0066745A" w:rsidRDefault="00DA2C7E" w:rsidP="00704B61">
      <w:pPr>
        <w:jc w:val="center"/>
        <w:rPr>
          <w:rFonts w:ascii="Book Antiqua" w:hAnsi="Book Antiqua" w:cs="Arial"/>
          <w:b/>
        </w:rPr>
      </w:pPr>
    </w:p>
    <w:p w14:paraId="7A978E14" w14:textId="77777777" w:rsidR="00DA2C7E" w:rsidRPr="0066745A" w:rsidRDefault="00DA2C7E" w:rsidP="00DA2C7E">
      <w:pPr>
        <w:jc w:val="center"/>
        <w:rPr>
          <w:rFonts w:ascii="Book Antiqua" w:hAnsi="Book Antiqua" w:cs="Arial"/>
          <w:b/>
          <w:caps/>
        </w:rPr>
      </w:pPr>
      <w:r w:rsidRPr="0066745A">
        <w:rPr>
          <w:rFonts w:ascii="Book Antiqua" w:hAnsi="Book Antiqua" w:cs="Arial"/>
          <w:b/>
          <w:caps/>
        </w:rPr>
        <w:t>Miss Anastacia Appiah</w:t>
      </w:r>
    </w:p>
    <w:p w14:paraId="2332910D" w14:textId="4F74E31C" w:rsidR="00DA2C7E" w:rsidRPr="009F5FFB" w:rsidRDefault="00DA2C7E" w:rsidP="00704B61">
      <w:pPr>
        <w:jc w:val="center"/>
        <w:rPr>
          <w:rFonts w:ascii="Book Antiqua" w:hAnsi="Book Antiqua" w:cs="Arial"/>
          <w:b/>
          <w:sz w:val="22"/>
        </w:rPr>
      </w:pPr>
      <w:r w:rsidRPr="009F5FFB">
        <w:rPr>
          <w:rFonts w:ascii="Book Antiqua" w:hAnsi="Book Antiqua" w:cs="Arial"/>
          <w:b/>
          <w:caps/>
          <w:sz w:val="22"/>
        </w:rPr>
        <w:t>(ANONYMITY DIRECTION</w:t>
      </w:r>
      <w:r w:rsidR="0012370A" w:rsidRPr="009F5FFB">
        <w:rPr>
          <w:rFonts w:ascii="Book Antiqua" w:hAnsi="Book Antiqua" w:cs="Arial"/>
          <w:b/>
          <w:caps/>
          <w:sz w:val="22"/>
        </w:rPr>
        <w:t xml:space="preserve"> NOT MADE</w:t>
      </w:r>
      <w:r w:rsidRPr="009F5FFB">
        <w:rPr>
          <w:rFonts w:ascii="Book Antiqua" w:hAnsi="Book Antiqua" w:cs="Arial"/>
          <w:b/>
          <w:caps/>
          <w:sz w:val="22"/>
        </w:rPr>
        <w:t>)</w:t>
      </w:r>
    </w:p>
    <w:p w14:paraId="65F355E5" w14:textId="77777777" w:rsidR="00DD5071" w:rsidRPr="0066745A" w:rsidRDefault="00DD5071" w:rsidP="00DD5071">
      <w:pPr>
        <w:jc w:val="right"/>
        <w:rPr>
          <w:rFonts w:ascii="Book Antiqua" w:hAnsi="Book Antiqua" w:cs="Arial"/>
          <w:u w:val="single"/>
        </w:rPr>
      </w:pPr>
      <w:r w:rsidRPr="0066745A">
        <w:rPr>
          <w:rFonts w:ascii="Book Antiqua" w:hAnsi="Book Antiqua" w:cs="Arial"/>
          <w:u w:val="single"/>
        </w:rPr>
        <w:t>Respondent</w:t>
      </w:r>
    </w:p>
    <w:p w14:paraId="4333188B" w14:textId="77777777" w:rsidR="00DD5071" w:rsidRPr="0066745A" w:rsidRDefault="00DD5071" w:rsidP="00DD5071">
      <w:pPr>
        <w:rPr>
          <w:rFonts w:ascii="Book Antiqua" w:hAnsi="Book Antiqua" w:cs="Arial"/>
          <w:u w:val="single"/>
        </w:rPr>
      </w:pPr>
    </w:p>
    <w:p w14:paraId="1A416AFC" w14:textId="77777777" w:rsidR="00DD5071" w:rsidRPr="0066745A" w:rsidRDefault="00DD5071" w:rsidP="00DD5071">
      <w:pPr>
        <w:rPr>
          <w:rFonts w:ascii="Book Antiqua" w:hAnsi="Book Antiqua" w:cs="Arial"/>
          <w:u w:val="single"/>
        </w:rPr>
      </w:pPr>
    </w:p>
    <w:p w14:paraId="5AB1FAE5" w14:textId="77777777" w:rsidR="00DD5071" w:rsidRPr="0066745A" w:rsidRDefault="00DE7DB7" w:rsidP="00DD5071">
      <w:pPr>
        <w:rPr>
          <w:rFonts w:ascii="Book Antiqua" w:hAnsi="Book Antiqua" w:cs="Arial"/>
        </w:rPr>
      </w:pPr>
      <w:r w:rsidRPr="0066745A">
        <w:rPr>
          <w:rFonts w:ascii="Book Antiqua" w:hAnsi="Book Antiqua" w:cs="Arial"/>
          <w:b/>
          <w:u w:val="single"/>
        </w:rPr>
        <w:t>Representation</w:t>
      </w:r>
      <w:r w:rsidRPr="0066745A">
        <w:rPr>
          <w:rFonts w:ascii="Book Antiqua" w:hAnsi="Book Antiqua" w:cs="Arial"/>
          <w:b/>
        </w:rPr>
        <w:t>:</w:t>
      </w:r>
    </w:p>
    <w:p w14:paraId="1EC4D7DB" w14:textId="77777777" w:rsidR="00DE7DB7" w:rsidRPr="0066745A" w:rsidRDefault="00DE7DB7" w:rsidP="00DE7DB7">
      <w:pPr>
        <w:tabs>
          <w:tab w:val="left" w:pos="2520"/>
        </w:tabs>
        <w:rPr>
          <w:rFonts w:ascii="Book Antiqua" w:hAnsi="Book Antiqua" w:cs="Arial"/>
        </w:rPr>
      </w:pPr>
      <w:r w:rsidRPr="0066745A">
        <w:rPr>
          <w:rFonts w:ascii="Book Antiqua" w:hAnsi="Book Antiqua" w:cs="Arial"/>
        </w:rPr>
        <w:t>For the Appellant:</w:t>
      </w:r>
      <w:r w:rsidRPr="0066745A">
        <w:rPr>
          <w:rFonts w:ascii="Book Antiqua" w:hAnsi="Book Antiqua" w:cs="Arial"/>
        </w:rPr>
        <w:tab/>
      </w:r>
      <w:r w:rsidR="00DA2C7E" w:rsidRPr="0066745A">
        <w:rPr>
          <w:rFonts w:ascii="Book Antiqua" w:hAnsi="Book Antiqua" w:cs="Arial"/>
        </w:rPr>
        <w:t>Ms Z Kiss, Home Office Presenting Officer</w:t>
      </w:r>
    </w:p>
    <w:p w14:paraId="00999DF1" w14:textId="77777777" w:rsidR="00DE7DB7" w:rsidRPr="0066745A" w:rsidRDefault="00DE7DB7" w:rsidP="00DE7DB7">
      <w:pPr>
        <w:tabs>
          <w:tab w:val="left" w:pos="2520"/>
        </w:tabs>
        <w:rPr>
          <w:rFonts w:ascii="Book Antiqua" w:hAnsi="Book Antiqua" w:cs="Arial"/>
        </w:rPr>
      </w:pPr>
      <w:r w:rsidRPr="0066745A">
        <w:rPr>
          <w:rFonts w:ascii="Book Antiqua" w:hAnsi="Book Antiqua" w:cs="Arial"/>
        </w:rPr>
        <w:t>For the Respondent</w:t>
      </w:r>
      <w:r w:rsidR="00171D81" w:rsidRPr="0066745A">
        <w:rPr>
          <w:rFonts w:ascii="Book Antiqua" w:hAnsi="Book Antiqua" w:cs="Arial"/>
        </w:rPr>
        <w:t>:</w:t>
      </w:r>
      <w:r w:rsidR="00171D81" w:rsidRPr="0066745A">
        <w:rPr>
          <w:rFonts w:ascii="Book Antiqua" w:hAnsi="Book Antiqua" w:cs="Arial"/>
        </w:rPr>
        <w:tab/>
        <w:t xml:space="preserve">Mr C </w:t>
      </w:r>
      <w:proofErr w:type="spellStart"/>
      <w:r w:rsidR="00171D81" w:rsidRPr="0066745A">
        <w:rPr>
          <w:rFonts w:ascii="Book Antiqua" w:hAnsi="Book Antiqua" w:cs="Arial"/>
        </w:rPr>
        <w:t>Okech</w:t>
      </w:r>
      <w:proofErr w:type="spellEnd"/>
      <w:r w:rsidR="00171D81" w:rsidRPr="0066745A">
        <w:rPr>
          <w:rFonts w:ascii="Book Antiqua" w:hAnsi="Book Antiqua" w:cs="Arial"/>
        </w:rPr>
        <w:t>, a legal representative</w:t>
      </w:r>
    </w:p>
    <w:p w14:paraId="204CCE91" w14:textId="77777777" w:rsidR="00DE7DB7" w:rsidRPr="0066745A" w:rsidRDefault="00DE7DB7" w:rsidP="00402B9E">
      <w:pPr>
        <w:tabs>
          <w:tab w:val="left" w:pos="2520"/>
        </w:tabs>
        <w:jc w:val="center"/>
        <w:rPr>
          <w:rFonts w:ascii="Book Antiqua" w:hAnsi="Book Antiqua" w:cs="Arial"/>
        </w:rPr>
      </w:pPr>
    </w:p>
    <w:p w14:paraId="3D9D4401" w14:textId="77777777" w:rsidR="00DE7DB7" w:rsidRPr="0066745A" w:rsidRDefault="00DE7DB7" w:rsidP="00402B9E">
      <w:pPr>
        <w:tabs>
          <w:tab w:val="left" w:pos="2520"/>
        </w:tabs>
        <w:jc w:val="center"/>
        <w:rPr>
          <w:rFonts w:ascii="Book Antiqua" w:hAnsi="Book Antiqua" w:cs="Arial"/>
        </w:rPr>
      </w:pPr>
    </w:p>
    <w:p w14:paraId="5546A999" w14:textId="77777777" w:rsidR="00DE7DB7" w:rsidRPr="0066745A" w:rsidRDefault="001C7F2A" w:rsidP="00402B9E">
      <w:pPr>
        <w:tabs>
          <w:tab w:val="left" w:pos="2520"/>
        </w:tabs>
        <w:jc w:val="center"/>
        <w:rPr>
          <w:rFonts w:ascii="Book Antiqua" w:hAnsi="Book Antiqua" w:cs="Arial"/>
        </w:rPr>
      </w:pPr>
      <w:r w:rsidRPr="0066745A">
        <w:rPr>
          <w:rFonts w:ascii="Book Antiqua" w:hAnsi="Book Antiqua" w:cs="Arial"/>
          <w:b/>
          <w:u w:val="single"/>
        </w:rPr>
        <w:t xml:space="preserve">DECISION </w:t>
      </w:r>
      <w:r w:rsidR="00402B9E" w:rsidRPr="0066745A">
        <w:rPr>
          <w:rFonts w:ascii="Book Antiqua" w:hAnsi="Book Antiqua" w:cs="Arial"/>
          <w:b/>
          <w:u w:val="single"/>
        </w:rPr>
        <w:t>AND REASONS</w:t>
      </w:r>
    </w:p>
    <w:p w14:paraId="6A61D6FA" w14:textId="6BD55056" w:rsidR="00171D81" w:rsidRPr="0066745A" w:rsidRDefault="00171D81" w:rsidP="009F5FFB">
      <w:pPr>
        <w:pStyle w:val="h"/>
        <w:spacing w:before="240"/>
      </w:pPr>
      <w:r w:rsidRPr="0066745A">
        <w:t>Introduction</w:t>
      </w:r>
      <w:r w:rsidR="0012370A" w:rsidRPr="0066745A">
        <w:t xml:space="preserve"> and background</w:t>
      </w:r>
    </w:p>
    <w:p w14:paraId="63A8A095" w14:textId="416CA7A6" w:rsidR="00171D81" w:rsidRPr="0066745A" w:rsidRDefault="00402B9E" w:rsidP="009F5FFB">
      <w:pPr>
        <w:pStyle w:val="p"/>
        <w:spacing w:before="240"/>
      </w:pPr>
      <w:r w:rsidRPr="0066745A">
        <w:t>1.</w:t>
      </w:r>
      <w:r w:rsidRPr="0066745A">
        <w:tab/>
      </w:r>
      <w:r w:rsidR="00171D81" w:rsidRPr="0066745A">
        <w:t>The appellant is a citizen of Ghana who was born on 6 January 1970.  She applie</w:t>
      </w:r>
      <w:r w:rsidR="0012370A" w:rsidRPr="0066745A">
        <w:t>d</w:t>
      </w:r>
      <w:r w:rsidR="00171D81" w:rsidRPr="0066745A">
        <w:t xml:space="preserve"> for a permanent right of residence in the UK as an unmarried partner of a Mr </w:t>
      </w:r>
      <w:r w:rsidR="00914CF3">
        <w:t>[</w:t>
      </w:r>
      <w:r w:rsidR="00171D81" w:rsidRPr="0066745A">
        <w:t>D</w:t>
      </w:r>
      <w:r w:rsidR="00914CF3">
        <w:t>]</w:t>
      </w:r>
      <w:r w:rsidR="00171D81" w:rsidRPr="0066745A">
        <w:t>, who is an EEA national of Dutch nationality.  He came to the UK some years previously.  The parties began a relationship, it seems in 2010</w:t>
      </w:r>
      <w:r w:rsidR="0012370A" w:rsidRPr="0066745A">
        <w:t>,</w:t>
      </w:r>
      <w:r w:rsidR="00171D81" w:rsidRPr="0066745A">
        <w:t xml:space="preserve"> and have had three children together, all of whom are Dutch nationals.</w:t>
      </w:r>
    </w:p>
    <w:p w14:paraId="5273F7FB" w14:textId="440EDE11" w:rsidR="00171D81" w:rsidRPr="0066745A" w:rsidRDefault="00171D81" w:rsidP="009F5FFB">
      <w:pPr>
        <w:pStyle w:val="p"/>
        <w:spacing w:before="240"/>
      </w:pPr>
      <w:r w:rsidRPr="0066745A">
        <w:lastRenderedPageBreak/>
        <w:t>2.</w:t>
      </w:r>
      <w:r w:rsidRPr="0066745A">
        <w:tab/>
        <w:t xml:space="preserve">The appellant was originally given a </w:t>
      </w:r>
      <w:r w:rsidR="004A7F54" w:rsidRPr="0066745A">
        <w:t>five-year</w:t>
      </w:r>
      <w:r w:rsidRPr="0066745A">
        <w:t xml:space="preserve"> residence card in 2011 but following or immediately before the expiry of that residence card applied to the respondent for permanent residence in the UK which would be recognised by means of a permanent residence card.  When the respondent considered the application on 27 October 2016 she decided not to accept that the appellant had necessarily been resident for five years</w:t>
      </w:r>
      <w:r w:rsidR="0012370A" w:rsidRPr="0066745A">
        <w:t>,</w:t>
      </w:r>
      <w:r w:rsidRPr="0066745A">
        <w:t xml:space="preserve"> nor did she accept that Mr </w:t>
      </w:r>
      <w:r w:rsidR="00914CF3">
        <w:t>[</w:t>
      </w:r>
      <w:r w:rsidR="00914CF3" w:rsidRPr="0066745A">
        <w:t>D</w:t>
      </w:r>
      <w:r w:rsidR="00914CF3">
        <w:t>]</w:t>
      </w:r>
      <w:r w:rsidRPr="0066745A">
        <w:t xml:space="preserve"> was exercising </w:t>
      </w:r>
      <w:r w:rsidR="0012370A" w:rsidRPr="0066745A">
        <w:t>T</w:t>
      </w:r>
      <w:r w:rsidRPr="0066745A">
        <w:t>reaty rights and the application was therefore rejected.</w:t>
      </w:r>
    </w:p>
    <w:p w14:paraId="2054C0BF" w14:textId="0A7C66E2" w:rsidR="00BF23BB" w:rsidRPr="0066745A" w:rsidRDefault="00171D81" w:rsidP="009F5FFB">
      <w:pPr>
        <w:pStyle w:val="p"/>
        <w:spacing w:before="240"/>
      </w:pPr>
      <w:r w:rsidRPr="0066745A">
        <w:t>3.</w:t>
      </w:r>
      <w:r w:rsidRPr="0066745A">
        <w:tab/>
        <w:t xml:space="preserve">There was subsequently an appeal to the First-tier </w:t>
      </w:r>
      <w:r w:rsidR="00837798" w:rsidRPr="0066745A">
        <w:t xml:space="preserve">Tribunal. </w:t>
      </w:r>
      <w:r w:rsidR="0012370A" w:rsidRPr="0066745A">
        <w:t>T</w:t>
      </w:r>
      <w:r w:rsidRPr="0066745A">
        <w:t xml:space="preserve">hat appeal came before First-tier Tribunal Judge Lal </w:t>
      </w:r>
      <w:r w:rsidR="0012370A" w:rsidRPr="0066745A">
        <w:t xml:space="preserve">(the </w:t>
      </w:r>
      <w:r w:rsidR="007F0CE6" w:rsidRPr="0066745A">
        <w:t>Immigration Judge</w:t>
      </w:r>
      <w:r w:rsidR="0012370A" w:rsidRPr="0066745A">
        <w:t xml:space="preserve">) </w:t>
      </w:r>
      <w:r w:rsidRPr="0066745A">
        <w:t>on 5 March 2018.  Judge Lal, having considered the application and the evidence before him, decided to accept, i.e. accede to</w:t>
      </w:r>
      <w:r w:rsidR="0012370A" w:rsidRPr="0066745A">
        <w:t>,</w:t>
      </w:r>
      <w:r w:rsidRPr="0066745A">
        <w:t xml:space="preserve"> the appeal and he directed the respondent to issue the appellant with a permanent residence card.  No anonymity direction was made and according to the </w:t>
      </w:r>
      <w:r w:rsidR="00837798" w:rsidRPr="0066745A">
        <w:t>decision,</w:t>
      </w:r>
      <w:r w:rsidR="0012370A" w:rsidRPr="0066745A">
        <w:t xml:space="preserve"> </w:t>
      </w:r>
      <w:r w:rsidRPr="0066745A">
        <w:t>the judge also directed there to be a fee award in the appellant's favour.</w:t>
      </w:r>
    </w:p>
    <w:p w14:paraId="6E732598" w14:textId="1EC790E2" w:rsidR="00171D81" w:rsidRPr="0066745A" w:rsidRDefault="0012370A" w:rsidP="009F5FFB">
      <w:pPr>
        <w:pStyle w:val="p"/>
        <w:spacing w:before="240"/>
        <w:rPr>
          <w:b/>
          <w:u w:val="single"/>
        </w:rPr>
      </w:pPr>
      <w:r w:rsidRPr="0066745A">
        <w:rPr>
          <w:b/>
          <w:u w:val="single"/>
        </w:rPr>
        <w:t>The appeal before the Upper Tribunal</w:t>
      </w:r>
    </w:p>
    <w:p w14:paraId="527619A0" w14:textId="628B0A64" w:rsidR="00171D81" w:rsidRPr="0066745A" w:rsidRDefault="00171D81" w:rsidP="009F5FFB">
      <w:pPr>
        <w:pStyle w:val="p"/>
        <w:spacing w:before="240"/>
      </w:pPr>
      <w:r w:rsidRPr="0066745A">
        <w:t>4.</w:t>
      </w:r>
      <w:r w:rsidRPr="0066745A">
        <w:tab/>
      </w:r>
      <w:r w:rsidR="0012370A" w:rsidRPr="0066745A">
        <w:t>The current appeal is</w:t>
      </w:r>
      <w:r w:rsidR="00623BA3" w:rsidRPr="0066745A">
        <w:t xml:space="preserve"> against the Immigration Judge’s decision</w:t>
      </w:r>
      <w:r w:rsidR="0012370A" w:rsidRPr="0066745A">
        <w:t xml:space="preserve"> by the respondent</w:t>
      </w:r>
      <w:r w:rsidR="007F0CE6" w:rsidRPr="0066745A">
        <w:t>.</w:t>
      </w:r>
      <w:r w:rsidR="00956EE1">
        <w:t xml:space="preserve"> Nevertheless, </w:t>
      </w:r>
      <w:r w:rsidR="007F0CE6" w:rsidRPr="0066745A">
        <w:t xml:space="preserve">I will continue to refer to the parties henceforth by their classification before the FTT. The respondent </w:t>
      </w:r>
      <w:r w:rsidR="0012370A" w:rsidRPr="0066745A">
        <w:t xml:space="preserve">appeals to the Upper Tribunal with the permission of First-tier Tribunal Judge </w:t>
      </w:r>
      <w:r w:rsidRPr="0066745A">
        <w:t>David Kelly, who considered the application for permission to appeal on 17 July 2018.</w:t>
      </w:r>
      <w:r w:rsidR="0012370A" w:rsidRPr="0066745A">
        <w:t xml:space="preserve"> Judge Kelly pointed out that the reference to regulation 15 of the Immigration (EEA) Regulations 2006 (2006 Regulations</w:t>
      </w:r>
      <w:r w:rsidR="007F0CE6" w:rsidRPr="0066745A">
        <w:t>)</w:t>
      </w:r>
      <w:r w:rsidR="0012370A" w:rsidRPr="0066745A">
        <w:t xml:space="preserve"> had clearly been a reference to regulation 10. </w:t>
      </w:r>
      <w:r w:rsidR="007F0CE6" w:rsidRPr="0066745A">
        <w:t>This was because Regulation 10 dealt with the “retained” right of residence of a “family member” of a “qualified person or of an EEA national” whereas Regulation 15 dealt with the persons who would acquire the right to reside in the UK permanently including a family member of a worker but who has resided in the UK in accordance with the regulations</w:t>
      </w:r>
      <w:r w:rsidR="007D5481" w:rsidRPr="0066745A">
        <w:t xml:space="preserve"> for five years</w:t>
      </w:r>
      <w:r w:rsidR="007F0CE6" w:rsidRPr="0066745A">
        <w:t>.</w:t>
      </w:r>
    </w:p>
    <w:p w14:paraId="05D6949D" w14:textId="14F67DA2" w:rsidR="00171D81" w:rsidRPr="0066745A" w:rsidRDefault="00171D81" w:rsidP="009F5FFB">
      <w:pPr>
        <w:pStyle w:val="p"/>
        <w:spacing w:before="240"/>
      </w:pPr>
      <w:r w:rsidRPr="0066745A">
        <w:t>5.</w:t>
      </w:r>
      <w:r w:rsidRPr="0066745A">
        <w:tab/>
        <w:t>At the appeal hearing</w:t>
      </w:r>
      <w:r w:rsidR="007F0CE6" w:rsidRPr="0066745A">
        <w:t xml:space="preserve"> </w:t>
      </w:r>
      <w:r w:rsidRPr="0066745A">
        <w:t>the respondent</w:t>
      </w:r>
      <w:r w:rsidR="007F0CE6" w:rsidRPr="0066745A">
        <w:t xml:space="preserve">, </w:t>
      </w:r>
      <w:r w:rsidRPr="0066745A">
        <w:t>represented by Ms Kiss,</w:t>
      </w:r>
      <w:r w:rsidR="007F0CE6" w:rsidRPr="0066745A">
        <w:t xml:space="preserve"> </w:t>
      </w:r>
      <w:r w:rsidRPr="0066745A">
        <w:t xml:space="preserve">submitted that the </w:t>
      </w:r>
      <w:r w:rsidR="007F0CE6" w:rsidRPr="0066745A">
        <w:t xml:space="preserve">Immigration Judge </w:t>
      </w:r>
      <w:r w:rsidRPr="0066745A">
        <w:t>had applied the wrong Regulations, referring erroneously to Regulation</w:t>
      </w:r>
      <w:r w:rsidR="007F0CE6" w:rsidRPr="0066745A">
        <w:t xml:space="preserve"> 15 </w:t>
      </w:r>
      <w:r w:rsidRPr="0066745A">
        <w:t>rather than to Regulation</w:t>
      </w:r>
      <w:r w:rsidR="007F0CE6" w:rsidRPr="0066745A">
        <w:t xml:space="preserve"> 10</w:t>
      </w:r>
      <w:r w:rsidRPr="0066745A">
        <w:t>.  Regulation 15 applies to a person who is a family member of an EEA national who is not himself an EEA national but who has resided in the UK with an EEA national in accordance with the Regulations for a continuous period of five years or is the family member of a worker or self-employed person who has ceased that activity.</w:t>
      </w:r>
    </w:p>
    <w:p w14:paraId="42D20E36" w14:textId="30DFD376" w:rsidR="00910E57" w:rsidRPr="0066745A" w:rsidRDefault="00171D81" w:rsidP="009F5FFB">
      <w:pPr>
        <w:pStyle w:val="p"/>
        <w:spacing w:before="240"/>
      </w:pPr>
      <w:r w:rsidRPr="0066745A">
        <w:t>6.</w:t>
      </w:r>
      <w:r w:rsidRPr="0066745A">
        <w:tab/>
        <w:t>Regulation 10 deals with family members who have retained right</w:t>
      </w:r>
      <w:r w:rsidR="00910E57" w:rsidRPr="0066745A">
        <w:t>s</w:t>
      </w:r>
      <w:r w:rsidRPr="0066745A">
        <w:t xml:space="preserve"> of residence</w:t>
      </w:r>
      <w:r w:rsidR="00910E57" w:rsidRPr="0066745A">
        <w:t xml:space="preserve"> by virtue of satisfying certain conditions in subparagraph (2) of that Regulation including where he is a family member of an EEA national with a permanent right of residence when that person has </w:t>
      </w:r>
      <w:r w:rsidR="00C37FFE" w:rsidRPr="0066745A">
        <w:t>died,</w:t>
      </w:r>
      <w:r w:rsidR="00910E57" w:rsidRPr="0066745A">
        <w:t xml:space="preserve"> or he has resided in the United Kingdom in accordance with the Regulations for at least the year immediately before the death of that person</w:t>
      </w:r>
      <w:r w:rsidR="001446F2" w:rsidRPr="0066745A">
        <w:t>. There</w:t>
      </w:r>
      <w:r w:rsidR="00910E57" w:rsidRPr="0066745A">
        <w:t xml:space="preserve"> are various conditions that </w:t>
      </w:r>
      <w:r w:rsidR="001446F2" w:rsidRPr="0066745A">
        <w:t>w</w:t>
      </w:r>
      <w:r w:rsidR="00910E57" w:rsidRPr="0066745A">
        <w:t>ould</w:t>
      </w:r>
      <w:r w:rsidR="001446F2" w:rsidRPr="0066745A">
        <w:t xml:space="preserve"> need to</w:t>
      </w:r>
      <w:r w:rsidR="00910E57" w:rsidRPr="0066745A">
        <w:t xml:space="preserve"> be met </w:t>
      </w:r>
      <w:r w:rsidR="001446F2" w:rsidRPr="0066745A">
        <w:t>before</w:t>
      </w:r>
      <w:r w:rsidR="00910E57" w:rsidRPr="0066745A">
        <w:t xml:space="preserve"> that Regulation</w:t>
      </w:r>
      <w:r w:rsidR="001446F2" w:rsidRPr="0066745A">
        <w:t xml:space="preserve"> could be </w:t>
      </w:r>
      <w:r w:rsidR="002E08FC" w:rsidRPr="0066745A">
        <w:t>satisfied</w:t>
      </w:r>
      <w:r w:rsidR="00650FFC" w:rsidRPr="0066745A">
        <w:t xml:space="preserve"> but the Immigration Judge had made no, or no adequate, findings</w:t>
      </w:r>
      <w:r w:rsidR="00910E57" w:rsidRPr="0066745A">
        <w:t>.</w:t>
      </w:r>
    </w:p>
    <w:p w14:paraId="0D01CB50" w14:textId="3E40E90F" w:rsidR="00910E57" w:rsidRPr="0066745A" w:rsidRDefault="00910E57" w:rsidP="009F5FFB">
      <w:pPr>
        <w:pStyle w:val="p"/>
        <w:spacing w:before="240"/>
      </w:pPr>
      <w:r w:rsidRPr="0066745A">
        <w:t>7.</w:t>
      </w:r>
      <w:r w:rsidRPr="0066745A">
        <w:tab/>
        <w:t xml:space="preserve">The position here was that Mr </w:t>
      </w:r>
      <w:r w:rsidR="00914CF3">
        <w:t>[</w:t>
      </w:r>
      <w:r w:rsidR="00914CF3" w:rsidRPr="0066745A">
        <w:t>D</w:t>
      </w:r>
      <w:r w:rsidR="00914CF3">
        <w:t>]</w:t>
      </w:r>
      <w:r w:rsidRPr="0066745A">
        <w:t xml:space="preserve"> was originally married to another person and the exercise of treaty rights by Mr </w:t>
      </w:r>
      <w:r w:rsidR="00914CF3">
        <w:t>[</w:t>
      </w:r>
      <w:r w:rsidR="00914CF3" w:rsidRPr="0066745A">
        <w:t>D</w:t>
      </w:r>
      <w:r w:rsidR="00914CF3">
        <w:t>]</w:t>
      </w:r>
      <w:r w:rsidRPr="0066745A">
        <w:t xml:space="preserve"> was disputed by the respondent.  Proof was put </w:t>
      </w:r>
      <w:r w:rsidR="00C37FFE" w:rsidRPr="0066745A">
        <w:t>forward,</w:t>
      </w:r>
      <w:r w:rsidRPr="0066745A">
        <w:t xml:space="preserve"> but it did not cover the whole </w:t>
      </w:r>
      <w:r w:rsidR="00C37FFE" w:rsidRPr="0066745A">
        <w:t>five-year</w:t>
      </w:r>
      <w:r w:rsidRPr="0066745A">
        <w:t xml:space="preserve"> period.  It seems that Mr </w:t>
      </w:r>
      <w:r w:rsidR="00914CF3">
        <w:t>[</w:t>
      </w:r>
      <w:r w:rsidR="00914CF3" w:rsidRPr="0066745A">
        <w:t>D</w:t>
      </w:r>
      <w:r w:rsidR="00914CF3">
        <w:t>]</w:t>
      </w:r>
      <w:r w:rsidRPr="0066745A">
        <w:t xml:space="preserve"> at some </w:t>
      </w:r>
      <w:r w:rsidRPr="0066745A">
        <w:lastRenderedPageBreak/>
        <w:t>point stopped working and he may have been incapacitated but there was no attempt in the evidence presented before the Tribunal</w:t>
      </w:r>
      <w:r w:rsidR="007F0CE6" w:rsidRPr="0066745A">
        <w:t>,</w:t>
      </w:r>
      <w:r w:rsidRPr="0066745A">
        <w:t xml:space="preserve"> or at least </w:t>
      </w:r>
      <w:r w:rsidR="007F0CE6" w:rsidRPr="0066745A">
        <w:t xml:space="preserve">based </w:t>
      </w:r>
      <w:r w:rsidRPr="0066745A">
        <w:t>on the evidence as recorded by the</w:t>
      </w:r>
      <w:r w:rsidR="00AC58FE" w:rsidRPr="0066745A">
        <w:t xml:space="preserve"> Immigration Judge </w:t>
      </w:r>
      <w:r w:rsidRPr="0066745A">
        <w:t>in his decision</w:t>
      </w:r>
      <w:r w:rsidR="007F0CE6" w:rsidRPr="0066745A">
        <w:t>,</w:t>
      </w:r>
      <w:r w:rsidRPr="0066745A">
        <w:t xml:space="preserve"> </w:t>
      </w:r>
      <w:r w:rsidR="00AC58FE" w:rsidRPr="0066745A">
        <w:t xml:space="preserve">to </w:t>
      </w:r>
      <w:r w:rsidR="00914CF3" w:rsidRPr="0066745A">
        <w:t>indicate what</w:t>
      </w:r>
      <w:r w:rsidR="0098048C" w:rsidRPr="0066745A">
        <w:t xml:space="preserve"> evidence he found satisfied </w:t>
      </w:r>
      <w:r w:rsidRPr="0066745A">
        <w:t xml:space="preserve">the </w:t>
      </w:r>
      <w:r w:rsidR="00C37FFE" w:rsidRPr="0066745A">
        <w:t>five-year</w:t>
      </w:r>
      <w:r w:rsidRPr="0066745A">
        <w:t xml:space="preserve"> period</w:t>
      </w:r>
      <w:r w:rsidR="0098048C" w:rsidRPr="0066745A">
        <w:t xml:space="preserve"> during which the </w:t>
      </w:r>
      <w:proofErr w:type="gramStart"/>
      <w:r w:rsidR="0098048C" w:rsidRPr="0066745A">
        <w:t xml:space="preserve">appellant </w:t>
      </w:r>
      <w:r w:rsidRPr="0066745A">
        <w:t xml:space="preserve"> was</w:t>
      </w:r>
      <w:proofErr w:type="gramEnd"/>
      <w:r w:rsidRPr="0066745A">
        <w:t xml:space="preserve"> supposed to be exercising treaty rights</w:t>
      </w:r>
      <w:r w:rsidR="00FB27BF" w:rsidRPr="0066745A">
        <w:t xml:space="preserve"> if</w:t>
      </w:r>
      <w:r w:rsidR="009966E1" w:rsidRPr="0066745A">
        <w:t xml:space="preserve"> regulation 15 was to be found to apply</w:t>
      </w:r>
      <w:r w:rsidRPr="0066745A">
        <w:t>.  There was no evidence as to his incapacity as such</w:t>
      </w:r>
      <w:r w:rsidR="007F0CE6" w:rsidRPr="0066745A">
        <w:t>. I</w:t>
      </w:r>
      <w:r w:rsidRPr="0066745A">
        <w:t>t was merely asserted that he had been in employment and had subsequently become unemployed.</w:t>
      </w:r>
    </w:p>
    <w:p w14:paraId="1E667171" w14:textId="15C59CD9" w:rsidR="00910E57" w:rsidRPr="0066745A" w:rsidRDefault="00910E57" w:rsidP="009F5FFB">
      <w:pPr>
        <w:pStyle w:val="p"/>
        <w:spacing w:before="240"/>
      </w:pPr>
      <w:r w:rsidRPr="0066745A">
        <w:t>8.</w:t>
      </w:r>
      <w:r w:rsidRPr="0066745A">
        <w:tab/>
        <w:t xml:space="preserve">The respondent in the course of her submissions also referred to Regulation 5 of the 2006 Regulations, which refers to the </w:t>
      </w:r>
      <w:r w:rsidR="007F0CE6" w:rsidRPr="0066745A">
        <w:t>"</w:t>
      </w:r>
      <w:r w:rsidRPr="0066745A">
        <w:t>worker or self-employed person</w:t>
      </w:r>
      <w:r w:rsidR="007F0CE6" w:rsidRPr="0066745A">
        <w:t>”</w:t>
      </w:r>
      <w:r w:rsidRPr="0066745A">
        <w:t xml:space="preserve"> exercising </w:t>
      </w:r>
      <w:r w:rsidR="007F0CE6" w:rsidRPr="0066745A">
        <w:t>Treaty</w:t>
      </w:r>
      <w:r w:rsidRPr="0066745A">
        <w:t xml:space="preserve"> rights under the Regulations who has ceased that activity.  There are a number of technical requirements which must be fulfilled before one can bring oneself within that Regulation.</w:t>
      </w:r>
    </w:p>
    <w:p w14:paraId="2B5F0D9C" w14:textId="37A9B914" w:rsidR="00910E57" w:rsidRPr="0066745A" w:rsidRDefault="00910E57" w:rsidP="009F5FFB">
      <w:pPr>
        <w:pStyle w:val="p"/>
        <w:spacing w:before="240"/>
        <w:rPr>
          <w:rFonts w:ascii="Courier New" w:hAnsi="Courier New"/>
        </w:rPr>
      </w:pPr>
      <w:r w:rsidRPr="0066745A">
        <w:t>9.</w:t>
      </w:r>
      <w:r w:rsidRPr="0066745A">
        <w:tab/>
      </w:r>
      <w:r w:rsidR="00956EE1">
        <w:t xml:space="preserve">Mr </w:t>
      </w:r>
      <w:proofErr w:type="spellStart"/>
      <w:r w:rsidR="00956EE1">
        <w:t>Okech</w:t>
      </w:r>
      <w:proofErr w:type="spellEnd"/>
      <w:r w:rsidR="00956EE1">
        <w:t xml:space="preserve"> accepted on behalf of the</w:t>
      </w:r>
      <w:r w:rsidRPr="0066745A">
        <w:t xml:space="preserve"> appellant that the Immigration Judge had referred to the wrong Regulations.  He also accepted</w:t>
      </w:r>
      <w:r w:rsidR="00776CBC" w:rsidRPr="0066745A">
        <w:t xml:space="preserve">, after I </w:t>
      </w:r>
      <w:r w:rsidR="00956EE1">
        <w:t xml:space="preserve">reminded him of </w:t>
      </w:r>
      <w:r w:rsidR="00776CBC" w:rsidRPr="0066745A">
        <w:t>the</w:t>
      </w:r>
      <w:r w:rsidRPr="0066745A">
        <w:t xml:space="preserve"> reference in the decision to the late lodging of documents</w:t>
      </w:r>
      <w:r w:rsidR="00F97F2D" w:rsidRPr="0066745A">
        <w:t xml:space="preserve"> by the appellant,</w:t>
      </w:r>
      <w:r w:rsidRPr="0066745A">
        <w:t xml:space="preserve"> that a</w:t>
      </w:r>
      <w:r w:rsidR="00956EE1">
        <w:t>n appellant’s</w:t>
      </w:r>
      <w:r w:rsidRPr="0066745A">
        <w:t xml:space="preserve"> bundle was submitted on the morning of the hearing</w:t>
      </w:r>
      <w:r w:rsidR="00956EE1">
        <w:t xml:space="preserve"> in breach of the directions that would have been given</w:t>
      </w:r>
      <w:r w:rsidRPr="0066745A">
        <w:t xml:space="preserve">.  That bundle has been </w:t>
      </w:r>
      <w:r w:rsidR="00956EE1">
        <w:t>provided to the Upper Tribunal. It con</w:t>
      </w:r>
      <w:r w:rsidRPr="0066745A">
        <w:t>tain</w:t>
      </w:r>
      <w:r w:rsidR="00956EE1">
        <w:t>s</w:t>
      </w:r>
      <w:r w:rsidRPr="0066745A">
        <w:t xml:space="preserve"> a witness statement from Mr </w:t>
      </w:r>
      <w:r w:rsidR="00914CF3">
        <w:t>[</w:t>
      </w:r>
      <w:r w:rsidR="00914CF3" w:rsidRPr="0066745A">
        <w:t>D</w:t>
      </w:r>
      <w:r w:rsidR="00914CF3">
        <w:t>]</w:t>
      </w:r>
      <w:r w:rsidRPr="0066745A">
        <w:t xml:space="preserve"> as well as other documents which may have been relevant to the decision</w:t>
      </w:r>
      <w:r w:rsidR="007F0CE6" w:rsidRPr="0066745A">
        <w:t>,</w:t>
      </w:r>
      <w:r w:rsidRPr="0066745A">
        <w:t xml:space="preserve"> such as the applicant's own witness statement.  There seemed to be no agreement between the parties before</w:t>
      </w:r>
      <w:r w:rsidR="007F0CE6" w:rsidRPr="0066745A">
        <w:t xml:space="preserve"> the Upper Tribunal </w:t>
      </w:r>
      <w:r w:rsidRPr="0066745A">
        <w:t xml:space="preserve">as to whether the respondent was represented.  It is noteworthy that there is no reference to the respondent's representatives in the </w:t>
      </w:r>
      <w:r w:rsidR="007F0CE6" w:rsidRPr="0066745A">
        <w:t xml:space="preserve">Immigration Judge’s </w:t>
      </w:r>
      <w:r w:rsidRPr="0066745A">
        <w:t>decision</w:t>
      </w:r>
      <w:r w:rsidR="00B041EE" w:rsidRPr="0066745A">
        <w:t xml:space="preserve"> or in </w:t>
      </w:r>
      <w:r w:rsidR="00461894">
        <w:t>his</w:t>
      </w:r>
      <w:r w:rsidRPr="0066745A">
        <w:t xml:space="preserve"> notes </w:t>
      </w:r>
      <w:r w:rsidR="00B041EE" w:rsidRPr="0066745A">
        <w:t>of the hearing and</w:t>
      </w:r>
      <w:r w:rsidRPr="0066745A">
        <w:t xml:space="preserve"> Ms Kiss ha</w:t>
      </w:r>
      <w:r w:rsidR="00B041EE" w:rsidRPr="0066745A">
        <w:t>d</w:t>
      </w:r>
      <w:r w:rsidRPr="0066745A">
        <w:t xml:space="preserve"> no reference</w:t>
      </w:r>
      <w:r w:rsidR="0066745A">
        <w:t xml:space="preserve"> on her file </w:t>
      </w:r>
      <w:r w:rsidR="0066745A" w:rsidRPr="0066745A">
        <w:t xml:space="preserve">to </w:t>
      </w:r>
      <w:r w:rsidRPr="0066745A">
        <w:t xml:space="preserve">any </w:t>
      </w:r>
      <w:r w:rsidR="00956EE1">
        <w:t xml:space="preserve">respondent’s </w:t>
      </w:r>
      <w:r w:rsidRPr="0066745A">
        <w:t xml:space="preserve">representative attending the </w:t>
      </w:r>
      <w:r w:rsidR="00956EE1">
        <w:t>FTT</w:t>
      </w:r>
      <w:r w:rsidRPr="0066745A">
        <w:t>.</w:t>
      </w:r>
    </w:p>
    <w:p w14:paraId="44D4FDA0" w14:textId="7B2B3FA4" w:rsidR="00910E57" w:rsidRPr="0066745A" w:rsidRDefault="00910E57" w:rsidP="009F5FFB">
      <w:pPr>
        <w:pStyle w:val="p"/>
        <w:spacing w:before="240"/>
      </w:pPr>
      <w:r w:rsidRPr="0066745A">
        <w:t>10.</w:t>
      </w:r>
      <w:r w:rsidRPr="0066745A">
        <w:tab/>
      </w:r>
      <w:r w:rsidR="00347E31">
        <w:t>However</w:t>
      </w:r>
      <w:r w:rsidR="00347E31" w:rsidRPr="0066745A">
        <w:t xml:space="preserve">, Mr </w:t>
      </w:r>
      <w:proofErr w:type="spellStart"/>
      <w:r w:rsidR="00347E31" w:rsidRPr="0066745A">
        <w:t>Okech</w:t>
      </w:r>
      <w:proofErr w:type="spellEnd"/>
      <w:r w:rsidR="00347E31" w:rsidRPr="0066745A">
        <w:t>, having taken instructions from his client</w:t>
      </w:r>
      <w:r w:rsidR="00347E31">
        <w:t xml:space="preserve">, </w:t>
      </w:r>
      <w:r w:rsidR="00D137E5" w:rsidRPr="0066745A">
        <w:t xml:space="preserve">recalled </w:t>
      </w:r>
      <w:r w:rsidR="00956EE1">
        <w:t>“</w:t>
      </w:r>
      <w:r w:rsidR="00D137E5" w:rsidRPr="0066745A">
        <w:t>someone</w:t>
      </w:r>
      <w:r w:rsidR="00956EE1">
        <w:t>” for the respondent</w:t>
      </w:r>
      <w:r w:rsidR="00D137E5" w:rsidRPr="0066745A">
        <w:t xml:space="preserve"> being present </w:t>
      </w:r>
      <w:r w:rsidR="00347E31">
        <w:t xml:space="preserve">the </w:t>
      </w:r>
      <w:r w:rsidR="00956EE1">
        <w:t>FTT</w:t>
      </w:r>
      <w:r w:rsidR="00180F8C">
        <w:t xml:space="preserve">. I expressed </w:t>
      </w:r>
      <w:r w:rsidR="00D137E5" w:rsidRPr="0066745A">
        <w:t xml:space="preserve">some surprise that Mr </w:t>
      </w:r>
      <w:proofErr w:type="spellStart"/>
      <w:r w:rsidR="00D137E5" w:rsidRPr="0066745A">
        <w:t>Okech</w:t>
      </w:r>
      <w:proofErr w:type="spellEnd"/>
      <w:r w:rsidR="00180F8C">
        <w:t xml:space="preserve"> did </w:t>
      </w:r>
      <w:r w:rsidR="00D137E5" w:rsidRPr="0066745A">
        <w:t xml:space="preserve">not have </w:t>
      </w:r>
      <w:r w:rsidR="00461894" w:rsidRPr="0066745A">
        <w:t>a</w:t>
      </w:r>
      <w:r w:rsidR="00461894">
        <w:t xml:space="preserve">n </w:t>
      </w:r>
      <w:r w:rsidR="00461894" w:rsidRPr="0066745A">
        <w:t>attendance</w:t>
      </w:r>
      <w:r w:rsidR="00956EE1">
        <w:t xml:space="preserve"> </w:t>
      </w:r>
      <w:r w:rsidR="00D137E5" w:rsidRPr="0066745A">
        <w:t>file note for</w:t>
      </w:r>
      <w:r w:rsidR="00180F8C">
        <w:t xml:space="preserve"> </w:t>
      </w:r>
      <w:r w:rsidR="00760B49">
        <w:t>the hearing before the FTT</w:t>
      </w:r>
      <w:r w:rsidR="00D137E5" w:rsidRPr="0066745A">
        <w:t xml:space="preserve"> or </w:t>
      </w:r>
      <w:r w:rsidR="00956EE1">
        <w:t xml:space="preserve">any notes form that </w:t>
      </w:r>
      <w:r w:rsidR="00D137E5" w:rsidRPr="0066745A">
        <w:t>hearing</w:t>
      </w:r>
      <w:r w:rsidR="00760B49">
        <w:t xml:space="preserve">. Had he </w:t>
      </w:r>
      <w:r w:rsidR="00956EE1">
        <w:t xml:space="preserve">done so it </w:t>
      </w:r>
      <w:r w:rsidR="00461894">
        <w:t>would have</w:t>
      </w:r>
      <w:r w:rsidR="00956EE1">
        <w:t xml:space="preserve"> been clear</w:t>
      </w:r>
      <w:r w:rsidR="00760B49">
        <w:t xml:space="preserve"> </w:t>
      </w:r>
      <w:r w:rsidR="00D137E5" w:rsidRPr="0066745A">
        <w:t>whether the Home Office were represented or not</w:t>
      </w:r>
      <w:r w:rsidR="00760B49">
        <w:t>. However,</w:t>
      </w:r>
      <w:r w:rsidR="00727764">
        <w:t xml:space="preserve"> on balance</w:t>
      </w:r>
      <w:r w:rsidR="00D137E5" w:rsidRPr="0066745A">
        <w:t>, it seems unlikely the</w:t>
      </w:r>
      <w:r w:rsidR="007F0CE6" w:rsidRPr="0066745A">
        <w:t xml:space="preserve"> Home Office was </w:t>
      </w:r>
      <w:r w:rsidR="00D137E5" w:rsidRPr="0066745A">
        <w:t>represented, given the lack of any record of any submissions or any cross-examination by the respondent</w:t>
      </w:r>
      <w:r w:rsidR="00956EE1">
        <w:t xml:space="preserve"> in the </w:t>
      </w:r>
      <w:r w:rsidR="00461894">
        <w:t>decision</w:t>
      </w:r>
      <w:r w:rsidR="00D137E5" w:rsidRPr="0066745A">
        <w:t>.</w:t>
      </w:r>
    </w:p>
    <w:p w14:paraId="7AA62FE2" w14:textId="6613398D" w:rsidR="00D137E5" w:rsidRPr="0066745A" w:rsidRDefault="00D137E5" w:rsidP="009F5FFB">
      <w:pPr>
        <w:pStyle w:val="p"/>
        <w:spacing w:before="240"/>
      </w:pPr>
      <w:r w:rsidRPr="0066745A">
        <w:t>11.</w:t>
      </w:r>
      <w:r w:rsidRPr="0066745A">
        <w:tab/>
      </w:r>
      <w:r w:rsidR="007F0CE6" w:rsidRPr="0066745A">
        <w:t>T</w:t>
      </w:r>
      <w:r w:rsidRPr="0066745A">
        <w:t>here may</w:t>
      </w:r>
      <w:r w:rsidR="007F0CE6" w:rsidRPr="0066745A">
        <w:t>,</w:t>
      </w:r>
      <w:r w:rsidRPr="0066745A">
        <w:t xml:space="preserve"> therefore</w:t>
      </w:r>
      <w:r w:rsidR="007F0CE6" w:rsidRPr="0066745A">
        <w:t>,</w:t>
      </w:r>
      <w:r w:rsidRPr="0066745A">
        <w:t xml:space="preserve"> be criticisms of both sides in this case</w:t>
      </w:r>
      <w:r w:rsidR="00956EE1">
        <w:t>;</w:t>
      </w:r>
      <w:r w:rsidRPr="0066745A">
        <w:t xml:space="preserve"> the appellant for submitting a bundle late and the respondent for not drawing the</w:t>
      </w:r>
      <w:r w:rsidR="00CD1940" w:rsidRPr="0066745A">
        <w:t xml:space="preserve"> Immigration Judge’s </w:t>
      </w:r>
      <w:r w:rsidRPr="0066745A">
        <w:t>attention to the key issues in the case by attending</w:t>
      </w:r>
      <w:r w:rsidR="001A3989">
        <w:t xml:space="preserve"> and making oral submissions </w:t>
      </w:r>
      <w:r w:rsidRPr="0066745A">
        <w:t>or</w:t>
      </w:r>
      <w:r w:rsidR="00514A6D">
        <w:t xml:space="preserve"> submitting </w:t>
      </w:r>
      <w:r w:rsidRPr="0066745A">
        <w:t>a written</w:t>
      </w:r>
      <w:r w:rsidR="00514A6D">
        <w:t xml:space="preserve"> argument </w:t>
      </w:r>
      <w:r w:rsidRPr="0066745A">
        <w:t>to the</w:t>
      </w:r>
      <w:r w:rsidR="00514A6D">
        <w:t xml:space="preserve"> Immigration Judge </w:t>
      </w:r>
      <w:r w:rsidRPr="0066745A">
        <w:t xml:space="preserve">which could have been considered by him. </w:t>
      </w:r>
      <w:r w:rsidR="00514A6D">
        <w:t>I</w:t>
      </w:r>
      <w:r w:rsidR="00956EE1">
        <w:t>t is i</w:t>
      </w:r>
      <w:r w:rsidR="00514A6D">
        <w:t>ncumbent on represented parties to prepare properly</w:t>
      </w:r>
      <w:r w:rsidR="00D564EA">
        <w:t xml:space="preserve"> for hearings and present all their arguments </w:t>
      </w:r>
      <w:r w:rsidR="00956EE1">
        <w:t xml:space="preserve">at </w:t>
      </w:r>
      <w:r w:rsidR="00D564EA">
        <w:t xml:space="preserve">the first </w:t>
      </w:r>
      <w:r w:rsidR="00461894">
        <w:t xml:space="preserve">opportunity. </w:t>
      </w:r>
      <w:r w:rsidRPr="0066745A">
        <w:t xml:space="preserve">Nevertheless, it was </w:t>
      </w:r>
      <w:r w:rsidR="00956EE1">
        <w:t xml:space="preserve">also </w:t>
      </w:r>
      <w:r w:rsidRPr="0066745A">
        <w:t>incumbent on the</w:t>
      </w:r>
      <w:r w:rsidR="00CD1940" w:rsidRPr="0066745A">
        <w:t xml:space="preserve"> Immigration Judge </w:t>
      </w:r>
      <w:r w:rsidRPr="0066745A">
        <w:t>to consider and apply the law correctly to the facts of the case</w:t>
      </w:r>
      <w:r w:rsidR="00E51C72">
        <w:t xml:space="preserve"> as he found them to be</w:t>
      </w:r>
      <w:r w:rsidRPr="0066745A">
        <w:t>.</w:t>
      </w:r>
    </w:p>
    <w:p w14:paraId="52DBA0EA" w14:textId="1357A1BD" w:rsidR="00CD1940" w:rsidRPr="0066745A" w:rsidRDefault="00CD1940" w:rsidP="009F5FFB">
      <w:pPr>
        <w:pStyle w:val="p"/>
        <w:spacing w:before="240"/>
      </w:pPr>
      <w:r w:rsidRPr="0066745A">
        <w:rPr>
          <w:b/>
          <w:u w:val="single"/>
        </w:rPr>
        <w:t>Conclusion</w:t>
      </w:r>
    </w:p>
    <w:p w14:paraId="0FEF0F84" w14:textId="77777777" w:rsidR="00E42D19" w:rsidRDefault="00D137E5" w:rsidP="009F5FFB">
      <w:pPr>
        <w:pStyle w:val="p"/>
        <w:spacing w:before="240"/>
      </w:pPr>
      <w:r w:rsidRPr="0066745A">
        <w:t>12.</w:t>
      </w:r>
      <w:r w:rsidRPr="0066745A">
        <w:tab/>
      </w:r>
      <w:r w:rsidR="00CD1940" w:rsidRPr="0066745A">
        <w:t>There is clearly a material error of law in the decision of the FTT</w:t>
      </w:r>
      <w:r w:rsidR="00E42D19" w:rsidRPr="00E42D19">
        <w:t xml:space="preserve"> </w:t>
      </w:r>
      <w:r w:rsidR="00E42D19">
        <w:t>for the purposes of section 12 (1) of the Tribunals, Courts and Enforcement Act 2007</w:t>
      </w:r>
      <w:r w:rsidR="00CD1940" w:rsidRPr="0066745A">
        <w:t xml:space="preserve">. </w:t>
      </w:r>
    </w:p>
    <w:p w14:paraId="382D0C9D" w14:textId="45EB5004" w:rsidR="00027F5D" w:rsidRDefault="00E42D19" w:rsidP="009F5FFB">
      <w:pPr>
        <w:pStyle w:val="p"/>
        <w:spacing w:before="240"/>
      </w:pPr>
      <w:r>
        <w:lastRenderedPageBreak/>
        <w:t>13.</w:t>
      </w:r>
      <w:r>
        <w:tab/>
      </w:r>
      <w:r w:rsidR="00D137E5" w:rsidRPr="0066745A">
        <w:t>Ordinarily,</w:t>
      </w:r>
      <w:r w:rsidR="00AF1F00" w:rsidRPr="0066745A">
        <w:t xml:space="preserve"> the finding of a material error of law would result in </w:t>
      </w:r>
      <w:r w:rsidR="00D137E5" w:rsidRPr="0066745A">
        <w:t>the Upper Tribunal</w:t>
      </w:r>
      <w:r w:rsidR="00AF1F00" w:rsidRPr="0066745A">
        <w:t xml:space="preserve"> </w:t>
      </w:r>
      <w:r w:rsidR="008332F5">
        <w:t xml:space="preserve">considering whether it is necessary to remake the </w:t>
      </w:r>
      <w:r w:rsidR="00C37FFE">
        <w:t>decision</w:t>
      </w:r>
      <w:r w:rsidR="008332F5">
        <w:t xml:space="preserve"> and if it is to </w:t>
      </w:r>
      <w:r w:rsidR="00D137E5" w:rsidRPr="0066745A">
        <w:t>re</w:t>
      </w:r>
      <w:r w:rsidR="008332F5">
        <w:t>-</w:t>
      </w:r>
      <w:r w:rsidR="00D137E5" w:rsidRPr="0066745A">
        <w:t>mak</w:t>
      </w:r>
      <w:r w:rsidR="008332F5">
        <w:t>e that</w:t>
      </w:r>
      <w:r w:rsidR="00D137E5" w:rsidRPr="0066745A">
        <w:t xml:space="preserve"> decision</w:t>
      </w:r>
      <w:r w:rsidR="00AF1F00" w:rsidRPr="0066745A">
        <w:t>. No oral evidence is likely to be required. However</w:t>
      </w:r>
      <w:r w:rsidR="00D137E5" w:rsidRPr="0066745A">
        <w:t xml:space="preserve">, </w:t>
      </w:r>
      <w:r w:rsidR="00E64F41">
        <w:t xml:space="preserve">having reminded myself of the Practice Statements: Immigration and Asylum Chamber of the FT and U T dated 13 November 2014 at paragraph 7.2 discussed in </w:t>
      </w:r>
      <w:r w:rsidR="00E2714E">
        <w:t>McDonald’s I</w:t>
      </w:r>
      <w:r w:rsidR="00E64F41">
        <w:t xml:space="preserve">mmigration </w:t>
      </w:r>
      <w:r w:rsidR="00E2714E">
        <w:t>Law</w:t>
      </w:r>
      <w:r w:rsidR="00E64F41">
        <w:t xml:space="preserve"> </w:t>
      </w:r>
      <w:r w:rsidR="000241D0">
        <w:t xml:space="preserve">at 21.15, </w:t>
      </w:r>
      <w:r w:rsidR="004C5F28">
        <w:t xml:space="preserve">it is necessary to look at the extent of any fact findings made by the </w:t>
      </w:r>
      <w:r w:rsidR="00E2714E">
        <w:t>FTT</w:t>
      </w:r>
      <w:r w:rsidR="004C5F28">
        <w:t xml:space="preserve"> and</w:t>
      </w:r>
      <w:r w:rsidR="00CC3D9A">
        <w:t xml:space="preserve"> </w:t>
      </w:r>
      <w:r w:rsidR="00EA3CE1">
        <w:t xml:space="preserve">where </w:t>
      </w:r>
      <w:r w:rsidR="00CC3D9A">
        <w:t xml:space="preserve">they are </w:t>
      </w:r>
      <w:r w:rsidR="00077C9C">
        <w:t>inadequate</w:t>
      </w:r>
      <w:r w:rsidR="00CC3D9A">
        <w:t xml:space="preserve">, consider </w:t>
      </w:r>
      <w:r w:rsidR="00077C9C">
        <w:t>whether</w:t>
      </w:r>
      <w:r w:rsidR="00EA3CE1">
        <w:t>,</w:t>
      </w:r>
      <w:r w:rsidR="004C5F28">
        <w:t xml:space="preserve"> if it is appropriate having regard to the overriding objective </w:t>
      </w:r>
      <w:r w:rsidR="00CC3D9A">
        <w:t xml:space="preserve">of trying cases </w:t>
      </w:r>
      <w:r w:rsidR="00077C9C">
        <w:t>justly</w:t>
      </w:r>
      <w:r w:rsidR="00CC3D9A">
        <w:t xml:space="preserve">, to </w:t>
      </w:r>
      <w:r w:rsidR="004C5F28">
        <w:t>remit the</w:t>
      </w:r>
      <w:r w:rsidR="00EA3CE1">
        <w:t xml:space="preserve"> </w:t>
      </w:r>
      <w:r w:rsidR="004C5F28">
        <w:t>m</w:t>
      </w:r>
      <w:r w:rsidR="00EA3CE1">
        <w:t>atter</w:t>
      </w:r>
      <w:r w:rsidR="004C5F28">
        <w:t xml:space="preserve"> </w:t>
      </w:r>
      <w:r w:rsidR="00EA3CE1">
        <w:t>to</w:t>
      </w:r>
      <w:r w:rsidR="004C5F28">
        <w:t xml:space="preserve"> the </w:t>
      </w:r>
      <w:r w:rsidR="00182123">
        <w:t>FTT.</w:t>
      </w:r>
    </w:p>
    <w:p w14:paraId="7978BD7E" w14:textId="1EFDEF5F" w:rsidR="00083E3E" w:rsidRDefault="00027F5D" w:rsidP="009F5FFB">
      <w:pPr>
        <w:pStyle w:val="p"/>
        <w:spacing w:before="240"/>
      </w:pPr>
      <w:r>
        <w:t>14.</w:t>
      </w:r>
      <w:r>
        <w:tab/>
        <w:t>Here, the fact findings were so</w:t>
      </w:r>
      <w:r w:rsidR="00CE3791">
        <w:t xml:space="preserve"> inadequate that </w:t>
      </w:r>
      <w:r w:rsidR="00083E3E">
        <w:t>the</w:t>
      </w:r>
      <w:r w:rsidR="002C0E16">
        <w:t xml:space="preserve"> Upper Tribunal </w:t>
      </w:r>
      <w:r w:rsidR="00083E3E">
        <w:t>considers it necessary to</w:t>
      </w:r>
      <w:r w:rsidR="002C0E16">
        <w:t xml:space="preserve"> do so.</w:t>
      </w:r>
      <w:r w:rsidR="00914C9D" w:rsidRPr="00914C9D">
        <w:t xml:space="preserve"> </w:t>
      </w:r>
      <w:r w:rsidR="00914C9D">
        <w:t>I</w:t>
      </w:r>
      <w:r w:rsidR="00914C9D" w:rsidRPr="0066745A">
        <w:t xml:space="preserve">t is impossible for the Upper Tribunal to proceed </w:t>
      </w:r>
      <w:r w:rsidR="00E36E1C">
        <w:t>to decide this appeal without making primary findings of fact.</w:t>
      </w:r>
      <w:r w:rsidR="00A31472">
        <w:t xml:space="preserve"> It </w:t>
      </w:r>
      <w:r w:rsidR="00E36E1C">
        <w:t>is not appropriate to proceed in</w:t>
      </w:r>
      <w:r w:rsidR="00A31472">
        <w:t xml:space="preserve"> </w:t>
      </w:r>
      <w:r w:rsidR="00EA3CE1">
        <w:t>that</w:t>
      </w:r>
      <w:r w:rsidR="00914C9D" w:rsidRPr="0066745A">
        <w:t xml:space="preserve"> manner</w:t>
      </w:r>
      <w:r w:rsidR="00EA3CE1">
        <w:t>, as both parties agreed</w:t>
      </w:r>
      <w:r w:rsidR="00914C9D" w:rsidRPr="0066745A">
        <w:t>.</w:t>
      </w:r>
    </w:p>
    <w:p w14:paraId="7E5DCDC9" w14:textId="31FE2E0C" w:rsidR="00D137E5" w:rsidRPr="0066745A" w:rsidRDefault="00083E3E" w:rsidP="009F5FFB">
      <w:pPr>
        <w:pStyle w:val="p"/>
        <w:spacing w:before="240"/>
      </w:pPr>
      <w:r>
        <w:t>15</w:t>
      </w:r>
      <w:r w:rsidR="002C0E16">
        <w:t>.</w:t>
      </w:r>
      <w:r>
        <w:tab/>
      </w:r>
      <w:r w:rsidR="002C0E16">
        <w:t>Therefore, having found a material error of law</w:t>
      </w:r>
      <w:r w:rsidR="00EA3CE1">
        <w:t>,</w:t>
      </w:r>
      <w:r w:rsidR="002C0E16">
        <w:t xml:space="preserve"> </w:t>
      </w:r>
      <w:r w:rsidR="00EA3CE1">
        <w:t xml:space="preserve">but a </w:t>
      </w:r>
      <w:r w:rsidR="002C0E16">
        <w:t>lack of fact findings</w:t>
      </w:r>
      <w:r w:rsidR="00EA3CE1">
        <w:t>,</w:t>
      </w:r>
      <w:r w:rsidR="000C66BC">
        <w:t xml:space="preserve"> and</w:t>
      </w:r>
      <w:r w:rsidR="002C0E16">
        <w:t xml:space="preserve"> </w:t>
      </w:r>
      <w:r>
        <w:t>having applied</w:t>
      </w:r>
      <w:r w:rsidR="002C0E16">
        <w:t xml:space="preserve"> the correct test</w:t>
      </w:r>
      <w:r w:rsidR="00816B9F">
        <w:t>, I have decided that the appropriate course</w:t>
      </w:r>
      <w:r w:rsidR="000C66BC">
        <w:t xml:space="preserve"> </w:t>
      </w:r>
      <w:r>
        <w:t xml:space="preserve">is to </w:t>
      </w:r>
      <w:r w:rsidR="00EA3CE1">
        <w:t xml:space="preserve">set aside the original decision and </w:t>
      </w:r>
      <w:r w:rsidR="00233BEE">
        <w:t>remit</w:t>
      </w:r>
      <w:r>
        <w:t xml:space="preserve"> the matter to the FTT.</w:t>
      </w:r>
      <w:r w:rsidR="00CE5368">
        <w:t xml:space="preserve"> </w:t>
      </w:r>
      <w:r w:rsidR="00AF1F00" w:rsidRPr="0066745A">
        <w:t>The</w:t>
      </w:r>
      <w:r w:rsidR="00EA3CE1">
        <w:t xml:space="preserve">re will need to be </w:t>
      </w:r>
      <w:r w:rsidR="00D137E5" w:rsidRPr="0066745A">
        <w:t xml:space="preserve">a further </w:t>
      </w:r>
      <w:r w:rsidR="00182123" w:rsidRPr="0066745A">
        <w:t xml:space="preserve">hearing </w:t>
      </w:r>
      <w:r w:rsidR="00182123">
        <w:t>of</w:t>
      </w:r>
      <w:r w:rsidR="00EA3CE1">
        <w:t xml:space="preserve"> the appeal </w:t>
      </w:r>
      <w:r w:rsidR="00EA3CE1" w:rsidRPr="00EA3CE1">
        <w:rPr>
          <w:i/>
        </w:rPr>
        <w:t>de novo</w:t>
      </w:r>
      <w:r w:rsidR="00D137E5" w:rsidRPr="0066745A">
        <w:t xml:space="preserve">.  On balance, I </w:t>
      </w:r>
      <w:r w:rsidR="00EA3CE1">
        <w:t>have decided</w:t>
      </w:r>
      <w:r w:rsidR="00D137E5" w:rsidRPr="0066745A">
        <w:t xml:space="preserve"> that </w:t>
      </w:r>
      <w:r w:rsidR="00EA3CE1">
        <w:t>the hearing</w:t>
      </w:r>
      <w:r w:rsidR="00D137E5" w:rsidRPr="0066745A">
        <w:t xml:space="preserve"> should take place before a different judge, given that the criticisms of</w:t>
      </w:r>
      <w:r w:rsidR="00AD770D" w:rsidRPr="0066745A">
        <w:t xml:space="preserve"> the Immigration </w:t>
      </w:r>
      <w:r w:rsidR="00837798" w:rsidRPr="0066745A">
        <w:t>Judge in</w:t>
      </w:r>
      <w:r w:rsidR="00D137E5" w:rsidRPr="0066745A">
        <w:t xml:space="preserve"> the manner that he approached this case</w:t>
      </w:r>
      <w:r w:rsidR="00AD770D" w:rsidRPr="0066745A">
        <w:t xml:space="preserve">. </w:t>
      </w:r>
    </w:p>
    <w:p w14:paraId="4BE56E0B" w14:textId="0D1404A3" w:rsidR="00D137E5" w:rsidRPr="0066745A" w:rsidRDefault="00D137E5" w:rsidP="009F5FFB">
      <w:pPr>
        <w:pStyle w:val="p"/>
        <w:spacing w:before="240"/>
      </w:pPr>
      <w:r w:rsidRPr="0066745A">
        <w:t>13.</w:t>
      </w:r>
      <w:r w:rsidRPr="0066745A">
        <w:tab/>
        <w:t>In terms of</w:t>
      </w:r>
      <w:r w:rsidR="00AD770D" w:rsidRPr="0066745A">
        <w:t xml:space="preserve"> such findings of fact</w:t>
      </w:r>
      <w:r w:rsidR="00233BEE">
        <w:t xml:space="preserve"> </w:t>
      </w:r>
      <w:r w:rsidR="00914CF3">
        <w:t xml:space="preserve">that </w:t>
      </w:r>
      <w:r w:rsidR="00914CF3" w:rsidRPr="0066745A">
        <w:t>were</w:t>
      </w:r>
      <w:r w:rsidR="00AD770D" w:rsidRPr="0066745A">
        <w:t xml:space="preserve"> made, they do not appear to be substantial but in any </w:t>
      </w:r>
      <w:proofErr w:type="gramStart"/>
      <w:r w:rsidR="00AD770D" w:rsidRPr="0066745A">
        <w:t>event</w:t>
      </w:r>
      <w:proofErr w:type="gramEnd"/>
      <w:r w:rsidR="00AD770D" w:rsidRPr="0066745A">
        <w:t xml:space="preserve"> should not be allowed to stand. There is therefore </w:t>
      </w:r>
      <w:r w:rsidRPr="0066745A">
        <w:t>no need to preserve any findings</w:t>
      </w:r>
      <w:r w:rsidR="00AD770D" w:rsidRPr="0066745A">
        <w:t xml:space="preserve">. Accordingly, the decision of the First-tier Tribunal is set aside </w:t>
      </w:r>
      <w:r w:rsidRPr="0066745A">
        <w:t>in its entirety and I direct that there be a fresh hearing in the First-tier Tribunal in due course.</w:t>
      </w:r>
    </w:p>
    <w:p w14:paraId="2011F686" w14:textId="0AFC608A" w:rsidR="00D137E5" w:rsidRPr="0066745A" w:rsidRDefault="00D137E5" w:rsidP="009F5FFB">
      <w:pPr>
        <w:pStyle w:val="p"/>
        <w:spacing w:before="240"/>
      </w:pPr>
      <w:r w:rsidRPr="0066745A">
        <w:t>14.</w:t>
      </w:r>
      <w:r w:rsidRPr="0066745A">
        <w:tab/>
      </w:r>
      <w:r w:rsidR="00AD770D" w:rsidRPr="0066745A">
        <w:t>There appears to be no requirement for an interpreter in this case but</w:t>
      </w:r>
      <w:r w:rsidR="00DD021C" w:rsidRPr="0066745A">
        <w:t xml:space="preserve"> all further directions in this case will be made by the First-tier Tribunal.</w:t>
      </w:r>
    </w:p>
    <w:p w14:paraId="4E8BDC64" w14:textId="77777777" w:rsidR="001C7F2A" w:rsidRPr="0066745A" w:rsidRDefault="001C7F2A" w:rsidP="009F5FFB">
      <w:pPr>
        <w:pStyle w:val="h"/>
        <w:spacing w:before="240"/>
      </w:pPr>
      <w:r w:rsidRPr="0066745A">
        <w:t>Notice of Decision</w:t>
      </w:r>
    </w:p>
    <w:p w14:paraId="168988FC" w14:textId="084364FF" w:rsidR="00767130" w:rsidRPr="0066745A" w:rsidRDefault="001C7F2A" w:rsidP="009F5FFB">
      <w:pPr>
        <w:spacing w:before="240"/>
        <w:jc w:val="both"/>
        <w:rPr>
          <w:rFonts w:ascii="Book Antiqua" w:hAnsi="Book Antiqua" w:cs="Arial"/>
        </w:rPr>
      </w:pPr>
      <w:r w:rsidRPr="0066745A">
        <w:rPr>
          <w:rFonts w:ascii="Book Antiqua" w:hAnsi="Book Antiqua" w:cs="Arial"/>
        </w:rPr>
        <w:t xml:space="preserve">The </w:t>
      </w:r>
      <w:r w:rsidR="00767130" w:rsidRPr="0066745A">
        <w:rPr>
          <w:rFonts w:ascii="Book Antiqua" w:hAnsi="Book Antiqua" w:cs="Arial"/>
        </w:rPr>
        <w:t xml:space="preserve">respondent’s </w:t>
      </w:r>
      <w:r w:rsidRPr="0066745A">
        <w:rPr>
          <w:rFonts w:ascii="Book Antiqua" w:hAnsi="Book Antiqua" w:cs="Arial"/>
        </w:rPr>
        <w:t>appeal is</w:t>
      </w:r>
      <w:r w:rsidR="00767130" w:rsidRPr="0066745A">
        <w:rPr>
          <w:rFonts w:ascii="Book Antiqua" w:hAnsi="Book Antiqua" w:cs="Arial"/>
        </w:rPr>
        <w:t xml:space="preserve"> allowed. The decision of the First-tier Tribunal is set aside. The appeal </w:t>
      </w:r>
      <w:r w:rsidR="00837798" w:rsidRPr="0066745A">
        <w:rPr>
          <w:rFonts w:ascii="Book Antiqua" w:hAnsi="Book Antiqua" w:cs="Arial"/>
        </w:rPr>
        <w:t>is remitted</w:t>
      </w:r>
      <w:r w:rsidR="00767130" w:rsidRPr="0066745A">
        <w:rPr>
          <w:rFonts w:ascii="Book Antiqua" w:hAnsi="Book Antiqua" w:cs="Arial"/>
        </w:rPr>
        <w:t xml:space="preserve"> to the First-tier </w:t>
      </w:r>
      <w:r w:rsidR="00837798" w:rsidRPr="0066745A">
        <w:rPr>
          <w:rFonts w:ascii="Book Antiqua" w:hAnsi="Book Antiqua" w:cs="Arial"/>
        </w:rPr>
        <w:t>Tribunal for</w:t>
      </w:r>
      <w:r w:rsidR="00767130" w:rsidRPr="0066745A">
        <w:rPr>
          <w:rFonts w:ascii="Book Antiqua" w:hAnsi="Book Antiqua" w:cs="Arial"/>
        </w:rPr>
        <w:t xml:space="preserve"> a </w:t>
      </w:r>
      <w:r w:rsidR="00767130" w:rsidRPr="0066745A">
        <w:rPr>
          <w:rFonts w:ascii="Book Antiqua" w:hAnsi="Book Antiqua" w:cs="Arial"/>
          <w:i/>
        </w:rPr>
        <w:t xml:space="preserve">de </w:t>
      </w:r>
      <w:r w:rsidR="00767130" w:rsidRPr="00EA3CE1">
        <w:rPr>
          <w:rFonts w:ascii="Book Antiqua" w:hAnsi="Book Antiqua" w:cs="Arial"/>
          <w:i/>
        </w:rPr>
        <w:t xml:space="preserve">novo </w:t>
      </w:r>
      <w:r w:rsidR="00767130" w:rsidRPr="00EA3CE1">
        <w:rPr>
          <w:rFonts w:ascii="Book Antiqua" w:hAnsi="Book Antiqua" w:cs="Arial"/>
        </w:rPr>
        <w:t>hearing</w:t>
      </w:r>
      <w:r w:rsidR="00EA3CE1" w:rsidRPr="00EA3CE1">
        <w:rPr>
          <w:rFonts w:ascii="Book Antiqua" w:hAnsi="Book Antiqua"/>
        </w:rPr>
        <w:t xml:space="preserve"> before a different judge. All further directions are to be made by the First-tier Tribunal</w:t>
      </w:r>
      <w:r w:rsidR="00EA3CE1" w:rsidRPr="0066745A">
        <w:t>.</w:t>
      </w:r>
    </w:p>
    <w:p w14:paraId="3E1B50BA" w14:textId="31C02785" w:rsidR="001C7F2A" w:rsidRPr="0066745A" w:rsidRDefault="00767130" w:rsidP="009F5FFB">
      <w:pPr>
        <w:spacing w:before="240"/>
        <w:jc w:val="both"/>
        <w:rPr>
          <w:rFonts w:ascii="Book Antiqua" w:hAnsi="Book Antiqua" w:cs="Arial"/>
        </w:rPr>
      </w:pPr>
      <w:r w:rsidRPr="0066745A">
        <w:rPr>
          <w:rFonts w:ascii="Book Antiqua" w:hAnsi="Book Antiqua" w:cs="Arial"/>
        </w:rPr>
        <w:t>N</w:t>
      </w:r>
      <w:r w:rsidR="001C7F2A" w:rsidRPr="0066745A">
        <w:rPr>
          <w:rFonts w:ascii="Book Antiqua" w:hAnsi="Book Antiqua" w:cs="Arial"/>
        </w:rPr>
        <w:t>o</w:t>
      </w:r>
      <w:r w:rsidRPr="0066745A">
        <w:rPr>
          <w:rFonts w:ascii="Book Antiqua" w:hAnsi="Book Antiqua" w:cs="Arial"/>
        </w:rPr>
        <w:t xml:space="preserve"> </w:t>
      </w:r>
      <w:r w:rsidR="00837798" w:rsidRPr="0066745A">
        <w:rPr>
          <w:rFonts w:ascii="Book Antiqua" w:hAnsi="Book Antiqua" w:cs="Arial"/>
        </w:rPr>
        <w:t>anonymity</w:t>
      </w:r>
      <w:r w:rsidR="001C7F2A" w:rsidRPr="0066745A">
        <w:rPr>
          <w:rFonts w:ascii="Book Antiqua" w:hAnsi="Book Antiqua" w:cs="Arial"/>
        </w:rPr>
        <w:t xml:space="preserve"> direction is made.</w:t>
      </w:r>
    </w:p>
    <w:p w14:paraId="38F4C451" w14:textId="77777777" w:rsidR="001C7F2A" w:rsidRPr="0066745A" w:rsidRDefault="001C7F2A" w:rsidP="001C7F2A">
      <w:pPr>
        <w:jc w:val="both"/>
        <w:rPr>
          <w:rFonts w:ascii="Book Antiqua" w:hAnsi="Book Antiqua" w:cs="Arial"/>
        </w:rPr>
      </w:pPr>
    </w:p>
    <w:p w14:paraId="4F5F90F4" w14:textId="77777777" w:rsidR="00A509FA" w:rsidRPr="0066745A" w:rsidRDefault="00A509FA" w:rsidP="00780F86">
      <w:pPr>
        <w:ind w:left="540" w:hanging="540"/>
        <w:jc w:val="both"/>
        <w:rPr>
          <w:rFonts w:ascii="Book Antiqua" w:hAnsi="Book Antiqua" w:cs="Arial"/>
        </w:rPr>
      </w:pPr>
    </w:p>
    <w:p w14:paraId="2048B17E" w14:textId="779DFED5" w:rsidR="00525647" w:rsidRPr="0066745A" w:rsidRDefault="00780F86" w:rsidP="009F5FFB">
      <w:pPr>
        <w:tabs>
          <w:tab w:val="left" w:pos="5103"/>
        </w:tabs>
        <w:ind w:left="540" w:hanging="540"/>
        <w:jc w:val="both"/>
        <w:rPr>
          <w:rFonts w:ascii="Book Antiqua" w:hAnsi="Book Antiqua" w:cs="Arial"/>
        </w:rPr>
      </w:pPr>
      <w:r w:rsidRPr="0066745A">
        <w:rPr>
          <w:rFonts w:ascii="Book Antiqua" w:hAnsi="Book Antiqua" w:cs="Arial"/>
        </w:rPr>
        <w:t>Signed</w:t>
      </w:r>
      <w:r w:rsidRPr="0066745A">
        <w:rPr>
          <w:rFonts w:ascii="Book Antiqua" w:hAnsi="Book Antiqua" w:cs="Arial"/>
        </w:rPr>
        <w:tab/>
      </w:r>
      <w:r w:rsidR="00525647" w:rsidRPr="0066745A">
        <w:rPr>
          <w:rFonts w:ascii="Book Antiqua" w:hAnsi="Book Antiqua" w:cs="Arial"/>
        </w:rPr>
        <w:t>Date</w:t>
      </w:r>
      <w:r w:rsidR="0041745C">
        <w:rPr>
          <w:rFonts w:ascii="Book Antiqua" w:hAnsi="Book Antiqua" w:cs="Arial"/>
        </w:rPr>
        <w:t xml:space="preserve"> 5</w:t>
      </w:r>
      <w:r w:rsidR="00767130" w:rsidRPr="0066745A">
        <w:rPr>
          <w:rFonts w:ascii="Book Antiqua" w:hAnsi="Book Antiqua" w:cs="Arial"/>
        </w:rPr>
        <w:t xml:space="preserve"> September 2018</w:t>
      </w:r>
    </w:p>
    <w:p w14:paraId="1FCDE1E0" w14:textId="77777777" w:rsidR="006D6955" w:rsidRPr="0066745A" w:rsidRDefault="006D6955" w:rsidP="00780F86">
      <w:pPr>
        <w:ind w:left="540" w:hanging="540"/>
        <w:jc w:val="both"/>
        <w:rPr>
          <w:rFonts w:ascii="Book Antiqua" w:hAnsi="Book Antiqua" w:cs="Arial"/>
        </w:rPr>
      </w:pPr>
    </w:p>
    <w:p w14:paraId="34E45FAC" w14:textId="77777777" w:rsidR="001F2716" w:rsidRPr="0066745A" w:rsidRDefault="001120CA" w:rsidP="00402B9E">
      <w:pPr>
        <w:tabs>
          <w:tab w:val="left" w:pos="2520"/>
        </w:tabs>
        <w:ind w:left="540" w:hanging="540"/>
        <w:jc w:val="both"/>
        <w:rPr>
          <w:rFonts w:ascii="Book Antiqua" w:hAnsi="Book Antiqua" w:cs="Arial"/>
        </w:rPr>
      </w:pPr>
      <w:r w:rsidRPr="0066745A">
        <w:rPr>
          <w:rFonts w:ascii="Book Antiqua" w:hAnsi="Book Antiqua" w:cs="Arial"/>
        </w:rPr>
        <w:t>Deputy Upper Tribunal</w:t>
      </w:r>
      <w:r w:rsidR="00525647" w:rsidRPr="0066745A">
        <w:rPr>
          <w:rFonts w:ascii="Book Antiqua" w:hAnsi="Book Antiqua" w:cs="Arial"/>
        </w:rPr>
        <w:t xml:space="preserve"> Judge Hanbury</w:t>
      </w:r>
    </w:p>
    <w:p w14:paraId="383715D6" w14:textId="77777777" w:rsidR="00B95326" w:rsidRPr="0066745A" w:rsidRDefault="00B95326" w:rsidP="00402B9E">
      <w:pPr>
        <w:tabs>
          <w:tab w:val="left" w:pos="2520"/>
        </w:tabs>
        <w:ind w:left="540" w:hanging="540"/>
        <w:jc w:val="both"/>
        <w:rPr>
          <w:rFonts w:ascii="Book Antiqua" w:hAnsi="Book Antiqua" w:cs="Arial"/>
        </w:rPr>
      </w:pPr>
    </w:p>
    <w:p w14:paraId="344D901B" w14:textId="06E618B3" w:rsidR="009F5FFB" w:rsidRDefault="009F5FFB">
      <w:pPr>
        <w:rPr>
          <w:rFonts w:ascii="Book Antiqua" w:hAnsi="Book Antiqua" w:cs="Arial"/>
        </w:rPr>
      </w:pPr>
      <w:r>
        <w:rPr>
          <w:rFonts w:ascii="Book Antiqua" w:hAnsi="Book Antiqua" w:cs="Arial"/>
        </w:rPr>
        <w:br w:type="page"/>
      </w:r>
    </w:p>
    <w:p w14:paraId="444E4CBD" w14:textId="77777777" w:rsidR="001C7F2A" w:rsidRPr="0066745A" w:rsidRDefault="001C7F2A" w:rsidP="00402B9E">
      <w:pPr>
        <w:tabs>
          <w:tab w:val="left" w:pos="2520"/>
        </w:tabs>
        <w:ind w:left="540" w:hanging="540"/>
        <w:jc w:val="both"/>
        <w:rPr>
          <w:rFonts w:ascii="Book Antiqua" w:hAnsi="Book Antiqua" w:cs="Arial"/>
        </w:rPr>
      </w:pPr>
    </w:p>
    <w:p w14:paraId="1E9E1BBA" w14:textId="77777777" w:rsidR="001C7F2A" w:rsidRPr="0066745A" w:rsidRDefault="001C7F2A" w:rsidP="001C7F2A">
      <w:pPr>
        <w:jc w:val="both"/>
        <w:rPr>
          <w:rFonts w:ascii="Book Antiqua" w:hAnsi="Book Antiqua" w:cs="Arial"/>
          <w:b/>
          <w:u w:val="single"/>
        </w:rPr>
      </w:pPr>
      <w:r w:rsidRPr="0066745A">
        <w:rPr>
          <w:rFonts w:ascii="Book Antiqua" w:hAnsi="Book Antiqua" w:cs="Arial"/>
          <w:b/>
          <w:u w:val="single"/>
        </w:rPr>
        <w:t>TO THE RESPONDENT</w:t>
      </w:r>
    </w:p>
    <w:p w14:paraId="329A5FB9" w14:textId="77777777" w:rsidR="001C7F2A" w:rsidRPr="0066745A" w:rsidRDefault="001C7F2A" w:rsidP="001C7F2A">
      <w:pPr>
        <w:ind w:left="567" w:hanging="567"/>
        <w:jc w:val="both"/>
        <w:rPr>
          <w:rFonts w:ascii="Book Antiqua" w:hAnsi="Book Antiqua" w:cs="Arial"/>
        </w:rPr>
      </w:pPr>
      <w:r w:rsidRPr="0066745A">
        <w:rPr>
          <w:rFonts w:ascii="Book Antiqua" w:hAnsi="Book Antiqua" w:cs="Arial"/>
          <w:b/>
          <w:u w:val="single"/>
        </w:rPr>
        <w:t>FEE AWARD</w:t>
      </w:r>
    </w:p>
    <w:p w14:paraId="67571C0A" w14:textId="77777777" w:rsidR="001C7F2A" w:rsidRPr="0066745A" w:rsidRDefault="001C7F2A" w:rsidP="001C7F2A">
      <w:pPr>
        <w:ind w:left="567" w:hanging="567"/>
        <w:jc w:val="both"/>
        <w:rPr>
          <w:rFonts w:ascii="Book Antiqua" w:hAnsi="Book Antiqua" w:cs="Arial"/>
        </w:rPr>
      </w:pPr>
    </w:p>
    <w:p w14:paraId="0C172708" w14:textId="49186E63" w:rsidR="001C7F2A" w:rsidRPr="0066745A" w:rsidRDefault="001C7F2A" w:rsidP="00767130">
      <w:pPr>
        <w:jc w:val="both"/>
        <w:rPr>
          <w:rFonts w:ascii="Book Antiqua" w:hAnsi="Book Antiqua" w:cs="Arial"/>
        </w:rPr>
      </w:pPr>
      <w:r w:rsidRPr="0066745A">
        <w:rPr>
          <w:rFonts w:ascii="Book Antiqua" w:hAnsi="Book Antiqua" w:cs="Arial"/>
        </w:rPr>
        <w:t xml:space="preserve">As I have allowed the </w:t>
      </w:r>
      <w:r w:rsidR="00837798" w:rsidRPr="0066745A">
        <w:rPr>
          <w:rFonts w:ascii="Book Antiqua" w:hAnsi="Book Antiqua" w:cs="Arial"/>
        </w:rPr>
        <w:t>respondent’s</w:t>
      </w:r>
      <w:r w:rsidR="00767130" w:rsidRPr="0066745A">
        <w:rPr>
          <w:rFonts w:ascii="Book Antiqua" w:hAnsi="Book Antiqua" w:cs="Arial"/>
        </w:rPr>
        <w:t xml:space="preserve"> </w:t>
      </w:r>
      <w:r w:rsidRPr="0066745A">
        <w:rPr>
          <w:rFonts w:ascii="Book Antiqua" w:hAnsi="Book Antiqua" w:cs="Arial"/>
        </w:rPr>
        <w:t xml:space="preserve">appeal </w:t>
      </w:r>
      <w:r w:rsidR="00767130" w:rsidRPr="0066745A">
        <w:rPr>
          <w:rFonts w:ascii="Book Antiqua" w:hAnsi="Book Antiqua" w:cs="Arial"/>
        </w:rPr>
        <w:t>I set aside the fee award of the First-tier Tribunal.</w:t>
      </w:r>
    </w:p>
    <w:p w14:paraId="6F410311" w14:textId="77777777" w:rsidR="001C7F2A" w:rsidRPr="0066745A" w:rsidRDefault="001C7F2A" w:rsidP="001C7F2A">
      <w:pPr>
        <w:jc w:val="both"/>
        <w:rPr>
          <w:rFonts w:ascii="Book Antiqua" w:hAnsi="Book Antiqua" w:cs="Arial"/>
        </w:rPr>
      </w:pPr>
    </w:p>
    <w:p w14:paraId="4DE02BA8" w14:textId="77777777" w:rsidR="001C7F2A" w:rsidRPr="0066745A" w:rsidRDefault="001C7F2A" w:rsidP="001C7F2A">
      <w:pPr>
        <w:jc w:val="both"/>
        <w:rPr>
          <w:rFonts w:ascii="Book Antiqua" w:hAnsi="Book Antiqua" w:cs="Arial"/>
        </w:rPr>
      </w:pPr>
    </w:p>
    <w:p w14:paraId="2BF7A81F" w14:textId="4DF9D648" w:rsidR="001C7F2A" w:rsidRPr="0066745A" w:rsidRDefault="001C7F2A" w:rsidP="009F5FFB">
      <w:pPr>
        <w:tabs>
          <w:tab w:val="left" w:pos="5103"/>
        </w:tabs>
        <w:ind w:left="540" w:hanging="540"/>
        <w:jc w:val="both"/>
        <w:rPr>
          <w:rFonts w:ascii="Book Antiqua" w:hAnsi="Book Antiqua" w:cs="Arial"/>
        </w:rPr>
      </w:pPr>
      <w:r w:rsidRPr="0066745A">
        <w:rPr>
          <w:rFonts w:ascii="Book Antiqua" w:hAnsi="Book Antiqua" w:cs="Arial"/>
        </w:rPr>
        <w:t>Signed</w:t>
      </w:r>
      <w:r w:rsidRPr="0066745A">
        <w:rPr>
          <w:rFonts w:ascii="Book Antiqua" w:hAnsi="Book Antiqua" w:cs="Arial"/>
        </w:rPr>
        <w:tab/>
        <w:t>Date</w:t>
      </w:r>
      <w:r w:rsidR="0041745C">
        <w:rPr>
          <w:rFonts w:ascii="Book Antiqua" w:hAnsi="Book Antiqua" w:cs="Arial"/>
        </w:rPr>
        <w:t xml:space="preserve"> 5</w:t>
      </w:r>
      <w:r w:rsidR="00767130" w:rsidRPr="0066745A">
        <w:rPr>
          <w:rFonts w:ascii="Book Antiqua" w:hAnsi="Book Antiqua" w:cs="Arial"/>
        </w:rPr>
        <w:t xml:space="preserve"> September 2018</w:t>
      </w:r>
    </w:p>
    <w:p w14:paraId="395CD4AF" w14:textId="77777777" w:rsidR="001C7F2A" w:rsidRPr="0066745A" w:rsidRDefault="001C7F2A" w:rsidP="001C7F2A">
      <w:pPr>
        <w:tabs>
          <w:tab w:val="left" w:pos="2520"/>
        </w:tabs>
        <w:ind w:left="540" w:hanging="540"/>
        <w:jc w:val="both"/>
        <w:rPr>
          <w:rFonts w:ascii="Book Antiqua" w:hAnsi="Book Antiqua" w:cs="Arial"/>
        </w:rPr>
      </w:pPr>
    </w:p>
    <w:p w14:paraId="3958170A" w14:textId="77777777" w:rsidR="001C7F2A" w:rsidRPr="0066745A" w:rsidRDefault="001C7F2A" w:rsidP="001C7F2A">
      <w:pPr>
        <w:tabs>
          <w:tab w:val="left" w:pos="2520"/>
        </w:tabs>
        <w:ind w:left="540" w:hanging="540"/>
        <w:jc w:val="both"/>
        <w:rPr>
          <w:rFonts w:ascii="Book Antiqua" w:hAnsi="Book Antiqua" w:cs="Arial"/>
        </w:rPr>
      </w:pPr>
      <w:r w:rsidRPr="0066745A">
        <w:rPr>
          <w:rFonts w:ascii="Book Antiqua" w:hAnsi="Book Antiqua" w:cs="Arial"/>
        </w:rPr>
        <w:t>Deputy Upper Tribunal Judge Hanbury</w:t>
      </w:r>
    </w:p>
    <w:sectPr w:rsidR="001C7F2A" w:rsidRPr="0066745A" w:rsidSect="009C2F9F">
      <w:headerReference w:type="default" r:id="rId7"/>
      <w:footerReference w:type="default" r:id="rId8"/>
      <w:footerReference w:type="first" r:id="rId9"/>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63E5E" w14:textId="77777777" w:rsidR="00F1768F" w:rsidRDefault="00F1768F">
      <w:r>
        <w:separator/>
      </w:r>
    </w:p>
  </w:endnote>
  <w:endnote w:type="continuationSeparator" w:id="0">
    <w:p w14:paraId="0C03A35E" w14:textId="77777777" w:rsidR="00F1768F" w:rsidRDefault="00F1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390106966"/>
      <w:docPartObj>
        <w:docPartGallery w:val="Page Numbers (Bottom of Page)"/>
        <w:docPartUnique/>
      </w:docPartObj>
    </w:sdtPr>
    <w:sdtEndPr>
      <w:rPr>
        <w:noProof/>
      </w:rPr>
    </w:sdtEndPr>
    <w:sdtContent>
      <w:p w14:paraId="4802DE7C" w14:textId="47E1A81A" w:rsidR="009C2F9F" w:rsidRPr="009C2F9F" w:rsidRDefault="009C2F9F">
        <w:pPr>
          <w:pStyle w:val="Footer"/>
          <w:jc w:val="center"/>
          <w:rPr>
            <w:rFonts w:ascii="Book Antiqua" w:hAnsi="Book Antiqua"/>
            <w:sz w:val="20"/>
            <w:szCs w:val="20"/>
          </w:rPr>
        </w:pPr>
        <w:r w:rsidRPr="009C2F9F">
          <w:rPr>
            <w:rFonts w:ascii="Book Antiqua" w:hAnsi="Book Antiqua"/>
            <w:sz w:val="20"/>
            <w:szCs w:val="20"/>
          </w:rPr>
          <w:fldChar w:fldCharType="begin"/>
        </w:r>
        <w:r w:rsidRPr="009C2F9F">
          <w:rPr>
            <w:rFonts w:ascii="Book Antiqua" w:hAnsi="Book Antiqua"/>
            <w:sz w:val="20"/>
            <w:szCs w:val="20"/>
          </w:rPr>
          <w:instrText xml:space="preserve"> PAGE   \* MERGEFORMAT </w:instrText>
        </w:r>
        <w:r w:rsidRPr="009C2F9F">
          <w:rPr>
            <w:rFonts w:ascii="Book Antiqua" w:hAnsi="Book Antiqua"/>
            <w:sz w:val="20"/>
            <w:szCs w:val="20"/>
          </w:rPr>
          <w:fldChar w:fldCharType="separate"/>
        </w:r>
        <w:r w:rsidR="00B8618A">
          <w:rPr>
            <w:rFonts w:ascii="Book Antiqua" w:hAnsi="Book Antiqua"/>
            <w:noProof/>
            <w:sz w:val="20"/>
            <w:szCs w:val="20"/>
          </w:rPr>
          <w:t>5</w:t>
        </w:r>
        <w:r w:rsidRPr="009C2F9F">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CD05" w14:textId="3200B37D" w:rsidR="009C2F9F" w:rsidRPr="009C2F9F" w:rsidRDefault="009C2F9F" w:rsidP="009C2F9F">
    <w:pPr>
      <w:pStyle w:val="Footer"/>
      <w:jc w:val="center"/>
      <w:rPr>
        <w:rFonts w:ascii="Book Antiqua" w:hAnsi="Book Antiqua"/>
        <w:b/>
      </w:rPr>
    </w:pPr>
    <w:r w:rsidRPr="009C2F9F">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4E339" w14:textId="77777777" w:rsidR="00F1768F" w:rsidRDefault="00F1768F">
      <w:r>
        <w:separator/>
      </w:r>
    </w:p>
  </w:footnote>
  <w:footnote w:type="continuationSeparator" w:id="0">
    <w:p w14:paraId="31FE48CC" w14:textId="77777777" w:rsidR="00F1768F" w:rsidRDefault="00F1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1B07" w14:textId="2DC31C2C" w:rsidR="009C2F9F" w:rsidRPr="009C2F9F" w:rsidRDefault="009C2F9F" w:rsidP="009C2F9F">
    <w:pPr>
      <w:pStyle w:val="Header"/>
      <w:jc w:val="right"/>
      <w:rPr>
        <w:sz w:val="20"/>
        <w:szCs w:val="20"/>
      </w:rPr>
    </w:pPr>
    <w:r w:rsidRPr="009C2F9F">
      <w:rPr>
        <w:rFonts w:ascii="Book Antiqua" w:hAnsi="Book Antiqua" w:cs="Arial"/>
        <w:color w:val="000000"/>
        <w:sz w:val="20"/>
        <w:szCs w:val="20"/>
      </w:rPr>
      <w:t xml:space="preserve">Appeal Number: </w:t>
    </w:r>
    <w:r w:rsidRPr="009C2F9F">
      <w:rPr>
        <w:rFonts w:ascii="Book Antiqua" w:hAnsi="Book Antiqua" w:cs="Arial"/>
        <w:caps/>
        <w:color w:val="000000"/>
        <w:sz w:val="20"/>
        <w:szCs w:val="20"/>
      </w:rPr>
      <w:t>EA/13104/2016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39FC9BB-A47B-425B-8DA4-B4938C86BFFA}"/>
    <w:docVar w:name="dgnword-eventsink" w:val="519015840"/>
  </w:docVars>
  <w:rsids>
    <w:rsidRoot w:val="00F1768F"/>
    <w:rsid w:val="00000583"/>
    <w:rsid w:val="00000621"/>
    <w:rsid w:val="000036C2"/>
    <w:rsid w:val="00013681"/>
    <w:rsid w:val="000241D0"/>
    <w:rsid w:val="00027F5D"/>
    <w:rsid w:val="00033D3D"/>
    <w:rsid w:val="00062F02"/>
    <w:rsid w:val="0006433D"/>
    <w:rsid w:val="000704BB"/>
    <w:rsid w:val="00071A7E"/>
    <w:rsid w:val="000746C0"/>
    <w:rsid w:val="00074D1D"/>
    <w:rsid w:val="00077C9C"/>
    <w:rsid w:val="00083E3E"/>
    <w:rsid w:val="000901B4"/>
    <w:rsid w:val="00092580"/>
    <w:rsid w:val="00093D4D"/>
    <w:rsid w:val="000A287D"/>
    <w:rsid w:val="000C21C3"/>
    <w:rsid w:val="000C66BC"/>
    <w:rsid w:val="000D5D94"/>
    <w:rsid w:val="000F1A0E"/>
    <w:rsid w:val="001120CA"/>
    <w:rsid w:val="001165A7"/>
    <w:rsid w:val="0012370A"/>
    <w:rsid w:val="00142033"/>
    <w:rsid w:val="001446F2"/>
    <w:rsid w:val="00150C5F"/>
    <w:rsid w:val="00167D3A"/>
    <w:rsid w:val="00171D81"/>
    <w:rsid w:val="0017570A"/>
    <w:rsid w:val="00180F8C"/>
    <w:rsid w:val="00182123"/>
    <w:rsid w:val="00190911"/>
    <w:rsid w:val="001A3082"/>
    <w:rsid w:val="001A3989"/>
    <w:rsid w:val="001B186A"/>
    <w:rsid w:val="001B2F75"/>
    <w:rsid w:val="001C2D96"/>
    <w:rsid w:val="001C5B44"/>
    <w:rsid w:val="001C7F2A"/>
    <w:rsid w:val="001F2716"/>
    <w:rsid w:val="00201721"/>
    <w:rsid w:val="00203FB0"/>
    <w:rsid w:val="00207617"/>
    <w:rsid w:val="0023134B"/>
    <w:rsid w:val="00233BEE"/>
    <w:rsid w:val="002537EE"/>
    <w:rsid w:val="00283659"/>
    <w:rsid w:val="002A48AA"/>
    <w:rsid w:val="002C0E16"/>
    <w:rsid w:val="002C6BD4"/>
    <w:rsid w:val="002D68BF"/>
    <w:rsid w:val="002E08FC"/>
    <w:rsid w:val="002F6B98"/>
    <w:rsid w:val="0033434E"/>
    <w:rsid w:val="00336CBF"/>
    <w:rsid w:val="00343FE3"/>
    <w:rsid w:val="00347E31"/>
    <w:rsid w:val="003546C8"/>
    <w:rsid w:val="00365F5E"/>
    <w:rsid w:val="00375A4A"/>
    <w:rsid w:val="0037652C"/>
    <w:rsid w:val="00377B82"/>
    <w:rsid w:val="003A7CF2"/>
    <w:rsid w:val="003C5CE5"/>
    <w:rsid w:val="003E267B"/>
    <w:rsid w:val="003E2B9E"/>
    <w:rsid w:val="003E7CD1"/>
    <w:rsid w:val="00402B9E"/>
    <w:rsid w:val="0041745C"/>
    <w:rsid w:val="004249CB"/>
    <w:rsid w:val="004319AE"/>
    <w:rsid w:val="00434F2A"/>
    <w:rsid w:val="0044127D"/>
    <w:rsid w:val="004448DB"/>
    <w:rsid w:val="00446C9A"/>
    <w:rsid w:val="00452F2B"/>
    <w:rsid w:val="0045476C"/>
    <w:rsid w:val="00454C90"/>
    <w:rsid w:val="00456E5E"/>
    <w:rsid w:val="00457759"/>
    <w:rsid w:val="00461894"/>
    <w:rsid w:val="004759CD"/>
    <w:rsid w:val="00477193"/>
    <w:rsid w:val="004921AA"/>
    <w:rsid w:val="004A1848"/>
    <w:rsid w:val="004A6F4A"/>
    <w:rsid w:val="004A7F54"/>
    <w:rsid w:val="004C5F28"/>
    <w:rsid w:val="004E0F3D"/>
    <w:rsid w:val="004E4717"/>
    <w:rsid w:val="00507619"/>
    <w:rsid w:val="00507FEC"/>
    <w:rsid w:val="00510F0E"/>
    <w:rsid w:val="00514A6D"/>
    <w:rsid w:val="00525647"/>
    <w:rsid w:val="00540F24"/>
    <w:rsid w:val="005479E1"/>
    <w:rsid w:val="00553E0A"/>
    <w:rsid w:val="005570FD"/>
    <w:rsid w:val="005575EA"/>
    <w:rsid w:val="0057790C"/>
    <w:rsid w:val="00593795"/>
    <w:rsid w:val="005A75FF"/>
    <w:rsid w:val="005B6F2C"/>
    <w:rsid w:val="005D10AB"/>
    <w:rsid w:val="00601D8F"/>
    <w:rsid w:val="00607EED"/>
    <w:rsid w:val="00623BA3"/>
    <w:rsid w:val="00626D14"/>
    <w:rsid w:val="00643BFC"/>
    <w:rsid w:val="00650FFC"/>
    <w:rsid w:val="00652FC5"/>
    <w:rsid w:val="00653E97"/>
    <w:rsid w:val="0066745A"/>
    <w:rsid w:val="006701F7"/>
    <w:rsid w:val="00684A74"/>
    <w:rsid w:val="00690B8A"/>
    <w:rsid w:val="00696242"/>
    <w:rsid w:val="006D6955"/>
    <w:rsid w:val="006F2CF1"/>
    <w:rsid w:val="006F6B0B"/>
    <w:rsid w:val="007002A5"/>
    <w:rsid w:val="007038ED"/>
    <w:rsid w:val="00703BC3"/>
    <w:rsid w:val="00704B61"/>
    <w:rsid w:val="00727764"/>
    <w:rsid w:val="007552A9"/>
    <w:rsid w:val="00760B49"/>
    <w:rsid w:val="00761858"/>
    <w:rsid w:val="00767130"/>
    <w:rsid w:val="00767D59"/>
    <w:rsid w:val="00776CBC"/>
    <w:rsid w:val="00776E97"/>
    <w:rsid w:val="00780F86"/>
    <w:rsid w:val="007912AD"/>
    <w:rsid w:val="00797649"/>
    <w:rsid w:val="007B0824"/>
    <w:rsid w:val="007B5D3C"/>
    <w:rsid w:val="007D5481"/>
    <w:rsid w:val="007F0CE6"/>
    <w:rsid w:val="007F2A46"/>
    <w:rsid w:val="00806249"/>
    <w:rsid w:val="00816B9F"/>
    <w:rsid w:val="00821B72"/>
    <w:rsid w:val="00823EF2"/>
    <w:rsid w:val="008303B8"/>
    <w:rsid w:val="008332F5"/>
    <w:rsid w:val="00833DCE"/>
    <w:rsid w:val="00837798"/>
    <w:rsid w:val="00871D34"/>
    <w:rsid w:val="008B270C"/>
    <w:rsid w:val="008B5078"/>
    <w:rsid w:val="008C3D3D"/>
    <w:rsid w:val="008D4131"/>
    <w:rsid w:val="008F1932"/>
    <w:rsid w:val="00910E57"/>
    <w:rsid w:val="00914C9D"/>
    <w:rsid w:val="00914CF3"/>
    <w:rsid w:val="00921062"/>
    <w:rsid w:val="00956EE1"/>
    <w:rsid w:val="009722BC"/>
    <w:rsid w:val="009727A3"/>
    <w:rsid w:val="0098048C"/>
    <w:rsid w:val="00987774"/>
    <w:rsid w:val="009966E1"/>
    <w:rsid w:val="009A11E8"/>
    <w:rsid w:val="009C2F9F"/>
    <w:rsid w:val="009E41CC"/>
    <w:rsid w:val="009F5220"/>
    <w:rsid w:val="009F5FFB"/>
    <w:rsid w:val="009F6EAC"/>
    <w:rsid w:val="00A15234"/>
    <w:rsid w:val="00A201AB"/>
    <w:rsid w:val="00A31472"/>
    <w:rsid w:val="00A31C8B"/>
    <w:rsid w:val="00A330F4"/>
    <w:rsid w:val="00A509FA"/>
    <w:rsid w:val="00A71C11"/>
    <w:rsid w:val="00A845DC"/>
    <w:rsid w:val="00AB6549"/>
    <w:rsid w:val="00AC58FE"/>
    <w:rsid w:val="00AD17DE"/>
    <w:rsid w:val="00AD770D"/>
    <w:rsid w:val="00AF1F00"/>
    <w:rsid w:val="00B041EE"/>
    <w:rsid w:val="00B26AA2"/>
    <w:rsid w:val="00B3524D"/>
    <w:rsid w:val="00B40F69"/>
    <w:rsid w:val="00B46616"/>
    <w:rsid w:val="00B56A59"/>
    <w:rsid w:val="00B7040A"/>
    <w:rsid w:val="00B83391"/>
    <w:rsid w:val="00B8618A"/>
    <w:rsid w:val="00B95326"/>
    <w:rsid w:val="00BB12C6"/>
    <w:rsid w:val="00BD4196"/>
    <w:rsid w:val="00BF22CA"/>
    <w:rsid w:val="00BF23BB"/>
    <w:rsid w:val="00C26032"/>
    <w:rsid w:val="00C26F19"/>
    <w:rsid w:val="00C30D21"/>
    <w:rsid w:val="00C345E1"/>
    <w:rsid w:val="00C37FFE"/>
    <w:rsid w:val="00C43BFD"/>
    <w:rsid w:val="00C47178"/>
    <w:rsid w:val="00C77BDD"/>
    <w:rsid w:val="00C80291"/>
    <w:rsid w:val="00CB6E35"/>
    <w:rsid w:val="00CC3D9A"/>
    <w:rsid w:val="00CD1940"/>
    <w:rsid w:val="00CE1A46"/>
    <w:rsid w:val="00CE3286"/>
    <w:rsid w:val="00CE3791"/>
    <w:rsid w:val="00CE5368"/>
    <w:rsid w:val="00D137E5"/>
    <w:rsid w:val="00D20757"/>
    <w:rsid w:val="00D22636"/>
    <w:rsid w:val="00D2481B"/>
    <w:rsid w:val="00D333D8"/>
    <w:rsid w:val="00D40FD9"/>
    <w:rsid w:val="00D53769"/>
    <w:rsid w:val="00D544B1"/>
    <w:rsid w:val="00D564EA"/>
    <w:rsid w:val="00D85C13"/>
    <w:rsid w:val="00D9111A"/>
    <w:rsid w:val="00D91BE3"/>
    <w:rsid w:val="00D94AFC"/>
    <w:rsid w:val="00DA2C7E"/>
    <w:rsid w:val="00DB70AE"/>
    <w:rsid w:val="00DD021C"/>
    <w:rsid w:val="00DD5071"/>
    <w:rsid w:val="00DD5C39"/>
    <w:rsid w:val="00DE5E10"/>
    <w:rsid w:val="00DE7DB7"/>
    <w:rsid w:val="00DF7863"/>
    <w:rsid w:val="00E00A0A"/>
    <w:rsid w:val="00E066DE"/>
    <w:rsid w:val="00E07F57"/>
    <w:rsid w:val="00E2714E"/>
    <w:rsid w:val="00E30683"/>
    <w:rsid w:val="00E36E1C"/>
    <w:rsid w:val="00E42D19"/>
    <w:rsid w:val="00E453D8"/>
    <w:rsid w:val="00E50BCE"/>
    <w:rsid w:val="00E51C72"/>
    <w:rsid w:val="00E574BF"/>
    <w:rsid w:val="00E61292"/>
    <w:rsid w:val="00E6388F"/>
    <w:rsid w:val="00E64F41"/>
    <w:rsid w:val="00E77C4D"/>
    <w:rsid w:val="00E81D01"/>
    <w:rsid w:val="00E96BF6"/>
    <w:rsid w:val="00EA3CE1"/>
    <w:rsid w:val="00EB371E"/>
    <w:rsid w:val="00EB6C76"/>
    <w:rsid w:val="00ED3F56"/>
    <w:rsid w:val="00EE45D8"/>
    <w:rsid w:val="00F1768F"/>
    <w:rsid w:val="00F22EDA"/>
    <w:rsid w:val="00F654E0"/>
    <w:rsid w:val="00F97F2D"/>
    <w:rsid w:val="00FB2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BC105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DA2C7E"/>
    <w:pPr>
      <w:ind w:left="567" w:hanging="567"/>
      <w:jc w:val="both"/>
    </w:pPr>
    <w:rPr>
      <w:rFonts w:ascii="Book Antiqua" w:hAnsi="Book Antiqua" w:cs="Arial"/>
    </w:rPr>
  </w:style>
  <w:style w:type="paragraph" w:customStyle="1" w:styleId="h">
    <w:name w:val="h"/>
    <w:basedOn w:val="Normal"/>
    <w:qFormat/>
    <w:rsid w:val="00171D81"/>
    <w:pPr>
      <w:jc w:val="both"/>
    </w:pPr>
    <w:rPr>
      <w:rFonts w:ascii="Book Antiqua" w:hAnsi="Book Antiqua" w:cs="Arial"/>
      <w:b/>
      <w:u w:val="single"/>
    </w:rPr>
  </w:style>
  <w:style w:type="character" w:customStyle="1" w:styleId="FooterChar">
    <w:name w:val="Footer Char"/>
    <w:basedOn w:val="DefaultParagraphFont"/>
    <w:link w:val="Footer"/>
    <w:uiPriority w:val="99"/>
    <w:rsid w:val="009C2F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8347</Characters>
  <Application>Microsoft Office Word</Application>
  <DocSecurity>0</DocSecurity>
  <Lines>69</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2018-09-27T09:58:00Z</dcterms:created>
  <dcterms:modified xsi:type="dcterms:W3CDTF">2018-09-27T09:58:00Z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