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8A78F0" w:rsidRDefault="007B6CAC" w:rsidP="0019650B">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CB1786"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(Immigration and Asylum </w:t>
      </w:r>
      <w:proofErr w:type="gramStart"/>
      <w:r w:rsidRPr="008A78F0">
        <w:rPr>
          <w:rFonts w:ascii="Book Antiqua" w:hAnsi="Book Antiqua" w:cs="Arial"/>
          <w:b/>
          <w:color w:val="000000"/>
        </w:rPr>
        <w:t>Chamber)</w:t>
      </w:r>
      <w:r w:rsidR="00CB1786">
        <w:rPr>
          <w:rFonts w:ascii="Book Antiqua" w:hAnsi="Book Antiqua" w:cs="Arial"/>
          <w:b/>
          <w:color w:val="000000"/>
        </w:rPr>
        <w:t xml:space="preserve">   </w:t>
      </w:r>
      <w:proofErr w:type="gramEnd"/>
      <w:r w:rsidR="00CB1786">
        <w:rPr>
          <w:rFonts w:ascii="Book Antiqua" w:hAnsi="Book Antiqua" w:cs="Arial"/>
          <w:b/>
          <w:color w:val="000000"/>
        </w:rPr>
        <w:t xml:space="preserve">                   </w:t>
      </w:r>
      <w:r w:rsidR="00B3524D" w:rsidRPr="00CB1786">
        <w:rPr>
          <w:rFonts w:ascii="Book Antiqua" w:hAnsi="Book Antiqua" w:cs="Arial"/>
          <w:b/>
          <w:color w:val="000000"/>
        </w:rPr>
        <w:t>Appeal Number</w:t>
      </w:r>
      <w:r w:rsidR="00D53769" w:rsidRPr="00CB1786">
        <w:rPr>
          <w:rFonts w:ascii="Book Antiqua" w:hAnsi="Book Antiqua" w:cs="Arial"/>
          <w:b/>
          <w:color w:val="000000"/>
        </w:rPr>
        <w:t>:</w:t>
      </w:r>
      <w:r w:rsidR="00B3524D" w:rsidRPr="00CB1786">
        <w:rPr>
          <w:rFonts w:ascii="Book Antiqua" w:hAnsi="Book Antiqua" w:cs="Arial"/>
          <w:b/>
          <w:color w:val="000000"/>
        </w:rPr>
        <w:t xml:space="preserve"> </w:t>
      </w:r>
      <w:r w:rsidR="00A0213C" w:rsidRPr="00CB1786">
        <w:rPr>
          <w:rFonts w:ascii="Book Antiqua" w:hAnsi="Book Antiqua" w:cs="Arial"/>
          <w:b/>
          <w:caps/>
          <w:color w:val="000000"/>
        </w:rPr>
        <w:t>ea/13754/2016</w:t>
      </w: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8A78F0" w:rsidTr="00CB1786">
        <w:tc>
          <w:tcPr>
            <w:tcW w:w="5245"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A0213C">
              <w:rPr>
                <w:rFonts w:ascii="Book Antiqua" w:hAnsi="Book Antiqua" w:cs="Arial"/>
                <w:b/>
              </w:rPr>
              <w:t>Field House</w:t>
            </w:r>
          </w:p>
        </w:tc>
        <w:tc>
          <w:tcPr>
            <w:tcW w:w="4763" w:type="dxa"/>
          </w:tcPr>
          <w:p w:rsidR="00D22636" w:rsidRPr="008A78F0" w:rsidRDefault="00180E36" w:rsidP="00093D4D">
            <w:pPr>
              <w:jc w:val="both"/>
              <w:rPr>
                <w:rFonts w:ascii="Book Antiqua" w:hAnsi="Book Antiqua" w:cs="Arial"/>
                <w:b/>
                <w:color w:val="000000"/>
              </w:rPr>
            </w:pPr>
            <w:r>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rsidTr="00CB1786">
        <w:tc>
          <w:tcPr>
            <w:tcW w:w="5245"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6A78E2">
              <w:rPr>
                <w:rFonts w:ascii="Book Antiqua" w:hAnsi="Book Antiqua" w:cs="Arial"/>
                <w:b/>
              </w:rPr>
              <w:t>9</w:t>
            </w:r>
            <w:r w:rsidR="006A78E2" w:rsidRPr="006A78E2">
              <w:rPr>
                <w:rFonts w:ascii="Book Antiqua" w:hAnsi="Book Antiqua" w:cs="Arial"/>
                <w:b/>
                <w:vertAlign w:val="superscript"/>
              </w:rPr>
              <w:t>th</w:t>
            </w:r>
            <w:r w:rsidR="006A78E2">
              <w:rPr>
                <w:rFonts w:ascii="Book Antiqua" w:hAnsi="Book Antiqua" w:cs="Arial"/>
                <w:b/>
              </w:rPr>
              <w:t xml:space="preserve"> July 2018</w:t>
            </w:r>
          </w:p>
        </w:tc>
        <w:tc>
          <w:tcPr>
            <w:tcW w:w="4763" w:type="dxa"/>
          </w:tcPr>
          <w:p w:rsidR="00D22636" w:rsidRPr="008A78F0" w:rsidRDefault="0060239D" w:rsidP="004A1848">
            <w:pPr>
              <w:jc w:val="both"/>
              <w:rPr>
                <w:rFonts w:ascii="Book Antiqua" w:hAnsi="Book Antiqua" w:cs="Arial"/>
                <w:b/>
              </w:rPr>
            </w:pPr>
            <w:r>
              <w:rPr>
                <w:rFonts w:ascii="Book Antiqua" w:hAnsi="Book Antiqua" w:cs="Arial"/>
                <w:b/>
              </w:rPr>
              <w:t>On 7</w:t>
            </w:r>
            <w:r w:rsidRPr="0060239D">
              <w:rPr>
                <w:rFonts w:ascii="Book Antiqua" w:hAnsi="Book Antiqua" w:cs="Arial"/>
                <w:b/>
                <w:vertAlign w:val="superscript"/>
              </w:rPr>
              <w:t>th</w:t>
            </w:r>
            <w:r>
              <w:rPr>
                <w:rFonts w:ascii="Book Antiqua" w:hAnsi="Book Antiqua" w:cs="Arial"/>
                <w:b/>
              </w:rPr>
              <w:t xml:space="preserve"> September 2018</w:t>
            </w:r>
          </w:p>
        </w:tc>
      </w:tr>
      <w:tr w:rsidR="00D22636" w:rsidRPr="008A78F0" w:rsidTr="00CB1786">
        <w:tc>
          <w:tcPr>
            <w:tcW w:w="5245" w:type="dxa"/>
          </w:tcPr>
          <w:p w:rsidR="00D22636" w:rsidRPr="008A78F0" w:rsidRDefault="00D22636" w:rsidP="004A1848">
            <w:pPr>
              <w:jc w:val="both"/>
              <w:rPr>
                <w:rFonts w:ascii="Book Antiqua" w:hAnsi="Book Antiqua" w:cs="Arial"/>
                <w:b/>
              </w:rPr>
            </w:pPr>
          </w:p>
        </w:tc>
        <w:tc>
          <w:tcPr>
            <w:tcW w:w="4763" w:type="dxa"/>
          </w:tcPr>
          <w:p w:rsidR="00D22636" w:rsidRPr="008A78F0" w:rsidRDefault="00D22636" w:rsidP="004A1848">
            <w:pPr>
              <w:jc w:val="both"/>
              <w:rPr>
                <w:rFonts w:ascii="Book Antiqua" w:hAnsi="Book Antiqua" w:cs="Arial"/>
                <w:b/>
              </w:rPr>
            </w:pPr>
          </w:p>
        </w:tc>
      </w:tr>
    </w:tbl>
    <w:p w:rsidR="00A15234" w:rsidRPr="008A78F0" w:rsidRDefault="00A15234" w:rsidP="00A15234">
      <w:pPr>
        <w:jc w:val="cente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1B186A" w:rsidRPr="008A78F0" w:rsidRDefault="001B186A" w:rsidP="00A0213C">
      <w:pPr>
        <w:rPr>
          <w:rFonts w:ascii="Book Antiqua" w:hAnsi="Book Antiqua" w:cs="Arial"/>
          <w:b/>
          <w:color w:val="000000"/>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Pr="008A78F0" w:rsidRDefault="00A845DC" w:rsidP="00A15234">
      <w:pPr>
        <w:jc w:val="center"/>
        <w:rPr>
          <w:rFonts w:ascii="Book Antiqua" w:hAnsi="Book Antiqua" w:cs="Arial"/>
          <w:b/>
        </w:rPr>
      </w:pPr>
    </w:p>
    <w:p w:rsidR="00A845DC" w:rsidRDefault="00A0213C" w:rsidP="00A15234">
      <w:pPr>
        <w:jc w:val="center"/>
        <w:rPr>
          <w:rFonts w:ascii="Book Antiqua" w:hAnsi="Book Antiqua" w:cs="Arial"/>
          <w:b/>
          <w:caps/>
        </w:rPr>
      </w:pPr>
      <w:r>
        <w:rPr>
          <w:rFonts w:ascii="Book Antiqua" w:hAnsi="Book Antiqua" w:cs="Arial"/>
          <w:b/>
          <w:caps/>
        </w:rPr>
        <w:t>MISS PLA NADINE MIREILLE YAO</w:t>
      </w:r>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CB1786" w:rsidRDefault="00CB1786" w:rsidP="00704B61">
      <w:pPr>
        <w:jc w:val="center"/>
        <w:rPr>
          <w:rFonts w:ascii="Book Antiqua" w:hAnsi="Book Antiqua" w:cs="Arial"/>
          <w:b/>
        </w:rPr>
      </w:pP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Default="00DD5071" w:rsidP="00704B61">
      <w:pPr>
        <w:jc w:val="center"/>
        <w:rPr>
          <w:rFonts w:ascii="Book Antiqua" w:hAnsi="Book Antiqua" w:cs="Arial"/>
          <w:b/>
        </w:rPr>
      </w:pPr>
    </w:p>
    <w:p w:rsidR="00CB1786" w:rsidRPr="008A78F0" w:rsidRDefault="00CB1786" w:rsidP="00704B61">
      <w:pPr>
        <w:jc w:val="center"/>
        <w:rPr>
          <w:rFonts w:ascii="Book Antiqua" w:hAnsi="Book Antiqua" w:cs="Arial"/>
          <w:b/>
        </w:rPr>
      </w:pPr>
      <w:r>
        <w:rPr>
          <w:rFonts w:ascii="Book Antiqua" w:hAnsi="Book Antiqua" w:cs="Arial"/>
          <w:b/>
        </w:rPr>
        <w:t>THE SECRETARY OF STATE FOR THE HOME DEPARTMENT</w:t>
      </w:r>
    </w:p>
    <w:p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rsidR="00DD5071" w:rsidRPr="008A78F0" w:rsidRDefault="00DD5071"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DD5071">
      <w:pPr>
        <w:rPr>
          <w:rFonts w:ascii="Book Antiqua" w:hAnsi="Book Antiqua" w:cs="Arial"/>
        </w:rPr>
      </w:pP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A0213C">
        <w:rPr>
          <w:rFonts w:ascii="Book Antiqua" w:hAnsi="Book Antiqua" w:cs="Arial"/>
        </w:rPr>
        <w:t xml:space="preserve">Mr O </w:t>
      </w:r>
      <w:proofErr w:type="spellStart"/>
      <w:r w:rsidR="00A0213C">
        <w:rPr>
          <w:rFonts w:ascii="Book Antiqua" w:hAnsi="Book Antiqua" w:cs="Arial"/>
        </w:rPr>
        <w:t>Ngwuocha</w:t>
      </w:r>
      <w:proofErr w:type="spellEnd"/>
      <w:r w:rsidR="00A0213C">
        <w:rPr>
          <w:rFonts w:ascii="Book Antiqua" w:hAnsi="Book Antiqua" w:cs="Arial"/>
        </w:rPr>
        <w:t>, Solicitor of Carl Martin Solicitors</w:t>
      </w: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A0213C">
        <w:rPr>
          <w:rFonts w:ascii="Book Antiqua" w:hAnsi="Book Antiqua" w:cs="Arial"/>
        </w:rPr>
        <w:t xml:space="preserve">Mr E </w:t>
      </w:r>
      <w:proofErr w:type="spellStart"/>
      <w:r w:rsidR="00A0213C">
        <w:rPr>
          <w:rFonts w:ascii="Book Antiqua" w:hAnsi="Book Antiqua" w:cs="Arial"/>
        </w:rPr>
        <w:t>Tufan</w:t>
      </w:r>
      <w:proofErr w:type="spellEnd"/>
      <w:r w:rsidR="00A0213C">
        <w:rPr>
          <w:rFonts w:ascii="Book Antiqua" w:hAnsi="Book Antiqua" w:cs="Arial"/>
        </w:rPr>
        <w:t xml:space="preserve">, Home Office Presenting Officer </w:t>
      </w:r>
    </w:p>
    <w:p w:rsidR="00DE7DB7" w:rsidRPr="008A78F0" w:rsidRDefault="00DE7DB7" w:rsidP="00402B9E">
      <w:pPr>
        <w:tabs>
          <w:tab w:val="left" w:pos="2520"/>
        </w:tabs>
        <w:jc w:val="center"/>
        <w:rPr>
          <w:rFonts w:ascii="Book Antiqua" w:hAnsi="Book Antiqua" w:cs="Arial"/>
        </w:rPr>
      </w:pP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A0213C">
        <w:rPr>
          <w:rFonts w:ascii="Book Antiqua" w:hAnsi="Book Antiqua" w:cs="Arial"/>
        </w:rPr>
        <w:t>The appellant is a national of the Cote d’Ivoire born on 16</w:t>
      </w:r>
      <w:r w:rsidR="00A0213C" w:rsidRPr="00A0213C">
        <w:rPr>
          <w:rFonts w:ascii="Book Antiqua" w:hAnsi="Book Antiqua" w:cs="Arial"/>
          <w:vertAlign w:val="superscript"/>
        </w:rPr>
        <w:t>th</w:t>
      </w:r>
      <w:r w:rsidR="00A0213C">
        <w:rPr>
          <w:rFonts w:ascii="Book Antiqua" w:hAnsi="Book Antiqua" w:cs="Arial"/>
        </w:rPr>
        <w:t xml:space="preserve"> August 1986.  On 22</w:t>
      </w:r>
      <w:r w:rsidR="00A0213C" w:rsidRPr="00A0213C">
        <w:rPr>
          <w:rFonts w:ascii="Book Antiqua" w:hAnsi="Book Antiqua" w:cs="Arial"/>
          <w:vertAlign w:val="superscript"/>
        </w:rPr>
        <w:t>nd</w:t>
      </w:r>
      <w:r w:rsidR="00A0213C">
        <w:rPr>
          <w:rFonts w:ascii="Book Antiqua" w:hAnsi="Book Antiqua" w:cs="Arial"/>
        </w:rPr>
        <w:t xml:space="preserve"> April 2016 she applied for a permanent residence card as a family member of her father, the sponsor, who is a Swedish national who acquired the right to permanent residence in the United Kingdom on 22</w:t>
      </w:r>
      <w:r w:rsidR="00A0213C" w:rsidRPr="00A0213C">
        <w:rPr>
          <w:rFonts w:ascii="Book Antiqua" w:hAnsi="Book Antiqua" w:cs="Arial"/>
          <w:vertAlign w:val="superscript"/>
        </w:rPr>
        <w:t>nd</w:t>
      </w:r>
      <w:r w:rsidR="00A0213C">
        <w:rPr>
          <w:rFonts w:ascii="Book Antiqua" w:hAnsi="Book Antiqua" w:cs="Arial"/>
        </w:rPr>
        <w:t xml:space="preserve"> January 2008.</w:t>
      </w:r>
    </w:p>
    <w:p w:rsidR="00A0213C" w:rsidRDefault="00A0213C" w:rsidP="00BF23BB">
      <w:pPr>
        <w:tabs>
          <w:tab w:val="left" w:pos="567"/>
        </w:tabs>
        <w:ind w:left="567" w:hanging="567"/>
        <w:jc w:val="both"/>
        <w:rPr>
          <w:rFonts w:ascii="Book Antiqua" w:hAnsi="Book Antiqua" w:cs="Arial"/>
        </w:rPr>
      </w:pPr>
    </w:p>
    <w:p w:rsidR="00A0213C" w:rsidRDefault="00A0213C"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refusal was in the terms that the appellant has failed to show </w:t>
      </w:r>
      <w:r w:rsidR="000270B8">
        <w:rPr>
          <w:rFonts w:ascii="Book Antiqua" w:hAnsi="Book Antiqua" w:cs="Arial"/>
        </w:rPr>
        <w:t xml:space="preserve">that for a continuous </w:t>
      </w:r>
      <w:proofErr w:type="gramStart"/>
      <w:r w:rsidR="000270B8">
        <w:rPr>
          <w:rFonts w:ascii="Book Antiqua" w:hAnsi="Book Antiqua" w:cs="Arial"/>
        </w:rPr>
        <w:t>five year</w:t>
      </w:r>
      <w:proofErr w:type="gramEnd"/>
      <w:r w:rsidR="000270B8">
        <w:rPr>
          <w:rFonts w:ascii="Book Antiqua" w:hAnsi="Book Antiqua" w:cs="Arial"/>
        </w:rPr>
        <w:t xml:space="preserve"> period she had remained a dependant of her father since the issue of her residence card on 13</w:t>
      </w:r>
      <w:r w:rsidR="000270B8" w:rsidRPr="000270B8">
        <w:rPr>
          <w:rFonts w:ascii="Book Antiqua" w:hAnsi="Book Antiqua" w:cs="Arial"/>
          <w:vertAlign w:val="superscript"/>
        </w:rPr>
        <w:t>th</w:t>
      </w:r>
      <w:r w:rsidR="000270B8">
        <w:rPr>
          <w:rFonts w:ascii="Book Antiqua" w:hAnsi="Book Antiqua" w:cs="Arial"/>
        </w:rPr>
        <w:t xml:space="preserve"> January 2010.  The appellant sought to appeal against that decision, which appeal came before First-tier Tribunal Judge James for hearing on 1</w:t>
      </w:r>
      <w:r w:rsidR="000270B8" w:rsidRPr="000270B8">
        <w:rPr>
          <w:rFonts w:ascii="Book Antiqua" w:hAnsi="Book Antiqua" w:cs="Arial"/>
          <w:vertAlign w:val="superscript"/>
        </w:rPr>
        <w:t>st</w:t>
      </w:r>
      <w:r w:rsidR="000270B8">
        <w:rPr>
          <w:rFonts w:ascii="Book Antiqua" w:hAnsi="Book Antiqua" w:cs="Arial"/>
        </w:rPr>
        <w:t xml:space="preserve"> February 2018.  In a determination promulgated on 23</w:t>
      </w:r>
      <w:r w:rsidR="000270B8" w:rsidRPr="000270B8">
        <w:rPr>
          <w:rFonts w:ascii="Book Antiqua" w:hAnsi="Book Antiqua" w:cs="Arial"/>
          <w:vertAlign w:val="superscript"/>
        </w:rPr>
        <w:t>rd</w:t>
      </w:r>
      <w:r w:rsidR="000270B8">
        <w:rPr>
          <w:rFonts w:ascii="Book Antiqua" w:hAnsi="Book Antiqua" w:cs="Arial"/>
        </w:rPr>
        <w:t xml:space="preserve"> February 2018 the appeal was dismissed.  </w:t>
      </w:r>
    </w:p>
    <w:p w:rsidR="000270B8" w:rsidRDefault="000270B8" w:rsidP="00BF23BB">
      <w:pPr>
        <w:tabs>
          <w:tab w:val="left" w:pos="567"/>
        </w:tabs>
        <w:ind w:left="567" w:hanging="567"/>
        <w:jc w:val="both"/>
        <w:rPr>
          <w:rFonts w:ascii="Book Antiqua" w:hAnsi="Book Antiqua" w:cs="Arial"/>
        </w:rPr>
      </w:pPr>
    </w:p>
    <w:p w:rsidR="000270B8" w:rsidRDefault="000270B8" w:rsidP="00BF23BB">
      <w:pPr>
        <w:tabs>
          <w:tab w:val="left" w:pos="567"/>
        </w:tabs>
        <w:ind w:left="567" w:hanging="567"/>
        <w:jc w:val="both"/>
        <w:rPr>
          <w:rFonts w:ascii="Book Antiqua" w:hAnsi="Book Antiqua" w:cs="Arial"/>
        </w:rPr>
      </w:pPr>
      <w:r>
        <w:rPr>
          <w:rFonts w:ascii="Book Antiqua" w:hAnsi="Book Antiqua" w:cs="Arial"/>
        </w:rPr>
        <w:lastRenderedPageBreak/>
        <w:t>3.</w:t>
      </w:r>
      <w:r>
        <w:rPr>
          <w:rFonts w:ascii="Book Antiqua" w:hAnsi="Book Antiqua" w:cs="Arial"/>
        </w:rPr>
        <w:tab/>
        <w:t xml:space="preserve">It was noted that at the time of the application the appellant was aged 29 and therefore failed to satisfy Regulation 7(1)(b), namely the requirement of being under </w:t>
      </w:r>
      <w:r w:rsidR="00804EC0">
        <w:rPr>
          <w:rFonts w:ascii="Book Antiqua" w:hAnsi="Book Antiqua" w:cs="Arial"/>
        </w:rPr>
        <w:t xml:space="preserve">21 </w:t>
      </w:r>
      <w:r>
        <w:rPr>
          <w:rFonts w:ascii="Book Antiqua" w:hAnsi="Book Antiqua" w:cs="Arial"/>
        </w:rPr>
        <w:t xml:space="preserve">or a dependant of the sponsor </w:t>
      </w:r>
      <w:proofErr w:type="gramStart"/>
      <w:r>
        <w:rPr>
          <w:rFonts w:ascii="Book Antiqua" w:hAnsi="Book Antiqua" w:cs="Arial"/>
        </w:rPr>
        <w:t>in order to</w:t>
      </w:r>
      <w:proofErr w:type="gramEnd"/>
      <w:r>
        <w:rPr>
          <w:rFonts w:ascii="Book Antiqua" w:hAnsi="Book Antiqua" w:cs="Arial"/>
        </w:rPr>
        <w:t xml:space="preserve"> be treated as a family member.  It was noted that the appellant lived separately and apart from the sponsor.</w:t>
      </w:r>
    </w:p>
    <w:p w:rsidR="000270B8" w:rsidRDefault="000270B8" w:rsidP="00BF23BB">
      <w:pPr>
        <w:tabs>
          <w:tab w:val="left" w:pos="567"/>
        </w:tabs>
        <w:ind w:left="567" w:hanging="567"/>
        <w:jc w:val="both"/>
        <w:rPr>
          <w:rFonts w:ascii="Book Antiqua" w:hAnsi="Book Antiqua" w:cs="Arial"/>
        </w:rPr>
      </w:pPr>
    </w:p>
    <w:p w:rsidR="000270B8" w:rsidRDefault="000270B8"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The appellant sought to appeal against that decision.</w:t>
      </w:r>
    </w:p>
    <w:p w:rsidR="000270B8" w:rsidRDefault="000270B8" w:rsidP="00BF23BB">
      <w:pPr>
        <w:tabs>
          <w:tab w:val="left" w:pos="567"/>
        </w:tabs>
        <w:ind w:left="567" w:hanging="567"/>
        <w:jc w:val="both"/>
        <w:rPr>
          <w:rFonts w:ascii="Book Antiqua" w:hAnsi="Book Antiqua" w:cs="Arial"/>
        </w:rPr>
      </w:pPr>
    </w:p>
    <w:p w:rsidR="000270B8" w:rsidRDefault="000270B8"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It is contended </w:t>
      </w:r>
      <w:proofErr w:type="gramStart"/>
      <w:r>
        <w:rPr>
          <w:rFonts w:ascii="Book Antiqua" w:hAnsi="Book Antiqua" w:cs="Arial"/>
        </w:rPr>
        <w:t>first of all</w:t>
      </w:r>
      <w:proofErr w:type="gramEnd"/>
      <w:r>
        <w:rPr>
          <w:rFonts w:ascii="Book Antiqua" w:hAnsi="Book Antiqua" w:cs="Arial"/>
        </w:rPr>
        <w:t xml:space="preserve"> that the Judge misunderstood the nature </w:t>
      </w:r>
      <w:r w:rsidR="006A78E2">
        <w:rPr>
          <w:rFonts w:ascii="Book Antiqua" w:hAnsi="Book Antiqua" w:cs="Arial"/>
        </w:rPr>
        <w:t xml:space="preserve">and ambit of the Regulations, it being </w:t>
      </w:r>
      <w:r>
        <w:rPr>
          <w:rFonts w:ascii="Book Antiqua" w:hAnsi="Book Antiqua" w:cs="Arial"/>
        </w:rPr>
        <w:t xml:space="preserve">said that the </w:t>
      </w:r>
      <w:r w:rsidR="006A78E2">
        <w:rPr>
          <w:rFonts w:ascii="Book Antiqua" w:hAnsi="Book Antiqua" w:cs="Arial"/>
        </w:rPr>
        <w:t>appellant,</w:t>
      </w:r>
      <w:r>
        <w:rPr>
          <w:rFonts w:ascii="Book Antiqua" w:hAnsi="Book Antiqua" w:cs="Arial"/>
        </w:rPr>
        <w:t xml:space="preserve"> having been granted initially a residence card on the basis of her dependency she now having undertaken five years residence</w:t>
      </w:r>
      <w:r w:rsidR="006A78E2">
        <w:rPr>
          <w:rFonts w:ascii="Book Antiqua" w:hAnsi="Book Antiqua" w:cs="Arial"/>
        </w:rPr>
        <w:t>,</w:t>
      </w:r>
      <w:r>
        <w:rPr>
          <w:rFonts w:ascii="Book Antiqua" w:hAnsi="Book Antiqua" w:cs="Arial"/>
        </w:rPr>
        <w:t xml:space="preserve"> was entitled to p</w:t>
      </w:r>
      <w:r w:rsidR="006A78E2">
        <w:rPr>
          <w:rFonts w:ascii="Book Antiqua" w:hAnsi="Book Antiqua" w:cs="Arial"/>
        </w:rPr>
        <w:t>ermanent residence without having to show any dependency during that period.</w:t>
      </w:r>
    </w:p>
    <w:p w:rsidR="000270B8" w:rsidRDefault="000270B8" w:rsidP="00BF23BB">
      <w:pPr>
        <w:tabs>
          <w:tab w:val="left" w:pos="567"/>
        </w:tabs>
        <w:ind w:left="567" w:hanging="567"/>
        <w:jc w:val="both"/>
        <w:rPr>
          <w:rFonts w:ascii="Book Antiqua" w:hAnsi="Book Antiqua" w:cs="Arial"/>
        </w:rPr>
      </w:pPr>
    </w:p>
    <w:p w:rsidR="000270B8" w:rsidRDefault="000270B8"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In any event it is contended that the Judge fundamentally misunderstood that</w:t>
      </w:r>
      <w:r w:rsidR="006A78E2">
        <w:rPr>
          <w:rFonts w:ascii="Book Antiqua" w:hAnsi="Book Antiqua" w:cs="Arial"/>
        </w:rPr>
        <w:t xml:space="preserve"> the</w:t>
      </w:r>
      <w:r>
        <w:rPr>
          <w:rFonts w:ascii="Book Antiqua" w:hAnsi="Book Antiqua" w:cs="Arial"/>
        </w:rPr>
        <w:t xml:space="preserve"> right of residence began when she joined her Swedish national father on 31</w:t>
      </w:r>
      <w:r w:rsidRPr="000270B8">
        <w:rPr>
          <w:rFonts w:ascii="Book Antiqua" w:hAnsi="Book Antiqua" w:cs="Arial"/>
          <w:vertAlign w:val="superscript"/>
        </w:rPr>
        <w:t>st</w:t>
      </w:r>
      <w:r>
        <w:rPr>
          <w:rFonts w:ascii="Book Antiqua" w:hAnsi="Book Antiqua" w:cs="Arial"/>
        </w:rPr>
        <w:t xml:space="preserve"> </w:t>
      </w:r>
      <w:r w:rsidR="00C719B2">
        <w:rPr>
          <w:rFonts w:ascii="Book Antiqua" w:hAnsi="Book Antiqua" w:cs="Arial"/>
        </w:rPr>
        <w:t>December 200</w:t>
      </w:r>
      <w:r>
        <w:rPr>
          <w:rFonts w:ascii="Book Antiqua" w:hAnsi="Book Antiqua" w:cs="Arial"/>
        </w:rPr>
        <w:t>3 and not on the date of the grant of the residence card.</w:t>
      </w:r>
    </w:p>
    <w:p w:rsidR="000270B8" w:rsidRDefault="000270B8" w:rsidP="00BF23BB">
      <w:pPr>
        <w:tabs>
          <w:tab w:val="left" w:pos="567"/>
        </w:tabs>
        <w:ind w:left="567" w:hanging="567"/>
        <w:jc w:val="both"/>
        <w:rPr>
          <w:rFonts w:ascii="Book Antiqua" w:hAnsi="Book Antiqua" w:cs="Arial"/>
        </w:rPr>
      </w:pPr>
    </w:p>
    <w:p w:rsidR="000270B8" w:rsidRDefault="000270B8"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Leave to challenge the decision to the Upper Tribunal was granted and thus it is the matter comes before me to determine the issue.</w:t>
      </w:r>
    </w:p>
    <w:p w:rsidR="000270B8" w:rsidRDefault="000270B8" w:rsidP="00BF23BB">
      <w:pPr>
        <w:tabs>
          <w:tab w:val="left" w:pos="567"/>
        </w:tabs>
        <w:ind w:left="567" w:hanging="567"/>
        <w:jc w:val="both"/>
        <w:rPr>
          <w:rFonts w:ascii="Book Antiqua" w:hAnsi="Book Antiqua" w:cs="Arial"/>
        </w:rPr>
      </w:pPr>
    </w:p>
    <w:p w:rsidR="000270B8" w:rsidRDefault="000270B8" w:rsidP="000270B8">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The primary submission in respect of the appellant is that having been granted a residence card </w:t>
      </w:r>
      <w:proofErr w:type="gramStart"/>
      <w:r>
        <w:rPr>
          <w:rFonts w:ascii="Book Antiqua" w:hAnsi="Book Antiqua" w:cs="Arial"/>
        </w:rPr>
        <w:t>on the basis of</w:t>
      </w:r>
      <w:proofErr w:type="gramEnd"/>
      <w:r>
        <w:rPr>
          <w:rFonts w:ascii="Book Antiqua" w:hAnsi="Book Antiqua" w:cs="Arial"/>
        </w:rPr>
        <w:t xml:space="preserve"> being a family member, </w:t>
      </w:r>
      <w:r w:rsidR="006A78E2">
        <w:rPr>
          <w:rFonts w:ascii="Book Antiqua" w:hAnsi="Book Antiqua" w:cs="Arial"/>
        </w:rPr>
        <w:t>i.e. dependent upon the sponsor and</w:t>
      </w:r>
      <w:r>
        <w:rPr>
          <w:rFonts w:ascii="Book Antiqua" w:hAnsi="Book Antiqua" w:cs="Arial"/>
        </w:rPr>
        <w:t xml:space="preserve"> having resided upon that residence card for five years the appellant is entitled to permanent residence notwithstanding that she is no longer a dependant.  </w:t>
      </w:r>
    </w:p>
    <w:p w:rsidR="000270B8" w:rsidRDefault="000270B8" w:rsidP="000270B8">
      <w:pPr>
        <w:tabs>
          <w:tab w:val="left" w:pos="567"/>
        </w:tabs>
        <w:ind w:left="567" w:hanging="567"/>
        <w:jc w:val="both"/>
        <w:rPr>
          <w:rFonts w:ascii="Book Antiqua" w:hAnsi="Book Antiqua" w:cs="Arial"/>
        </w:rPr>
      </w:pPr>
    </w:p>
    <w:p w:rsidR="000270B8" w:rsidRDefault="000270B8" w:rsidP="000270B8">
      <w:pPr>
        <w:tabs>
          <w:tab w:val="left" w:pos="567"/>
        </w:tabs>
        <w:ind w:left="567" w:hanging="567"/>
        <w:jc w:val="both"/>
        <w:rPr>
          <w:rFonts w:ascii="Book Antiqua" w:hAnsi="Book Antiqua"/>
          <w:color w:val="000000"/>
        </w:rPr>
      </w:pPr>
      <w:r>
        <w:rPr>
          <w:rFonts w:ascii="Book Antiqua" w:hAnsi="Book Antiqua" w:cs="Arial"/>
        </w:rPr>
        <w:t>9.</w:t>
      </w:r>
      <w:r>
        <w:rPr>
          <w:rFonts w:ascii="Book Antiqua" w:hAnsi="Book Antiqua" w:cs="Arial"/>
        </w:rPr>
        <w:tab/>
        <w:t xml:space="preserve">Reliance was placed particularly upon the Upper Tribunal decision in </w:t>
      </w:r>
      <w:r w:rsidR="00637B85" w:rsidRPr="003A4916">
        <w:rPr>
          <w:rFonts w:ascii="Book Antiqua" w:hAnsi="Book Antiqua"/>
          <w:b/>
          <w:color w:val="000000"/>
          <w:u w:val="single"/>
        </w:rPr>
        <w:t>PM</w:t>
      </w:r>
      <w:r w:rsidR="00637B85" w:rsidRPr="003A4916">
        <w:rPr>
          <w:rFonts w:ascii="Book Antiqua" w:hAnsi="Book Antiqua"/>
          <w:b/>
          <w:color w:val="000000"/>
        </w:rPr>
        <w:t xml:space="preserve"> (EEA – spouse </w:t>
      </w:r>
      <w:proofErr w:type="gramStart"/>
      <w:r w:rsidR="00637B85" w:rsidRPr="003A4916">
        <w:rPr>
          <w:rFonts w:ascii="Book Antiqua" w:hAnsi="Book Antiqua"/>
          <w:b/>
          <w:color w:val="000000"/>
        </w:rPr>
        <w:t>–“</w:t>
      </w:r>
      <w:proofErr w:type="gramEnd"/>
      <w:r w:rsidR="00637B85" w:rsidRPr="003A4916">
        <w:rPr>
          <w:rFonts w:ascii="Book Antiqua" w:hAnsi="Book Antiqua"/>
          <w:b/>
          <w:color w:val="000000"/>
        </w:rPr>
        <w:t>residing with”) Turkey [2011] UKUT 89 (IAC)</w:t>
      </w:r>
      <w:r w:rsidR="003A4916">
        <w:rPr>
          <w:rFonts w:ascii="Book Antiqua" w:hAnsi="Book Antiqua"/>
          <w:color w:val="000000"/>
        </w:rPr>
        <w:t xml:space="preserve">.  </w:t>
      </w:r>
    </w:p>
    <w:p w:rsidR="003A4916" w:rsidRDefault="003A4916" w:rsidP="000270B8">
      <w:pPr>
        <w:tabs>
          <w:tab w:val="left" w:pos="567"/>
        </w:tabs>
        <w:ind w:left="567" w:hanging="567"/>
        <w:jc w:val="both"/>
        <w:rPr>
          <w:rFonts w:ascii="Book Antiqua" w:hAnsi="Book Antiqua"/>
          <w:color w:val="000000"/>
        </w:rPr>
      </w:pPr>
    </w:p>
    <w:p w:rsidR="0048525A" w:rsidRDefault="003A4916" w:rsidP="000270B8">
      <w:pPr>
        <w:tabs>
          <w:tab w:val="left" w:pos="567"/>
        </w:tabs>
        <w:ind w:left="567" w:hanging="567"/>
        <w:jc w:val="both"/>
        <w:rPr>
          <w:rFonts w:ascii="Book Antiqua" w:hAnsi="Book Antiqua"/>
          <w:color w:val="000000"/>
        </w:rPr>
      </w:pPr>
      <w:r>
        <w:rPr>
          <w:rFonts w:ascii="Book Antiqua" w:hAnsi="Book Antiqua"/>
          <w:color w:val="000000"/>
        </w:rPr>
        <w:t>10.</w:t>
      </w:r>
      <w:r>
        <w:rPr>
          <w:rFonts w:ascii="Book Antiqua" w:hAnsi="Book Antiqua"/>
          <w:color w:val="000000"/>
        </w:rPr>
        <w:tab/>
        <w:t xml:space="preserve">This was a case where the appellant was married to the EEA sponsor and was given a residence card in 2014 on that basis.  </w:t>
      </w:r>
      <w:proofErr w:type="gramStart"/>
      <w:r>
        <w:rPr>
          <w:rFonts w:ascii="Book Antiqua" w:hAnsi="Book Antiqua"/>
          <w:color w:val="000000"/>
        </w:rPr>
        <w:t>However</w:t>
      </w:r>
      <w:proofErr w:type="gramEnd"/>
      <w:r>
        <w:rPr>
          <w:rFonts w:ascii="Book Antiqua" w:hAnsi="Book Antiqua"/>
          <w:color w:val="000000"/>
        </w:rPr>
        <w:t xml:space="preserve"> in 2017 she left the matrimonial home and although remained married to the sponsor did not live with him.  </w:t>
      </w:r>
    </w:p>
    <w:p w:rsidR="0048525A" w:rsidRDefault="0048525A" w:rsidP="000270B8">
      <w:pPr>
        <w:tabs>
          <w:tab w:val="left" w:pos="567"/>
        </w:tabs>
        <w:ind w:left="567" w:hanging="567"/>
        <w:jc w:val="both"/>
        <w:rPr>
          <w:rFonts w:ascii="Book Antiqua" w:hAnsi="Book Antiqua"/>
          <w:color w:val="000000"/>
        </w:rPr>
      </w:pPr>
    </w:p>
    <w:p w:rsidR="003A4916" w:rsidRDefault="0048525A" w:rsidP="000270B8">
      <w:pPr>
        <w:tabs>
          <w:tab w:val="left" w:pos="567"/>
        </w:tabs>
        <w:ind w:left="567" w:hanging="567"/>
        <w:jc w:val="both"/>
        <w:rPr>
          <w:rFonts w:ascii="Book Antiqua" w:hAnsi="Book Antiqua"/>
          <w:color w:val="000000"/>
        </w:rPr>
      </w:pPr>
      <w:r>
        <w:rPr>
          <w:rFonts w:ascii="Book Antiqua" w:hAnsi="Book Antiqua"/>
          <w:color w:val="000000"/>
        </w:rPr>
        <w:t>11.</w:t>
      </w:r>
      <w:r>
        <w:rPr>
          <w:rFonts w:ascii="Book Antiqua" w:hAnsi="Book Antiqua"/>
          <w:color w:val="000000"/>
        </w:rPr>
        <w:tab/>
      </w:r>
      <w:r w:rsidR="003A4916">
        <w:rPr>
          <w:rFonts w:ascii="Book Antiqua" w:hAnsi="Book Antiqua"/>
          <w:color w:val="000000"/>
        </w:rPr>
        <w:t xml:space="preserve">Regulation 15(1)(b) of the </w:t>
      </w:r>
      <w:r>
        <w:rPr>
          <w:rFonts w:ascii="Book Antiqua" w:hAnsi="Book Antiqua"/>
          <w:color w:val="000000"/>
        </w:rPr>
        <w:t>Immigration (European Economic Area</w:t>
      </w:r>
      <w:r w:rsidR="003A4916">
        <w:rPr>
          <w:rFonts w:ascii="Book Antiqua" w:hAnsi="Book Antiqua"/>
          <w:color w:val="000000"/>
        </w:rPr>
        <w:t>) Regulations 2006 applies to those who entered a genuine marriage where both parties had resided in the United Kingdom for five years since the marriage.  It was the decision of the Tribunal that “residing with” related to presence in the United Kingdom and did not require living in any common family home.</w:t>
      </w:r>
    </w:p>
    <w:p w:rsidR="003A4916" w:rsidRDefault="003A4916" w:rsidP="000270B8">
      <w:pPr>
        <w:tabs>
          <w:tab w:val="left" w:pos="567"/>
        </w:tabs>
        <w:ind w:left="567" w:hanging="567"/>
        <w:jc w:val="both"/>
        <w:rPr>
          <w:rFonts w:ascii="Book Antiqua" w:hAnsi="Book Antiqua"/>
          <w:color w:val="000000"/>
        </w:rPr>
      </w:pPr>
    </w:p>
    <w:p w:rsidR="003A4916" w:rsidRDefault="003A4916" w:rsidP="000270B8">
      <w:pPr>
        <w:tabs>
          <w:tab w:val="left" w:pos="567"/>
        </w:tabs>
        <w:ind w:left="567" w:hanging="567"/>
        <w:jc w:val="both"/>
        <w:rPr>
          <w:rFonts w:ascii="Book Antiqua" w:hAnsi="Book Antiqua"/>
          <w:color w:val="000000"/>
        </w:rPr>
      </w:pPr>
      <w:r>
        <w:rPr>
          <w:rFonts w:ascii="Book Antiqua" w:hAnsi="Book Antiqua"/>
          <w:color w:val="000000"/>
        </w:rPr>
        <w:t>1</w:t>
      </w:r>
      <w:r w:rsidR="0048525A">
        <w:rPr>
          <w:rFonts w:ascii="Book Antiqua" w:hAnsi="Book Antiqua"/>
          <w:color w:val="000000"/>
        </w:rPr>
        <w:t>2</w:t>
      </w:r>
      <w:r>
        <w:rPr>
          <w:rFonts w:ascii="Book Antiqua" w:hAnsi="Book Antiqua"/>
          <w:color w:val="000000"/>
        </w:rPr>
        <w:t>.</w:t>
      </w:r>
      <w:r>
        <w:rPr>
          <w:rFonts w:ascii="Book Antiqua" w:hAnsi="Book Antiqua"/>
          <w:color w:val="000000"/>
        </w:rPr>
        <w:tab/>
        <w:t>Th</w:t>
      </w:r>
      <w:r w:rsidR="0048525A">
        <w:rPr>
          <w:rFonts w:ascii="Book Antiqua" w:hAnsi="Book Antiqua"/>
          <w:color w:val="000000"/>
        </w:rPr>
        <w:t>e present case is of course not</w:t>
      </w:r>
      <w:r>
        <w:rPr>
          <w:rFonts w:ascii="Book Antiqua" w:hAnsi="Book Antiqua"/>
          <w:color w:val="000000"/>
        </w:rPr>
        <w:t xml:space="preserve"> a marriage case b</w:t>
      </w:r>
      <w:r w:rsidR="006A78E2">
        <w:rPr>
          <w:rFonts w:ascii="Book Antiqua" w:hAnsi="Book Antiqua"/>
          <w:color w:val="000000"/>
        </w:rPr>
        <w:t>ut a family member otherwise than a</w:t>
      </w:r>
      <w:r>
        <w:rPr>
          <w:rFonts w:ascii="Book Antiqua" w:hAnsi="Book Antiqua"/>
          <w:color w:val="000000"/>
        </w:rPr>
        <w:t xml:space="preserve"> s</w:t>
      </w:r>
      <w:r w:rsidR="006A78E2">
        <w:rPr>
          <w:rFonts w:ascii="Book Antiqua" w:hAnsi="Book Antiqua"/>
          <w:color w:val="000000"/>
        </w:rPr>
        <w:t>pouse.  The appellant acquired the EEA</w:t>
      </w:r>
      <w:r>
        <w:rPr>
          <w:rFonts w:ascii="Book Antiqua" w:hAnsi="Book Antiqua"/>
          <w:color w:val="000000"/>
        </w:rPr>
        <w:t xml:space="preserve"> relationship with the sponsor as a family member initially </w:t>
      </w:r>
      <w:proofErr w:type="gramStart"/>
      <w:r>
        <w:rPr>
          <w:rFonts w:ascii="Book Antiqua" w:hAnsi="Book Antiqua"/>
          <w:color w:val="000000"/>
        </w:rPr>
        <w:t>by reason of</w:t>
      </w:r>
      <w:proofErr w:type="gramEnd"/>
      <w:r>
        <w:rPr>
          <w:rFonts w:ascii="Book Antiqua" w:hAnsi="Book Antiqua"/>
          <w:color w:val="000000"/>
        </w:rPr>
        <w:t xml:space="preserve"> her age and/or her dependency upon him.  </w:t>
      </w:r>
    </w:p>
    <w:p w:rsidR="003A4916" w:rsidRDefault="003A4916" w:rsidP="000270B8">
      <w:pPr>
        <w:tabs>
          <w:tab w:val="left" w:pos="567"/>
        </w:tabs>
        <w:ind w:left="567" w:hanging="567"/>
        <w:jc w:val="both"/>
        <w:rPr>
          <w:rFonts w:ascii="Book Antiqua" w:hAnsi="Book Antiqua"/>
          <w:color w:val="000000"/>
        </w:rPr>
      </w:pPr>
    </w:p>
    <w:p w:rsidR="003A4916" w:rsidRDefault="0048525A" w:rsidP="000270B8">
      <w:pPr>
        <w:tabs>
          <w:tab w:val="left" w:pos="567"/>
        </w:tabs>
        <w:ind w:left="567" w:hanging="567"/>
        <w:jc w:val="both"/>
        <w:rPr>
          <w:rFonts w:ascii="Book Antiqua" w:hAnsi="Book Antiqua"/>
          <w:color w:val="000000"/>
        </w:rPr>
      </w:pPr>
      <w:r>
        <w:rPr>
          <w:rFonts w:ascii="Book Antiqua" w:hAnsi="Book Antiqua"/>
          <w:color w:val="000000"/>
        </w:rPr>
        <w:t>13</w:t>
      </w:r>
      <w:r w:rsidR="003A4916">
        <w:rPr>
          <w:rFonts w:ascii="Book Antiqua" w:hAnsi="Book Antiqua"/>
          <w:color w:val="000000"/>
        </w:rPr>
        <w:t>.</w:t>
      </w:r>
      <w:r w:rsidR="003A4916">
        <w:rPr>
          <w:rFonts w:ascii="Book Antiqua" w:hAnsi="Book Antiqua"/>
          <w:color w:val="000000"/>
        </w:rPr>
        <w:tab/>
        <w:t>It is submitted that Regulation 15(1)(b) applies also to the appellant as she has resided within the</w:t>
      </w:r>
      <w:r w:rsidR="006A78E2">
        <w:rPr>
          <w:rFonts w:ascii="Book Antiqua" w:hAnsi="Book Antiqua"/>
          <w:color w:val="000000"/>
        </w:rPr>
        <w:t xml:space="preserve"> United Kingdom</w:t>
      </w:r>
      <w:r w:rsidR="003A4916">
        <w:rPr>
          <w:rFonts w:ascii="Book Antiqua" w:hAnsi="Book Antiqua"/>
          <w:color w:val="000000"/>
        </w:rPr>
        <w:t xml:space="preserve"> in accordance</w:t>
      </w:r>
      <w:r>
        <w:rPr>
          <w:rFonts w:ascii="Book Antiqua" w:hAnsi="Book Antiqua"/>
          <w:color w:val="000000"/>
        </w:rPr>
        <w:t xml:space="preserve"> with the R</w:t>
      </w:r>
      <w:r w:rsidR="003A4916">
        <w:rPr>
          <w:rFonts w:ascii="Book Antiqua" w:hAnsi="Book Antiqua"/>
          <w:color w:val="000000"/>
        </w:rPr>
        <w:t xml:space="preserve">egulations for a continuous period of five years </w:t>
      </w:r>
      <w:r>
        <w:rPr>
          <w:rFonts w:ascii="Book Antiqua" w:hAnsi="Book Antiqua"/>
          <w:color w:val="000000"/>
        </w:rPr>
        <w:t>but</w:t>
      </w:r>
      <w:r w:rsidR="003A4916">
        <w:rPr>
          <w:rFonts w:ascii="Book Antiqua" w:hAnsi="Book Antiqua"/>
          <w:color w:val="000000"/>
        </w:rPr>
        <w:t xml:space="preserve"> not necessarily resident with him.  The issue of course that exercised the Secretary of State in the decision under challenge was whether in that </w:t>
      </w:r>
      <w:proofErr w:type="gramStart"/>
      <w:r w:rsidR="00CB1786">
        <w:rPr>
          <w:rFonts w:ascii="Book Antiqua" w:hAnsi="Book Antiqua"/>
          <w:color w:val="000000"/>
        </w:rPr>
        <w:lastRenderedPageBreak/>
        <w:t xml:space="preserve">five </w:t>
      </w:r>
      <w:r w:rsidR="003A4916">
        <w:rPr>
          <w:rFonts w:ascii="Book Antiqua" w:hAnsi="Book Antiqua"/>
          <w:color w:val="000000"/>
        </w:rPr>
        <w:t>year</w:t>
      </w:r>
      <w:proofErr w:type="gramEnd"/>
      <w:r w:rsidR="003A4916">
        <w:rPr>
          <w:rFonts w:ascii="Book Antiqua" w:hAnsi="Book Antiqua"/>
          <w:color w:val="000000"/>
        </w:rPr>
        <w:t xml:space="preserve"> period she resided in accordance with the Regulations, namely as a dependent family member.</w:t>
      </w:r>
    </w:p>
    <w:p w:rsidR="003A4916" w:rsidRDefault="003A4916" w:rsidP="000270B8">
      <w:pPr>
        <w:tabs>
          <w:tab w:val="left" w:pos="567"/>
        </w:tabs>
        <w:ind w:left="567" w:hanging="567"/>
        <w:jc w:val="both"/>
        <w:rPr>
          <w:rFonts w:ascii="Book Antiqua" w:hAnsi="Book Antiqua"/>
          <w:color w:val="000000"/>
        </w:rPr>
      </w:pPr>
    </w:p>
    <w:p w:rsidR="003A4916" w:rsidRDefault="0048525A" w:rsidP="000270B8">
      <w:pPr>
        <w:tabs>
          <w:tab w:val="left" w:pos="567"/>
        </w:tabs>
        <w:ind w:left="567" w:hanging="567"/>
        <w:jc w:val="both"/>
        <w:rPr>
          <w:rFonts w:ascii="Book Antiqua" w:hAnsi="Book Antiqua" w:cs="Arial"/>
        </w:rPr>
      </w:pPr>
      <w:r>
        <w:rPr>
          <w:rFonts w:ascii="Book Antiqua" w:hAnsi="Book Antiqua"/>
          <w:color w:val="000000"/>
        </w:rPr>
        <w:t>14</w:t>
      </w:r>
      <w:r w:rsidR="003A4916">
        <w:rPr>
          <w:rFonts w:ascii="Book Antiqua" w:hAnsi="Book Antiqua"/>
          <w:color w:val="000000"/>
        </w:rPr>
        <w:t>.</w:t>
      </w:r>
      <w:r w:rsidR="003A4916">
        <w:rPr>
          <w:rFonts w:ascii="Book Antiqua" w:hAnsi="Book Antiqua"/>
          <w:color w:val="000000"/>
        </w:rPr>
        <w:tab/>
        <w:t xml:space="preserve">Mr </w:t>
      </w:r>
      <w:proofErr w:type="spellStart"/>
      <w:r w:rsidR="003A4916">
        <w:rPr>
          <w:rFonts w:ascii="Book Antiqua" w:hAnsi="Book Antiqua" w:cs="Arial"/>
        </w:rPr>
        <w:t>Ngwuocha</w:t>
      </w:r>
      <w:proofErr w:type="spellEnd"/>
      <w:r w:rsidR="003A4916">
        <w:rPr>
          <w:rFonts w:ascii="Book Antiqua" w:hAnsi="Book Antiqua" w:cs="Arial"/>
        </w:rPr>
        <w:t xml:space="preserve"> submits that such is an unduly narrow interpretation of the construction of the Regulation.  He relies particularly on p</w:t>
      </w:r>
      <w:r w:rsidR="006A78E2">
        <w:rPr>
          <w:rFonts w:ascii="Book Antiqua" w:hAnsi="Book Antiqua" w:cs="Arial"/>
        </w:rPr>
        <w:t>aragraph 16 of PM</w:t>
      </w:r>
      <w:r w:rsidR="003A4916">
        <w:rPr>
          <w:rFonts w:ascii="Book Antiqua" w:hAnsi="Book Antiqua" w:cs="Arial"/>
        </w:rPr>
        <w:t xml:space="preserve"> which provides as </w:t>
      </w:r>
      <w:proofErr w:type="gramStart"/>
      <w:r w:rsidR="003A4916">
        <w:rPr>
          <w:rFonts w:ascii="Book Antiqua" w:hAnsi="Book Antiqua" w:cs="Arial"/>
        </w:rPr>
        <w:t>follows:-</w:t>
      </w:r>
      <w:proofErr w:type="gramEnd"/>
    </w:p>
    <w:p w:rsidR="003A4916" w:rsidRDefault="003A4916" w:rsidP="000270B8">
      <w:pPr>
        <w:tabs>
          <w:tab w:val="left" w:pos="567"/>
        </w:tabs>
        <w:ind w:left="567" w:hanging="567"/>
        <w:jc w:val="both"/>
        <w:rPr>
          <w:rFonts w:ascii="Book Antiqua" w:hAnsi="Book Antiqua" w:cs="Arial"/>
        </w:rPr>
      </w:pPr>
    </w:p>
    <w:p w:rsidR="003A4916" w:rsidRDefault="003A4916" w:rsidP="006E012A">
      <w:pPr>
        <w:ind w:left="1134"/>
        <w:jc w:val="both"/>
        <w:rPr>
          <w:rFonts w:ascii="Book Antiqua" w:hAnsi="Book Antiqua"/>
        </w:rPr>
      </w:pPr>
      <w:r>
        <w:rPr>
          <w:rFonts w:ascii="Book Antiqua" w:hAnsi="Book Antiqua"/>
        </w:rPr>
        <w:t xml:space="preserve">“Turning to the context of the regulations, the scheme (reflecting the requirements of Community law) deals with initial residence, then extended rights of residence, next retained rights of residence and finally permanent rights of residence.  Regulation 13(2) concerns the right of initial residence of a non-EEA family member of an EEA national.  The position of such a family member is distinguished from that of EEA nationals by the requirement to produce a valid passport, but otherwise the initial right of residence is not expressed to be subject to a requirement to reside with the EEA national. No distinction is made between EEA and non-EEA family members for the purposes of the extended right of residence under </w:t>
      </w:r>
      <w:proofErr w:type="spellStart"/>
      <w:r>
        <w:rPr>
          <w:rFonts w:ascii="Book Antiqua" w:hAnsi="Book Antiqua"/>
        </w:rPr>
        <w:t>reg</w:t>
      </w:r>
      <w:proofErr w:type="spellEnd"/>
      <w:r>
        <w:rPr>
          <w:rFonts w:ascii="Book Antiqua" w:hAnsi="Book Antiqua"/>
        </w:rPr>
        <w:t xml:space="preserve"> 14(2).  All family members are entitled to extended residence </w:t>
      </w:r>
      <w:proofErr w:type="gramStart"/>
      <w:r>
        <w:rPr>
          <w:rFonts w:ascii="Book Antiqua" w:hAnsi="Book Antiqua"/>
        </w:rPr>
        <w:t>as long as</w:t>
      </w:r>
      <w:proofErr w:type="gramEnd"/>
      <w:r>
        <w:rPr>
          <w:rFonts w:ascii="Book Antiqua" w:hAnsi="Book Antiqua"/>
        </w:rPr>
        <w:t xml:space="preserve"> the EEA national remains a qualified person (in the present cont</w:t>
      </w:r>
      <w:r w:rsidR="006E012A">
        <w:rPr>
          <w:rFonts w:ascii="Book Antiqua" w:hAnsi="Book Antiqua"/>
        </w:rPr>
        <w:t xml:space="preserve">ext this means works in the </w:t>
      </w:r>
      <w:r w:rsidR="00E80FBA">
        <w:rPr>
          <w:rFonts w:ascii="Book Antiqua" w:hAnsi="Book Antiqua"/>
        </w:rPr>
        <w:t>United Kingdom</w:t>
      </w:r>
      <w:r w:rsidR="006E012A">
        <w:rPr>
          <w:rFonts w:ascii="Book Antiqua" w:hAnsi="Book Antiqua"/>
        </w:rPr>
        <w:t xml:space="preserve">) </w:t>
      </w:r>
      <w:r>
        <w:rPr>
          <w:rFonts w:ascii="Book Antiqua" w:hAnsi="Book Antiqua"/>
        </w:rPr>
        <w:t xml:space="preserve">or has become entitled to a permanent right of residence. </w:t>
      </w:r>
      <w:r w:rsidR="006E012A">
        <w:rPr>
          <w:rFonts w:ascii="Book Antiqua" w:hAnsi="Book Antiqua"/>
        </w:rPr>
        <w:t xml:space="preserve"> </w:t>
      </w:r>
      <w:r>
        <w:rPr>
          <w:rFonts w:ascii="Book Antiqua" w:hAnsi="Book Antiqua"/>
        </w:rPr>
        <w:t>There is no requirement that the family member be residing with the EEA national in the same house or household.</w:t>
      </w:r>
      <w:r w:rsidR="006E012A">
        <w:rPr>
          <w:rFonts w:ascii="Book Antiqua" w:hAnsi="Book Antiqua"/>
        </w:rPr>
        <w:t>”</w:t>
      </w:r>
    </w:p>
    <w:p w:rsidR="006E012A" w:rsidRDefault="006E012A" w:rsidP="006E012A">
      <w:pPr>
        <w:ind w:left="1134"/>
        <w:jc w:val="both"/>
        <w:rPr>
          <w:rFonts w:ascii="Book Antiqua" w:hAnsi="Book Antiqua"/>
        </w:rPr>
      </w:pPr>
    </w:p>
    <w:p w:rsidR="006E012A" w:rsidRDefault="006E012A" w:rsidP="006E012A">
      <w:pPr>
        <w:ind w:left="567"/>
        <w:jc w:val="both"/>
        <w:rPr>
          <w:rFonts w:ascii="Book Antiqua" w:hAnsi="Book Antiqua"/>
        </w:rPr>
      </w:pPr>
      <w:r>
        <w:rPr>
          <w:rFonts w:ascii="Book Antiqua" w:hAnsi="Book Antiqua"/>
        </w:rPr>
        <w:t xml:space="preserve">At paragraph </w:t>
      </w:r>
      <w:proofErr w:type="gramStart"/>
      <w:r>
        <w:rPr>
          <w:rFonts w:ascii="Book Antiqua" w:hAnsi="Book Antiqua"/>
        </w:rPr>
        <w:t>33:-</w:t>
      </w:r>
      <w:proofErr w:type="gramEnd"/>
    </w:p>
    <w:p w:rsidR="006E012A" w:rsidRDefault="006E012A" w:rsidP="006E012A">
      <w:pPr>
        <w:ind w:left="567"/>
        <w:jc w:val="both"/>
        <w:rPr>
          <w:rFonts w:ascii="Book Antiqua" w:hAnsi="Book Antiqua"/>
        </w:rPr>
      </w:pPr>
    </w:p>
    <w:p w:rsidR="006E012A" w:rsidRDefault="006E012A" w:rsidP="006E012A">
      <w:pPr>
        <w:ind w:left="1134"/>
        <w:jc w:val="both"/>
        <w:rPr>
          <w:rFonts w:ascii="Book Antiqua" w:hAnsi="Book Antiqua"/>
        </w:rPr>
      </w:pPr>
      <w:r>
        <w:rPr>
          <w:rFonts w:ascii="Book Antiqua" w:hAnsi="Book Antiqua"/>
        </w:rPr>
        <w:t xml:space="preserve">“We have no doubt that in the light of its objects and purpose Article 16(2) is intended to afford all family members (irrespective of their nationality) the right of permanent residence after five years residence in the host state where the EEA national has resided.  With this reading the Directive adds to the residence rights identified in </w:t>
      </w:r>
      <w:r w:rsidRPr="00A51CF1">
        <w:rPr>
          <w:rFonts w:ascii="Book Antiqua" w:hAnsi="Book Antiqua"/>
          <w:b/>
          <w:u w:val="single"/>
        </w:rPr>
        <w:t>Diatta</w:t>
      </w:r>
      <w:r>
        <w:rPr>
          <w:rFonts w:ascii="Book Antiqua" w:hAnsi="Book Antiqua"/>
        </w:rPr>
        <w:t xml:space="preserve"> and applicable to all family members.”</w:t>
      </w:r>
    </w:p>
    <w:p w:rsidR="006E012A" w:rsidRDefault="006E012A" w:rsidP="006E012A">
      <w:pPr>
        <w:ind w:left="1134"/>
        <w:jc w:val="both"/>
        <w:rPr>
          <w:rFonts w:ascii="Book Antiqua" w:hAnsi="Book Antiqua"/>
        </w:rPr>
      </w:pPr>
    </w:p>
    <w:p w:rsidR="006E012A" w:rsidRDefault="0048525A" w:rsidP="006E012A">
      <w:pPr>
        <w:ind w:left="567" w:hanging="567"/>
        <w:jc w:val="both"/>
        <w:rPr>
          <w:rFonts w:ascii="Book Antiqua" w:hAnsi="Book Antiqua"/>
        </w:rPr>
      </w:pPr>
      <w:r>
        <w:rPr>
          <w:rFonts w:ascii="Book Antiqua" w:hAnsi="Book Antiqua"/>
        </w:rPr>
        <w:t>15</w:t>
      </w:r>
      <w:r w:rsidR="006E012A">
        <w:rPr>
          <w:rFonts w:ascii="Book Antiqua" w:hAnsi="Book Antiqua"/>
        </w:rPr>
        <w:t>.</w:t>
      </w:r>
      <w:r w:rsidR="006E012A">
        <w:rPr>
          <w:rFonts w:ascii="Book Antiqua" w:hAnsi="Book Antiqua"/>
        </w:rPr>
        <w:tab/>
        <w:t xml:space="preserve">Reliance is also placed upon the decision of the Court of Justice </w:t>
      </w:r>
      <w:r w:rsidR="00E80FBA">
        <w:rPr>
          <w:rFonts w:ascii="Book Antiqua" w:hAnsi="Book Antiqua"/>
        </w:rPr>
        <w:t>of the</w:t>
      </w:r>
      <w:r w:rsidR="006E012A">
        <w:rPr>
          <w:rFonts w:ascii="Book Antiqua" w:hAnsi="Book Antiqua"/>
        </w:rPr>
        <w:t xml:space="preserve"> European Communities in </w:t>
      </w:r>
      <w:proofErr w:type="spellStart"/>
      <w:r w:rsidR="006E012A">
        <w:rPr>
          <w:rFonts w:ascii="Book Antiqua" w:hAnsi="Book Antiqua"/>
          <w:b/>
          <w:u w:val="single"/>
        </w:rPr>
        <w:t>Ogieriakhi</w:t>
      </w:r>
      <w:proofErr w:type="spellEnd"/>
      <w:r w:rsidR="006E012A">
        <w:rPr>
          <w:rFonts w:ascii="Book Antiqua" w:hAnsi="Book Antiqua"/>
          <w:b/>
        </w:rPr>
        <w:t xml:space="preserve"> [2014] EUECJ C-244/13 (10 July 2014)</w:t>
      </w:r>
      <w:r w:rsidR="006E012A">
        <w:rPr>
          <w:rFonts w:ascii="Book Antiqua" w:hAnsi="Book Antiqua"/>
        </w:rPr>
        <w:t>.</w:t>
      </w:r>
    </w:p>
    <w:p w:rsidR="006E012A" w:rsidRDefault="006E012A" w:rsidP="006E012A">
      <w:pPr>
        <w:ind w:left="567" w:hanging="567"/>
        <w:jc w:val="both"/>
        <w:rPr>
          <w:rFonts w:ascii="Book Antiqua" w:hAnsi="Book Antiqua"/>
        </w:rPr>
      </w:pPr>
    </w:p>
    <w:p w:rsidR="006E012A" w:rsidRDefault="0048525A" w:rsidP="006E012A">
      <w:pPr>
        <w:ind w:left="567" w:hanging="567"/>
        <w:jc w:val="both"/>
        <w:rPr>
          <w:rFonts w:ascii="Book Antiqua" w:hAnsi="Book Antiqua"/>
        </w:rPr>
      </w:pPr>
      <w:r>
        <w:rPr>
          <w:rFonts w:ascii="Book Antiqua" w:hAnsi="Book Antiqua"/>
        </w:rPr>
        <w:t>16</w:t>
      </w:r>
      <w:r w:rsidR="006E012A">
        <w:rPr>
          <w:rFonts w:ascii="Book Antiqua" w:hAnsi="Book Antiqua"/>
        </w:rPr>
        <w:t>.</w:t>
      </w:r>
      <w:r w:rsidR="006E012A">
        <w:rPr>
          <w:rFonts w:ascii="Book Antiqua" w:hAnsi="Book Antiqua"/>
        </w:rPr>
        <w:tab/>
        <w:t>That, again, was essentially a marriage case.</w:t>
      </w:r>
    </w:p>
    <w:p w:rsidR="006E012A" w:rsidRDefault="006E012A" w:rsidP="006E012A">
      <w:pPr>
        <w:ind w:left="567" w:hanging="567"/>
        <w:jc w:val="both"/>
        <w:rPr>
          <w:rFonts w:ascii="Book Antiqua" w:hAnsi="Book Antiqua"/>
        </w:rPr>
      </w:pPr>
    </w:p>
    <w:p w:rsidR="00E80FBA" w:rsidRDefault="0048525A" w:rsidP="006E012A">
      <w:pPr>
        <w:ind w:left="567" w:hanging="567"/>
        <w:jc w:val="both"/>
        <w:rPr>
          <w:rFonts w:ascii="Book Antiqua" w:hAnsi="Book Antiqua"/>
        </w:rPr>
      </w:pPr>
      <w:r>
        <w:rPr>
          <w:rFonts w:ascii="Book Antiqua" w:hAnsi="Book Antiqua"/>
        </w:rPr>
        <w:t>17</w:t>
      </w:r>
      <w:r w:rsidR="00C2402E">
        <w:rPr>
          <w:rFonts w:ascii="Book Antiqua" w:hAnsi="Book Antiqua"/>
        </w:rPr>
        <w:t>.</w:t>
      </w:r>
      <w:r w:rsidR="00C2402E">
        <w:rPr>
          <w:rFonts w:ascii="Book Antiqua" w:hAnsi="Book Antiqua"/>
        </w:rPr>
        <w:tab/>
        <w:t>The appellant in that case</w:t>
      </w:r>
      <w:r w:rsidR="006E012A">
        <w:rPr>
          <w:rFonts w:ascii="Book Antiqua" w:hAnsi="Book Antiqua"/>
        </w:rPr>
        <w:t xml:space="preserve"> was a Nigerian national married to a French national living in Ireland.  He obtained a residence permit for the period 1999 to 2000.  At the end of that period he applied for renewal of the residence permit which was granted until 2004.  </w:t>
      </w:r>
      <w:r w:rsidR="00E80FBA">
        <w:rPr>
          <w:rFonts w:ascii="Book Antiqua" w:hAnsi="Book Antiqua"/>
        </w:rPr>
        <w:t>In 2004</w:t>
      </w:r>
      <w:r w:rsidR="006E012A">
        <w:rPr>
          <w:rFonts w:ascii="Book Antiqua" w:hAnsi="Book Antiqua"/>
        </w:rPr>
        <w:t xml:space="preserve"> he applied for renewal of his residence permit which was refused because he was unable to show that his wife had been exercising her treaty rights.  </w:t>
      </w:r>
    </w:p>
    <w:p w:rsidR="00E80FBA" w:rsidRDefault="00E80FBA" w:rsidP="006E012A">
      <w:pPr>
        <w:ind w:left="567" w:hanging="567"/>
        <w:jc w:val="both"/>
        <w:rPr>
          <w:rFonts w:ascii="Book Antiqua" w:hAnsi="Book Antiqua"/>
        </w:rPr>
      </w:pPr>
    </w:p>
    <w:p w:rsidR="006E012A" w:rsidRDefault="00E80FBA" w:rsidP="006E012A">
      <w:pPr>
        <w:ind w:left="567" w:hanging="567"/>
        <w:jc w:val="both"/>
        <w:rPr>
          <w:rFonts w:ascii="Book Antiqua" w:hAnsi="Book Antiqua"/>
        </w:rPr>
      </w:pPr>
      <w:r>
        <w:rPr>
          <w:rFonts w:ascii="Book Antiqua" w:hAnsi="Book Antiqua"/>
        </w:rPr>
        <w:t>18.</w:t>
      </w:r>
      <w:r>
        <w:rPr>
          <w:rFonts w:ascii="Book Antiqua" w:hAnsi="Book Antiqua"/>
        </w:rPr>
        <w:tab/>
        <w:t xml:space="preserve">Reliance </w:t>
      </w:r>
      <w:r w:rsidR="006E012A">
        <w:rPr>
          <w:rFonts w:ascii="Book Antiqua" w:hAnsi="Book Antiqua"/>
        </w:rPr>
        <w:t xml:space="preserve">is placed upon paragraph 34 of that determination which provides as </w:t>
      </w:r>
      <w:proofErr w:type="gramStart"/>
      <w:r w:rsidR="006E012A">
        <w:rPr>
          <w:rFonts w:ascii="Book Antiqua" w:hAnsi="Book Antiqua"/>
        </w:rPr>
        <w:t>follows:-</w:t>
      </w:r>
      <w:proofErr w:type="gramEnd"/>
    </w:p>
    <w:p w:rsidR="006E012A" w:rsidRDefault="006E012A" w:rsidP="006E012A">
      <w:pPr>
        <w:ind w:left="567" w:hanging="567"/>
        <w:jc w:val="both"/>
        <w:rPr>
          <w:rFonts w:ascii="Book Antiqua" w:hAnsi="Book Antiqua"/>
        </w:rPr>
      </w:pPr>
    </w:p>
    <w:p w:rsidR="006E012A" w:rsidRDefault="006E012A" w:rsidP="00A51CF1">
      <w:pPr>
        <w:ind w:left="1134" w:hanging="1134"/>
        <w:jc w:val="both"/>
        <w:rPr>
          <w:rFonts w:ascii="Book Antiqua" w:hAnsi="Book Antiqua"/>
        </w:rPr>
      </w:pPr>
      <w:r>
        <w:rPr>
          <w:rFonts w:ascii="Book Antiqua" w:hAnsi="Book Antiqua"/>
        </w:rPr>
        <w:tab/>
      </w:r>
      <w:r w:rsidR="00A51CF1">
        <w:rPr>
          <w:rFonts w:ascii="Book Antiqua" w:hAnsi="Book Antiqua"/>
        </w:rPr>
        <w:t>“</w:t>
      </w:r>
      <w:r w:rsidR="00323235" w:rsidRPr="00A51CF1">
        <w:rPr>
          <w:rFonts w:ascii="Book Antiqua" w:hAnsi="Book Antiqua"/>
        </w:rPr>
        <w:t>In that regard it must be not</w:t>
      </w:r>
      <w:r w:rsidR="00A51CF1">
        <w:rPr>
          <w:rFonts w:ascii="Book Antiqua" w:hAnsi="Book Antiqua"/>
        </w:rPr>
        <w:t xml:space="preserve">ed that, in considering Article </w:t>
      </w:r>
      <w:r w:rsidR="00323235" w:rsidRPr="00A51CF1">
        <w:rPr>
          <w:rFonts w:ascii="Book Antiqua" w:hAnsi="Book Antiqua"/>
        </w:rPr>
        <w:t xml:space="preserve">16(2) of Directive 2004/38, the Court has held that the acquisition of a right of permanent residence by family members of a Union citizen who are not nationals of a Member State is </w:t>
      </w:r>
      <w:r w:rsidR="00323235" w:rsidRPr="00A51CF1">
        <w:rPr>
          <w:rFonts w:ascii="Book Antiqua" w:hAnsi="Book Antiqua"/>
        </w:rPr>
        <w:lastRenderedPageBreak/>
        <w:t>dependent, in any event, on the fact that, first, the Union citizen himself satisfies the con</w:t>
      </w:r>
      <w:r w:rsidR="00A51CF1">
        <w:rPr>
          <w:rFonts w:ascii="Book Antiqua" w:hAnsi="Book Antiqua"/>
        </w:rPr>
        <w:t xml:space="preserve">ditions laid down in Article </w:t>
      </w:r>
      <w:r w:rsidR="00323235" w:rsidRPr="00A51CF1">
        <w:rPr>
          <w:rFonts w:ascii="Book Antiqua" w:hAnsi="Book Antiqua"/>
        </w:rPr>
        <w:t>16(1) of that directive and, secondly, those family members have resided with him for the period in question (</w:t>
      </w:r>
      <w:proofErr w:type="spellStart"/>
      <w:r w:rsidR="00323235" w:rsidRPr="00A51CF1">
        <w:rPr>
          <w:rFonts w:ascii="Book Antiqua" w:hAnsi="Book Antiqua"/>
          <w:b/>
          <w:iCs/>
          <w:u w:val="single"/>
        </w:rPr>
        <w:t>Alarape</w:t>
      </w:r>
      <w:proofErr w:type="spellEnd"/>
      <w:r w:rsidR="00323235" w:rsidRPr="00A51CF1">
        <w:rPr>
          <w:rFonts w:ascii="Book Antiqua" w:hAnsi="Book Antiqua"/>
          <w:b/>
          <w:iCs/>
          <w:u w:val="single"/>
        </w:rPr>
        <w:t xml:space="preserve"> and Tijani</w:t>
      </w:r>
      <w:r w:rsidR="00A51CF1">
        <w:rPr>
          <w:rFonts w:ascii="Book Antiqua" w:hAnsi="Book Antiqua"/>
          <w:b/>
        </w:rPr>
        <w:t xml:space="preserve"> </w:t>
      </w:r>
      <w:r w:rsidR="00A51CF1" w:rsidRPr="00A51CF1">
        <w:rPr>
          <w:rFonts w:ascii="Book Antiqua" w:hAnsi="Book Antiqua"/>
          <w:b/>
        </w:rPr>
        <w:t>EU:C:2013:290</w:t>
      </w:r>
      <w:r w:rsidR="00323235" w:rsidRPr="00A51CF1">
        <w:rPr>
          <w:rFonts w:ascii="Book Antiqua" w:hAnsi="Book Antiqua"/>
        </w:rPr>
        <w:t>).</w:t>
      </w:r>
    </w:p>
    <w:p w:rsidR="00A51CF1" w:rsidRDefault="00A51CF1" w:rsidP="00A51CF1">
      <w:pPr>
        <w:ind w:left="1134" w:hanging="1134"/>
        <w:jc w:val="both"/>
        <w:rPr>
          <w:rFonts w:ascii="Book Antiqua" w:hAnsi="Book Antiqua"/>
        </w:rPr>
      </w:pPr>
    </w:p>
    <w:p w:rsidR="00A51CF1" w:rsidRDefault="0048525A" w:rsidP="00A51CF1">
      <w:pPr>
        <w:tabs>
          <w:tab w:val="left" w:pos="567"/>
        </w:tabs>
        <w:ind w:left="567" w:hanging="567"/>
        <w:jc w:val="both"/>
        <w:rPr>
          <w:rFonts w:ascii="Book Antiqua" w:hAnsi="Book Antiqua"/>
        </w:rPr>
      </w:pPr>
      <w:r>
        <w:rPr>
          <w:rFonts w:ascii="Book Antiqua" w:hAnsi="Book Antiqua"/>
        </w:rPr>
        <w:t>1</w:t>
      </w:r>
      <w:r w:rsidR="00E80FBA">
        <w:rPr>
          <w:rFonts w:ascii="Book Antiqua" w:hAnsi="Book Antiqua"/>
        </w:rPr>
        <w:t>9</w:t>
      </w:r>
      <w:r w:rsidR="00A51CF1">
        <w:rPr>
          <w:rFonts w:ascii="Book Antiqua" w:hAnsi="Book Antiqua"/>
        </w:rPr>
        <w:t>.</w:t>
      </w:r>
      <w:r w:rsidR="00A51CF1">
        <w:rPr>
          <w:rFonts w:ascii="Book Antiqua" w:hAnsi="Book Antiqua"/>
        </w:rPr>
        <w:tab/>
      </w:r>
      <w:proofErr w:type="gramStart"/>
      <w:r w:rsidR="00A51CF1">
        <w:rPr>
          <w:rFonts w:ascii="Book Antiqua" w:hAnsi="Book Antiqua"/>
        </w:rPr>
        <w:t>Accordingl</w:t>
      </w:r>
      <w:r w:rsidR="00C2402E">
        <w:rPr>
          <w:rFonts w:ascii="Book Antiqua" w:hAnsi="Book Antiqua"/>
        </w:rPr>
        <w:t>y</w:t>
      </w:r>
      <w:proofErr w:type="gramEnd"/>
      <w:r w:rsidR="00C2402E">
        <w:rPr>
          <w:rFonts w:ascii="Book Antiqua" w:hAnsi="Book Antiqua"/>
        </w:rPr>
        <w:t xml:space="preserve"> at paragraph 38 the court noted</w:t>
      </w:r>
      <w:r w:rsidR="00A51CF1">
        <w:rPr>
          <w:rFonts w:ascii="Book Antiqua" w:hAnsi="Book Antiqua"/>
        </w:rPr>
        <w:t xml:space="preserve"> that </w:t>
      </w:r>
      <w:r w:rsidR="00E80FBA">
        <w:rPr>
          <w:rFonts w:ascii="Book Antiqua" w:hAnsi="Book Antiqua"/>
        </w:rPr>
        <w:t xml:space="preserve">between </w:t>
      </w:r>
      <w:r w:rsidR="00A51CF1">
        <w:rPr>
          <w:rFonts w:ascii="Book Antiqua" w:hAnsi="Book Antiqua"/>
        </w:rPr>
        <w:t xml:space="preserve">the period the spouses had ceased to live together </w:t>
      </w:r>
      <w:r w:rsidR="00E80FBA">
        <w:rPr>
          <w:rFonts w:ascii="Book Antiqua" w:hAnsi="Book Antiqua"/>
        </w:rPr>
        <w:t>and</w:t>
      </w:r>
      <w:r w:rsidR="00A51CF1">
        <w:rPr>
          <w:rFonts w:ascii="Book Antiqua" w:hAnsi="Book Antiqua"/>
        </w:rPr>
        <w:t xml:space="preserve"> were living with other people</w:t>
      </w:r>
      <w:r w:rsidR="00C2402E">
        <w:rPr>
          <w:rFonts w:ascii="Book Antiqua" w:hAnsi="Book Antiqua"/>
        </w:rPr>
        <w:t>, but held that such</w:t>
      </w:r>
      <w:bookmarkStart w:id="0" w:name="_GoBack"/>
      <w:bookmarkEnd w:id="0"/>
      <w:r w:rsidR="00A51CF1">
        <w:rPr>
          <w:rFonts w:ascii="Book Antiqua" w:hAnsi="Book Antiqua"/>
        </w:rPr>
        <w:t xml:space="preserve"> was irrelevant for the purposes of the acquisition of a right of permanent residence.</w:t>
      </w:r>
    </w:p>
    <w:p w:rsidR="00A51CF1" w:rsidRDefault="00A51CF1" w:rsidP="00A51CF1">
      <w:pPr>
        <w:tabs>
          <w:tab w:val="left" w:pos="567"/>
        </w:tabs>
        <w:ind w:left="567" w:hanging="567"/>
        <w:jc w:val="both"/>
        <w:rPr>
          <w:rFonts w:ascii="Book Antiqua" w:hAnsi="Book Antiqua"/>
        </w:rPr>
      </w:pPr>
    </w:p>
    <w:p w:rsidR="00A51CF1" w:rsidRDefault="00E80FBA" w:rsidP="00A51CF1">
      <w:pPr>
        <w:tabs>
          <w:tab w:val="left" w:pos="567"/>
        </w:tabs>
        <w:ind w:left="567" w:hanging="567"/>
        <w:jc w:val="both"/>
        <w:rPr>
          <w:rFonts w:ascii="Book Antiqua" w:hAnsi="Book Antiqua"/>
        </w:rPr>
      </w:pPr>
      <w:r>
        <w:rPr>
          <w:rFonts w:ascii="Book Antiqua" w:hAnsi="Book Antiqua"/>
        </w:rPr>
        <w:t>20</w:t>
      </w:r>
      <w:r w:rsidR="00C2402E">
        <w:rPr>
          <w:rFonts w:ascii="Book Antiqua" w:hAnsi="Book Antiqua"/>
        </w:rPr>
        <w:t>.</w:t>
      </w:r>
      <w:r w:rsidR="00C2402E">
        <w:rPr>
          <w:rFonts w:ascii="Book Antiqua" w:hAnsi="Book Antiqua"/>
        </w:rPr>
        <w:tab/>
        <w:t>I do not find this to be</w:t>
      </w:r>
      <w:r w:rsidR="00A51CF1">
        <w:rPr>
          <w:rFonts w:ascii="Book Antiqua" w:hAnsi="Book Antiqua"/>
        </w:rPr>
        <w:t xml:space="preserve"> a relevant authority for the purposes of the consideration now undertaken.</w:t>
      </w:r>
    </w:p>
    <w:p w:rsidR="00A51CF1" w:rsidRDefault="00A51CF1" w:rsidP="00A51CF1">
      <w:pPr>
        <w:tabs>
          <w:tab w:val="left" w:pos="567"/>
        </w:tabs>
        <w:ind w:left="567" w:hanging="567"/>
        <w:jc w:val="both"/>
        <w:rPr>
          <w:rFonts w:ascii="Book Antiqua" w:hAnsi="Book Antiqua"/>
        </w:rPr>
      </w:pPr>
    </w:p>
    <w:p w:rsidR="00A51CF1" w:rsidRDefault="00E80FBA" w:rsidP="00A51CF1">
      <w:pPr>
        <w:tabs>
          <w:tab w:val="left" w:pos="567"/>
        </w:tabs>
        <w:ind w:left="567" w:hanging="567"/>
        <w:jc w:val="both"/>
        <w:rPr>
          <w:rFonts w:ascii="Book Antiqua" w:hAnsi="Book Antiqua"/>
        </w:rPr>
      </w:pPr>
      <w:r>
        <w:rPr>
          <w:rFonts w:ascii="Book Antiqua" w:hAnsi="Book Antiqua"/>
        </w:rPr>
        <w:t>21</w:t>
      </w:r>
      <w:r w:rsidR="00A51CF1">
        <w:rPr>
          <w:rFonts w:ascii="Book Antiqua" w:hAnsi="Book Antiqua"/>
        </w:rPr>
        <w:t>.</w:t>
      </w:r>
      <w:r w:rsidR="00A51CF1">
        <w:rPr>
          <w:rFonts w:ascii="Book Antiqua" w:hAnsi="Book Antiqua"/>
        </w:rPr>
        <w:tab/>
        <w:t xml:space="preserve">In any event, whether </w:t>
      </w:r>
      <w:r w:rsidR="00C2402E">
        <w:rPr>
          <w:rFonts w:ascii="Book Antiqua" w:hAnsi="Book Antiqua"/>
        </w:rPr>
        <w:t>or not those decisions support the propositions</w:t>
      </w:r>
      <w:r w:rsidR="00F12DD8">
        <w:rPr>
          <w:rFonts w:ascii="Book Antiqua" w:hAnsi="Book Antiqua"/>
        </w:rPr>
        <w:t xml:space="preserve"> w</w:t>
      </w:r>
      <w:r w:rsidR="00C2402E">
        <w:rPr>
          <w:rFonts w:ascii="Book Antiqua" w:hAnsi="Book Antiqua"/>
        </w:rPr>
        <w:t>hich are</w:t>
      </w:r>
      <w:r w:rsidR="00A51CF1">
        <w:rPr>
          <w:rFonts w:ascii="Book Antiqua" w:hAnsi="Book Antiqua"/>
        </w:rPr>
        <w:t xml:space="preserve"> relied </w:t>
      </w:r>
      <w:proofErr w:type="spellStart"/>
      <w:proofErr w:type="gramStart"/>
      <w:r w:rsidR="00A51CF1">
        <w:rPr>
          <w:rFonts w:ascii="Book Antiqua" w:hAnsi="Book Antiqua"/>
        </w:rPr>
        <w:t>upo</w:t>
      </w:r>
      <w:r w:rsidR="00C2402E">
        <w:rPr>
          <w:rFonts w:ascii="Book Antiqua" w:hAnsi="Book Antiqua"/>
        </w:rPr>
        <w:t>,</w:t>
      </w:r>
      <w:r w:rsidR="00A51CF1">
        <w:rPr>
          <w:rFonts w:ascii="Book Antiqua" w:hAnsi="Book Antiqua"/>
        </w:rPr>
        <w:t>n</w:t>
      </w:r>
      <w:proofErr w:type="spellEnd"/>
      <w:proofErr w:type="gramEnd"/>
      <w:r w:rsidR="00A51CF1">
        <w:rPr>
          <w:rFonts w:ascii="Book Antiqua" w:hAnsi="Book Antiqua"/>
        </w:rPr>
        <w:t xml:space="preserve"> it is unnecessary to rely upon those decisions in the practical circumstances of this case.</w:t>
      </w:r>
    </w:p>
    <w:p w:rsidR="00A51CF1" w:rsidRDefault="00A51CF1" w:rsidP="00A51CF1">
      <w:pPr>
        <w:tabs>
          <w:tab w:val="left" w:pos="567"/>
        </w:tabs>
        <w:ind w:left="567" w:hanging="567"/>
        <w:jc w:val="both"/>
        <w:rPr>
          <w:rFonts w:ascii="Book Antiqua" w:hAnsi="Book Antiqua"/>
        </w:rPr>
      </w:pPr>
    </w:p>
    <w:p w:rsidR="00A51CF1" w:rsidRDefault="00E80FBA" w:rsidP="00A51CF1">
      <w:pPr>
        <w:tabs>
          <w:tab w:val="left" w:pos="567"/>
        </w:tabs>
        <w:ind w:left="567" w:hanging="567"/>
        <w:jc w:val="both"/>
        <w:rPr>
          <w:rFonts w:ascii="Book Antiqua" w:hAnsi="Book Antiqua"/>
        </w:rPr>
      </w:pPr>
      <w:r>
        <w:rPr>
          <w:rFonts w:ascii="Book Antiqua" w:hAnsi="Book Antiqua"/>
        </w:rPr>
        <w:t>22</w:t>
      </w:r>
      <w:r w:rsidR="00A51CF1">
        <w:rPr>
          <w:rFonts w:ascii="Book Antiqua" w:hAnsi="Book Antiqua"/>
        </w:rPr>
        <w:t>.</w:t>
      </w:r>
      <w:r w:rsidR="00A51CF1">
        <w:rPr>
          <w:rFonts w:ascii="Book Antiqua" w:hAnsi="Book Antiqua"/>
        </w:rPr>
        <w:tab/>
        <w:t xml:space="preserve">As was conceded most properly by Mr </w:t>
      </w:r>
      <w:proofErr w:type="spellStart"/>
      <w:r w:rsidR="00A51CF1">
        <w:rPr>
          <w:rFonts w:ascii="Book Antiqua" w:hAnsi="Book Antiqua"/>
        </w:rPr>
        <w:t>Tufan</w:t>
      </w:r>
      <w:proofErr w:type="spellEnd"/>
      <w:r w:rsidR="00C2402E">
        <w:rPr>
          <w:rFonts w:ascii="Book Antiqua" w:hAnsi="Book Antiqua"/>
        </w:rPr>
        <w:t xml:space="preserve"> that</w:t>
      </w:r>
      <w:r w:rsidR="00A51CF1">
        <w:rPr>
          <w:rFonts w:ascii="Book Antiqua" w:hAnsi="Book Antiqua"/>
        </w:rPr>
        <w:t xml:space="preserve"> the decision under challenge omitted to </w:t>
      </w:r>
      <w:proofErr w:type="gramStart"/>
      <w:r w:rsidR="00A51CF1">
        <w:rPr>
          <w:rFonts w:ascii="Book Antiqua" w:hAnsi="Book Antiqua"/>
        </w:rPr>
        <w:t>make reference</w:t>
      </w:r>
      <w:proofErr w:type="gramEnd"/>
      <w:r w:rsidR="00A51CF1">
        <w:rPr>
          <w:rFonts w:ascii="Book Antiqua" w:hAnsi="Book Antiqua"/>
        </w:rPr>
        <w:t xml:space="preserve"> to the proper and detailed immigration history of the appellant.</w:t>
      </w:r>
    </w:p>
    <w:p w:rsidR="00A51CF1" w:rsidRDefault="00A51CF1" w:rsidP="00A51CF1">
      <w:pPr>
        <w:tabs>
          <w:tab w:val="left" w:pos="567"/>
        </w:tabs>
        <w:ind w:left="567" w:hanging="567"/>
        <w:jc w:val="both"/>
        <w:rPr>
          <w:rFonts w:ascii="Book Antiqua" w:hAnsi="Book Antiqua"/>
        </w:rPr>
      </w:pPr>
    </w:p>
    <w:p w:rsidR="00A51CF1" w:rsidRDefault="00E80FBA" w:rsidP="00A51CF1">
      <w:pPr>
        <w:tabs>
          <w:tab w:val="left" w:pos="567"/>
        </w:tabs>
        <w:ind w:left="567" w:hanging="567"/>
        <w:jc w:val="both"/>
        <w:rPr>
          <w:rFonts w:ascii="Book Antiqua" w:hAnsi="Book Antiqua"/>
        </w:rPr>
      </w:pPr>
      <w:r>
        <w:rPr>
          <w:rFonts w:ascii="Book Antiqua" w:hAnsi="Book Antiqua"/>
        </w:rPr>
        <w:t>23</w:t>
      </w:r>
      <w:r w:rsidR="00A51CF1">
        <w:rPr>
          <w:rFonts w:ascii="Book Antiqua" w:hAnsi="Book Antiqua"/>
        </w:rPr>
        <w:t>.</w:t>
      </w:r>
      <w:r w:rsidR="00A51CF1">
        <w:rPr>
          <w:rFonts w:ascii="Book Antiqua" w:hAnsi="Book Antiqua"/>
        </w:rPr>
        <w:tab/>
        <w:t>She claimed a residence card as a family member of her father in 2003 and the residence card was granted to her on 23</w:t>
      </w:r>
      <w:r w:rsidR="00A51CF1" w:rsidRPr="00A51CF1">
        <w:rPr>
          <w:rFonts w:ascii="Book Antiqua" w:hAnsi="Book Antiqua"/>
          <w:vertAlign w:val="superscript"/>
        </w:rPr>
        <w:t>rd</w:t>
      </w:r>
      <w:r w:rsidR="00A51CF1">
        <w:rPr>
          <w:rFonts w:ascii="Book Antiqua" w:hAnsi="Book Antiqua"/>
        </w:rPr>
        <w:t xml:space="preserve"> January 2004 for a period of three years to 2007.  At the time that she made that application and indeed at the time of the grant she was both under 21 and a dependant of her father.</w:t>
      </w:r>
      <w:r w:rsidR="00804EC0">
        <w:rPr>
          <w:rFonts w:ascii="Book Antiqua" w:hAnsi="Book Antiqua"/>
        </w:rPr>
        <w:t xml:space="preserve">  In 2007 she sought to renew her residence card also </w:t>
      </w:r>
      <w:proofErr w:type="gramStart"/>
      <w:r w:rsidR="00804EC0">
        <w:rPr>
          <w:rFonts w:ascii="Book Antiqua" w:hAnsi="Book Antiqua"/>
        </w:rPr>
        <w:t>on the basis of</w:t>
      </w:r>
      <w:proofErr w:type="gramEnd"/>
      <w:r w:rsidR="00804EC0">
        <w:rPr>
          <w:rFonts w:ascii="Book Antiqua" w:hAnsi="Book Antiqua"/>
        </w:rPr>
        <w:t xml:space="preserve"> being a family member and a dependant of her father, but for some reason that was not dealt with and considered until 2010 when she was indeed granted a five years residence card.</w:t>
      </w:r>
    </w:p>
    <w:p w:rsidR="00804EC0" w:rsidRDefault="00804EC0" w:rsidP="00A51CF1">
      <w:pPr>
        <w:tabs>
          <w:tab w:val="left" w:pos="567"/>
        </w:tabs>
        <w:ind w:left="567" w:hanging="567"/>
        <w:jc w:val="both"/>
        <w:rPr>
          <w:rFonts w:ascii="Book Antiqua" w:hAnsi="Book Antiqua"/>
        </w:rPr>
      </w:pPr>
    </w:p>
    <w:p w:rsidR="00804EC0" w:rsidRDefault="00E80FBA" w:rsidP="00A51CF1">
      <w:pPr>
        <w:tabs>
          <w:tab w:val="left" w:pos="567"/>
        </w:tabs>
        <w:ind w:left="567" w:hanging="567"/>
        <w:jc w:val="both"/>
        <w:rPr>
          <w:rFonts w:ascii="Book Antiqua" w:hAnsi="Book Antiqua"/>
        </w:rPr>
      </w:pPr>
      <w:r>
        <w:rPr>
          <w:rFonts w:ascii="Book Antiqua" w:hAnsi="Book Antiqua"/>
        </w:rPr>
        <w:t>24</w:t>
      </w:r>
      <w:r w:rsidR="00804EC0">
        <w:rPr>
          <w:rFonts w:ascii="Book Antiqua" w:hAnsi="Book Antiqua"/>
        </w:rPr>
        <w:t>.</w:t>
      </w:r>
      <w:r w:rsidR="00804EC0">
        <w:rPr>
          <w:rFonts w:ascii="Book Antiqua" w:hAnsi="Book Antiqua"/>
        </w:rPr>
        <w:tab/>
        <w:t>Essentially, from 2004 to 2012 she had been living at home and studying at school and from 2008 to 2009 she was at university studying in Westminster.   Although during the term time she was living apart from her family and earning some money for her studies essentially it was conceded that she remained in practical terms a dependant of her father as a student.   As it was it was only after 2017 that she began to be independent and now works as a financial accountant.  She lives in the same area as her parents but not with them.  She is no longer dependent upon them.</w:t>
      </w:r>
    </w:p>
    <w:p w:rsidR="00804EC0" w:rsidRDefault="00804EC0" w:rsidP="00A51CF1">
      <w:pPr>
        <w:tabs>
          <w:tab w:val="left" w:pos="567"/>
        </w:tabs>
        <w:ind w:left="567" w:hanging="567"/>
        <w:jc w:val="both"/>
        <w:rPr>
          <w:rFonts w:ascii="Book Antiqua" w:hAnsi="Book Antiqua"/>
        </w:rPr>
      </w:pPr>
    </w:p>
    <w:p w:rsidR="00804EC0" w:rsidRDefault="00E80FBA" w:rsidP="00A51CF1">
      <w:pPr>
        <w:tabs>
          <w:tab w:val="left" w:pos="567"/>
        </w:tabs>
        <w:ind w:left="567" w:hanging="567"/>
        <w:jc w:val="both"/>
        <w:rPr>
          <w:rFonts w:ascii="Book Antiqua" w:hAnsi="Book Antiqua"/>
        </w:rPr>
      </w:pPr>
      <w:r>
        <w:rPr>
          <w:rFonts w:ascii="Book Antiqua" w:hAnsi="Book Antiqua"/>
        </w:rPr>
        <w:t>25</w:t>
      </w:r>
      <w:r w:rsidR="00804EC0">
        <w:rPr>
          <w:rFonts w:ascii="Book Antiqua" w:hAnsi="Book Antiqua"/>
        </w:rPr>
        <w:t>.</w:t>
      </w:r>
      <w:r w:rsidR="00804EC0">
        <w:rPr>
          <w:rFonts w:ascii="Book Antiqua" w:hAnsi="Book Antiqua"/>
        </w:rPr>
        <w:tab/>
      </w:r>
      <w:r w:rsidR="00F12DD8">
        <w:rPr>
          <w:rFonts w:ascii="Book Antiqua" w:hAnsi="Book Antiqua"/>
        </w:rPr>
        <w:t xml:space="preserve">As </w:t>
      </w:r>
      <w:r w:rsidR="00804EC0">
        <w:rPr>
          <w:rFonts w:ascii="Book Antiqua" w:hAnsi="Book Antiqua"/>
        </w:rPr>
        <w:t xml:space="preserve">Mr </w:t>
      </w:r>
      <w:proofErr w:type="spellStart"/>
      <w:r w:rsidR="00804EC0">
        <w:rPr>
          <w:rFonts w:ascii="Book Antiqua" w:hAnsi="Book Antiqua"/>
        </w:rPr>
        <w:t>Tufan</w:t>
      </w:r>
      <w:proofErr w:type="spellEnd"/>
      <w:r w:rsidR="00804EC0">
        <w:rPr>
          <w:rFonts w:ascii="Book Antiqua" w:hAnsi="Book Antiqua"/>
        </w:rPr>
        <w:t xml:space="preserve"> readily agreed</w:t>
      </w:r>
      <w:r w:rsidR="00C2402E">
        <w:rPr>
          <w:rFonts w:ascii="Book Antiqua" w:hAnsi="Book Antiqua"/>
        </w:rPr>
        <w:t>,</w:t>
      </w:r>
      <w:r w:rsidR="00804EC0">
        <w:rPr>
          <w:rFonts w:ascii="Book Antiqua" w:hAnsi="Book Antiqua"/>
        </w:rPr>
        <w:t xml:space="preserve"> however</w:t>
      </w:r>
      <w:r w:rsidR="00C2402E">
        <w:rPr>
          <w:rFonts w:ascii="Book Antiqua" w:hAnsi="Book Antiqua"/>
        </w:rPr>
        <w:t>,</w:t>
      </w:r>
      <w:r w:rsidR="00804EC0">
        <w:rPr>
          <w:rFonts w:ascii="Book Antiqua" w:hAnsi="Book Antiqua"/>
        </w:rPr>
        <w:t xml:space="preserve"> it is ap</w:t>
      </w:r>
      <w:r w:rsidR="00C2402E">
        <w:rPr>
          <w:rFonts w:ascii="Book Antiqua" w:hAnsi="Book Antiqua"/>
        </w:rPr>
        <w:t>parent that from 2004 until 2015</w:t>
      </w:r>
      <w:r w:rsidR="00804EC0">
        <w:rPr>
          <w:rFonts w:ascii="Book Antiqua" w:hAnsi="Book Antiqua"/>
        </w:rPr>
        <w:t xml:space="preserve"> she </w:t>
      </w:r>
      <w:r w:rsidR="00BC6811">
        <w:rPr>
          <w:rFonts w:ascii="Book Antiqua" w:hAnsi="Book Antiqua"/>
        </w:rPr>
        <w:t>resided with</w:t>
      </w:r>
      <w:r w:rsidR="00804EC0">
        <w:rPr>
          <w:rFonts w:ascii="Book Antiqua" w:hAnsi="Book Antiqua"/>
        </w:rPr>
        <w:t xml:space="preserve"> a residence card </w:t>
      </w:r>
      <w:r w:rsidR="00BC6811">
        <w:rPr>
          <w:rFonts w:ascii="Book Antiqua" w:hAnsi="Book Antiqua"/>
        </w:rPr>
        <w:t>and</w:t>
      </w:r>
      <w:r w:rsidR="00804EC0">
        <w:rPr>
          <w:rFonts w:ascii="Book Antiqua" w:hAnsi="Book Antiqua"/>
        </w:rPr>
        <w:t xml:space="preserve"> in conformity with the appropriate Regulations.  Her father continues to reside in the United Kingdom.</w:t>
      </w:r>
    </w:p>
    <w:p w:rsidR="00804EC0" w:rsidRDefault="00804EC0" w:rsidP="00A51CF1">
      <w:pPr>
        <w:tabs>
          <w:tab w:val="left" w:pos="567"/>
        </w:tabs>
        <w:ind w:left="567" w:hanging="567"/>
        <w:jc w:val="both"/>
        <w:rPr>
          <w:rFonts w:ascii="Book Antiqua" w:hAnsi="Book Antiqua"/>
        </w:rPr>
      </w:pPr>
    </w:p>
    <w:p w:rsidR="00804EC0" w:rsidRDefault="00E80FBA" w:rsidP="00A51CF1">
      <w:pPr>
        <w:tabs>
          <w:tab w:val="left" w:pos="567"/>
        </w:tabs>
        <w:ind w:left="567" w:hanging="567"/>
        <w:jc w:val="both"/>
        <w:rPr>
          <w:rFonts w:ascii="Book Antiqua" w:hAnsi="Book Antiqua"/>
        </w:rPr>
      </w:pPr>
      <w:r>
        <w:rPr>
          <w:rFonts w:ascii="Book Antiqua" w:hAnsi="Book Antiqua"/>
        </w:rPr>
        <w:t>26</w:t>
      </w:r>
      <w:r w:rsidR="00804EC0">
        <w:rPr>
          <w:rFonts w:ascii="Book Antiqua" w:hAnsi="Book Antiqua"/>
        </w:rPr>
        <w:t>.</w:t>
      </w:r>
      <w:r w:rsidR="00804EC0">
        <w:rPr>
          <w:rFonts w:ascii="Book Antiqua" w:hAnsi="Book Antiqua"/>
        </w:rPr>
        <w:tab/>
        <w:t>The decision only considered her position as dependent since 2010 and not since 2004.</w:t>
      </w:r>
    </w:p>
    <w:p w:rsidR="00804EC0" w:rsidRDefault="00804EC0" w:rsidP="00A51CF1">
      <w:pPr>
        <w:tabs>
          <w:tab w:val="left" w:pos="567"/>
        </w:tabs>
        <w:ind w:left="567" w:hanging="567"/>
        <w:jc w:val="both"/>
        <w:rPr>
          <w:rFonts w:ascii="Book Antiqua" w:hAnsi="Book Antiqua"/>
        </w:rPr>
      </w:pPr>
    </w:p>
    <w:p w:rsidR="00804EC0" w:rsidRDefault="00E80FBA" w:rsidP="00A51CF1">
      <w:pPr>
        <w:tabs>
          <w:tab w:val="left" w:pos="567"/>
        </w:tabs>
        <w:ind w:left="567" w:hanging="567"/>
        <w:jc w:val="both"/>
        <w:rPr>
          <w:rFonts w:ascii="Book Antiqua" w:hAnsi="Book Antiqua"/>
        </w:rPr>
      </w:pPr>
      <w:r>
        <w:rPr>
          <w:rFonts w:ascii="Book Antiqua" w:hAnsi="Book Antiqua"/>
        </w:rPr>
        <w:t>27</w:t>
      </w:r>
      <w:r w:rsidR="00C2402E">
        <w:rPr>
          <w:rFonts w:ascii="Book Antiqua" w:hAnsi="Book Antiqua"/>
        </w:rPr>
        <w:t>.</w:t>
      </w:r>
      <w:r w:rsidR="00C2402E">
        <w:rPr>
          <w:rFonts w:ascii="Book Antiqua" w:hAnsi="Book Antiqua"/>
        </w:rPr>
        <w:tab/>
        <w:t>I</w:t>
      </w:r>
      <w:r w:rsidR="00804EC0">
        <w:rPr>
          <w:rFonts w:ascii="Book Antiqua" w:hAnsi="Book Antiqua"/>
        </w:rPr>
        <w:t xml:space="preserve">t was conceded by Mr </w:t>
      </w:r>
      <w:proofErr w:type="spellStart"/>
      <w:r w:rsidR="00804EC0">
        <w:rPr>
          <w:rFonts w:ascii="Book Antiqua" w:hAnsi="Book Antiqua"/>
        </w:rPr>
        <w:t>Tufan</w:t>
      </w:r>
      <w:proofErr w:type="spellEnd"/>
      <w:r w:rsidR="00804EC0">
        <w:rPr>
          <w:rFonts w:ascii="Book Antiqua" w:hAnsi="Book Antiqua"/>
        </w:rPr>
        <w:t xml:space="preserve"> that</w:t>
      </w:r>
      <w:r w:rsidR="00C2402E">
        <w:rPr>
          <w:rFonts w:ascii="Book Antiqua" w:hAnsi="Book Antiqua"/>
        </w:rPr>
        <w:t>,</w:t>
      </w:r>
      <w:r w:rsidR="00804EC0">
        <w:rPr>
          <w:rFonts w:ascii="Book Antiqua" w:hAnsi="Book Antiqua"/>
        </w:rPr>
        <w:t xml:space="preserve"> had the Judge properly considered the length of residence in accordance with the Regulations</w:t>
      </w:r>
      <w:r w:rsidR="00C2402E">
        <w:rPr>
          <w:rFonts w:ascii="Book Antiqua" w:hAnsi="Book Antiqua"/>
        </w:rPr>
        <w:t>,</w:t>
      </w:r>
      <w:r w:rsidR="00804EC0">
        <w:rPr>
          <w:rFonts w:ascii="Book Antiqua" w:hAnsi="Book Antiqua"/>
        </w:rPr>
        <w:t xml:space="preserve"> there would have been an entirely different outcome and the Judge was therefore in error in the approach that was taken in this case.</w:t>
      </w:r>
    </w:p>
    <w:p w:rsidR="00804EC0" w:rsidRDefault="00804EC0" w:rsidP="00A51CF1">
      <w:pPr>
        <w:tabs>
          <w:tab w:val="left" w:pos="567"/>
        </w:tabs>
        <w:ind w:left="567" w:hanging="567"/>
        <w:jc w:val="both"/>
        <w:rPr>
          <w:rFonts w:ascii="Book Antiqua" w:hAnsi="Book Antiqua"/>
        </w:rPr>
      </w:pPr>
    </w:p>
    <w:p w:rsidR="00804EC0" w:rsidRDefault="00E80FBA" w:rsidP="00A51CF1">
      <w:pPr>
        <w:tabs>
          <w:tab w:val="left" w:pos="567"/>
        </w:tabs>
        <w:ind w:left="567" w:hanging="567"/>
        <w:jc w:val="both"/>
        <w:rPr>
          <w:rFonts w:ascii="Book Antiqua" w:hAnsi="Book Antiqua"/>
        </w:rPr>
      </w:pPr>
      <w:r>
        <w:rPr>
          <w:rFonts w:ascii="Book Antiqua" w:hAnsi="Book Antiqua"/>
        </w:rPr>
        <w:lastRenderedPageBreak/>
        <w:t>28</w:t>
      </w:r>
      <w:r w:rsidR="00804EC0">
        <w:rPr>
          <w:rFonts w:ascii="Book Antiqua" w:hAnsi="Book Antiqua"/>
        </w:rPr>
        <w:t>.</w:t>
      </w:r>
      <w:r w:rsidR="00804EC0">
        <w:rPr>
          <w:rFonts w:ascii="Book Antiqua" w:hAnsi="Book Antiqua"/>
        </w:rPr>
        <w:tab/>
        <w:t xml:space="preserve">In the circumstances I find that the Judge made a fundamental error in the assessment as to the appellant’s entitlement to a permanent residence card and accordingly I set aside the decision.  I proceed to remake the decision </w:t>
      </w:r>
      <w:proofErr w:type="gramStart"/>
      <w:r w:rsidR="00804EC0">
        <w:rPr>
          <w:rFonts w:ascii="Book Antiqua" w:hAnsi="Book Antiqua"/>
        </w:rPr>
        <w:t>in light of</w:t>
      </w:r>
      <w:proofErr w:type="gramEnd"/>
      <w:r w:rsidR="00804EC0">
        <w:rPr>
          <w:rFonts w:ascii="Book Antiqua" w:hAnsi="Book Antiqua"/>
        </w:rPr>
        <w:t xml:space="preserve"> the correct</w:t>
      </w:r>
      <w:r w:rsidR="003A7D7A">
        <w:rPr>
          <w:rFonts w:ascii="Book Antiqua" w:hAnsi="Book Antiqua"/>
        </w:rPr>
        <w:t>ed</w:t>
      </w:r>
      <w:r w:rsidR="00804EC0">
        <w:rPr>
          <w:rFonts w:ascii="Book Antiqua" w:hAnsi="Book Antiqua"/>
        </w:rPr>
        <w:t xml:space="preserve"> information presented and allow the appeal under the</w:t>
      </w:r>
      <w:r w:rsidR="003A7D7A">
        <w:rPr>
          <w:rFonts w:ascii="Book Antiqua" w:hAnsi="Book Antiqua"/>
        </w:rPr>
        <w:t xml:space="preserve"> relevant Regulations.</w:t>
      </w:r>
    </w:p>
    <w:p w:rsidR="001F2716" w:rsidRDefault="001F2716" w:rsidP="00780F86">
      <w:pPr>
        <w:ind w:left="540" w:hanging="540"/>
        <w:jc w:val="both"/>
      </w:pPr>
    </w:p>
    <w:p w:rsidR="00A51CF1" w:rsidRPr="008A78F0" w:rsidRDefault="00A51CF1" w:rsidP="00780F86">
      <w:pPr>
        <w:ind w:left="540" w:hanging="540"/>
        <w:jc w:val="both"/>
        <w:rPr>
          <w:rFonts w:ascii="Book Antiqua" w:hAnsi="Book Antiqua" w:cs="Arial"/>
        </w:rPr>
      </w:pPr>
    </w:p>
    <w:p w:rsidR="00180E36" w:rsidRPr="00180E36" w:rsidRDefault="00180E36" w:rsidP="00180E36">
      <w:pPr>
        <w:jc w:val="both"/>
        <w:rPr>
          <w:rFonts w:ascii="Book Antiqua" w:hAnsi="Book Antiqua" w:cs="Arial"/>
          <w:b/>
          <w:u w:val="single"/>
        </w:rPr>
      </w:pPr>
      <w:r w:rsidRPr="00180E36">
        <w:rPr>
          <w:rFonts w:ascii="Book Antiqua" w:hAnsi="Book Antiqua" w:cs="Arial"/>
          <w:b/>
          <w:u w:val="single"/>
        </w:rPr>
        <w:t>Notice of Decision</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 xml:space="preserve">The appeal </w:t>
      </w:r>
      <w:r w:rsidR="003A7D7A">
        <w:rPr>
          <w:rFonts w:ascii="Book Antiqua" w:hAnsi="Book Antiqua" w:cs="Arial"/>
        </w:rPr>
        <w:t>before the Upper Tribunal succeeds.  The decision of the First-tier Tribunal is set aside, the decision remade and appeal allowed.</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No anonymity direction is made.</w:t>
      </w:r>
    </w:p>
    <w:p w:rsidR="00180E36" w:rsidRPr="00687601" w:rsidRDefault="00180E36" w:rsidP="00180E36">
      <w:pPr>
        <w:jc w:val="both"/>
        <w:rPr>
          <w:rFonts w:ascii="Book Antiqua" w:hAnsi="Book Antiqua" w:cs="Arial"/>
        </w:rPr>
      </w:pPr>
    </w:p>
    <w:p w:rsidR="009F5220" w:rsidRPr="008A78F0" w:rsidRDefault="009F5220" w:rsidP="00780F86">
      <w:pPr>
        <w:ind w:left="540" w:hanging="540"/>
        <w:jc w:val="both"/>
        <w:rPr>
          <w:rFonts w:ascii="Book Antiqua" w:hAnsi="Book Antiqua" w:cs="Arial"/>
        </w:rPr>
      </w:pPr>
    </w:p>
    <w:p w:rsidR="009F5220" w:rsidRPr="008A78F0" w:rsidRDefault="009F5220" w:rsidP="00780F86">
      <w:pPr>
        <w:ind w:left="540" w:hanging="540"/>
        <w:jc w:val="both"/>
        <w:rPr>
          <w:rFonts w:ascii="Book Antiqua" w:hAnsi="Book Antiqua" w:cs="Arial"/>
        </w:rPr>
      </w:pPr>
    </w:p>
    <w:p w:rsidR="009F5220" w:rsidRPr="008A78F0" w:rsidRDefault="009F5220" w:rsidP="00780F86">
      <w:pPr>
        <w:ind w:left="540" w:hanging="540"/>
        <w:jc w:val="both"/>
        <w:rPr>
          <w:rFonts w:ascii="Book Antiqua" w:hAnsi="Book Antiqua" w:cs="Arial"/>
        </w:rPr>
      </w:pPr>
    </w:p>
    <w:p w:rsidR="001F2716" w:rsidRPr="008A78F0" w:rsidRDefault="001F2716" w:rsidP="00780F86">
      <w:pPr>
        <w:ind w:left="540" w:hanging="540"/>
        <w:jc w:val="both"/>
        <w:rPr>
          <w:rFonts w:ascii="Book Antiqua" w:hAnsi="Book Antiqua" w:cs="Arial"/>
        </w:rPr>
      </w:pPr>
    </w:p>
    <w:p w:rsidR="00A509FA" w:rsidRDefault="00A509FA" w:rsidP="00780F86">
      <w:pPr>
        <w:ind w:left="540" w:hanging="540"/>
        <w:jc w:val="both"/>
        <w:rPr>
          <w:rFonts w:ascii="Book Antiqua" w:hAnsi="Book Antiqua" w:cs="Arial"/>
        </w:rPr>
      </w:pPr>
    </w:p>
    <w:p w:rsidR="00180E36" w:rsidRPr="008A78F0" w:rsidRDefault="00180E36" w:rsidP="00780F86">
      <w:pPr>
        <w:ind w:left="540" w:hanging="540"/>
        <w:jc w:val="both"/>
        <w:rPr>
          <w:rFonts w:ascii="Book Antiqua" w:hAnsi="Book Antiqua" w:cs="Arial"/>
        </w:rPr>
      </w:pP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C2402E">
        <w:rPr>
          <w:rFonts w:ascii="Book Antiqua" w:hAnsi="Book Antiqua" w:cs="Arial"/>
        </w:rPr>
        <w:t xml:space="preserve"> 30 July 2018</w:t>
      </w:r>
    </w:p>
    <w:p w:rsidR="001F2716" w:rsidRPr="008A78F0" w:rsidRDefault="00C2402E" w:rsidP="00402B9E">
      <w:pPr>
        <w:tabs>
          <w:tab w:val="left" w:pos="2520"/>
        </w:tabs>
        <w:ind w:left="540" w:hanging="540"/>
        <w:jc w:val="both"/>
        <w:rPr>
          <w:rFonts w:ascii="Book Antiqua" w:hAnsi="Book Antiqua" w:cs="Arial"/>
        </w:rPr>
      </w:pPr>
      <w:r>
        <w:rPr>
          <w:rFonts w:ascii="Book Antiqua" w:hAnsi="Book Antiqua" w:cs="Arial"/>
          <w:noProof/>
        </w:rPr>
        <w:drawing>
          <wp:inline distT="0" distB="0" distL="0" distR="0" wp14:anchorId="35BA513E">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p>
    <w:p w:rsidR="001F2716" w:rsidRPr="008A78F0" w:rsidRDefault="001F2716" w:rsidP="00402B9E">
      <w:pPr>
        <w:tabs>
          <w:tab w:val="left" w:pos="2520"/>
        </w:tabs>
        <w:ind w:left="540" w:hanging="540"/>
        <w:jc w:val="both"/>
        <w:rPr>
          <w:rFonts w:ascii="Book Antiqua" w:hAnsi="Book Antiqua" w:cs="Arial"/>
        </w:rPr>
      </w:pPr>
    </w:p>
    <w:p w:rsidR="00B95326" w:rsidRPr="008A78F0" w:rsidRDefault="00B266BA" w:rsidP="004334A1">
      <w:pPr>
        <w:tabs>
          <w:tab w:val="left" w:pos="2520"/>
        </w:tabs>
        <w:ind w:left="540" w:hanging="540"/>
        <w:jc w:val="both"/>
        <w:rPr>
          <w:rFonts w:ascii="Book Antiqua" w:hAnsi="Book Antiqua" w:cs="Arial"/>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sectPr w:rsidR="00B95326" w:rsidRPr="008A78F0" w:rsidSect="00CB1786">
      <w:headerReference w:type="default" r:id="rId9"/>
      <w:footerReference w:type="default" r:id="rId10"/>
      <w:headerReference w:type="first" r:id="rId11"/>
      <w:footerReference w:type="first" r:id="rId12"/>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13C" w:rsidRDefault="00A0213C">
      <w:r>
        <w:separator/>
      </w:r>
    </w:p>
  </w:endnote>
  <w:endnote w:type="continuationSeparator" w:id="0">
    <w:p w:rsidR="00A0213C" w:rsidRDefault="00A02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CB1786" w:rsidRDefault="0019650B" w:rsidP="00593795">
    <w:pPr>
      <w:pStyle w:val="Footer"/>
      <w:jc w:val="center"/>
      <w:rPr>
        <w:rFonts w:ascii="Book Antiqua" w:hAnsi="Book Antiqua" w:cs="Arial"/>
      </w:rPr>
    </w:pPr>
    <w:r w:rsidRPr="00CB1786">
      <w:rPr>
        <w:rStyle w:val="PageNumber"/>
        <w:rFonts w:ascii="Book Antiqua" w:hAnsi="Book Antiqua" w:cs="Arial"/>
      </w:rPr>
      <w:fldChar w:fldCharType="begin"/>
    </w:r>
    <w:r w:rsidRPr="00CB1786">
      <w:rPr>
        <w:rStyle w:val="PageNumber"/>
        <w:rFonts w:ascii="Book Antiqua" w:hAnsi="Book Antiqua" w:cs="Arial"/>
      </w:rPr>
      <w:instrText xml:space="preserve"> PAGE </w:instrText>
    </w:r>
    <w:r w:rsidRPr="00CB1786">
      <w:rPr>
        <w:rStyle w:val="PageNumber"/>
        <w:rFonts w:ascii="Book Antiqua" w:hAnsi="Book Antiqua" w:cs="Arial"/>
      </w:rPr>
      <w:fldChar w:fldCharType="separate"/>
    </w:r>
    <w:r w:rsidR="00CE4715">
      <w:rPr>
        <w:rStyle w:val="PageNumber"/>
        <w:rFonts w:ascii="Book Antiqua" w:hAnsi="Book Antiqua" w:cs="Arial"/>
        <w:noProof/>
      </w:rPr>
      <w:t>5</w:t>
    </w:r>
    <w:r w:rsidRPr="00CB178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13C" w:rsidRDefault="00A0213C">
      <w:r>
        <w:separator/>
      </w:r>
    </w:p>
  </w:footnote>
  <w:footnote w:type="continuationSeparator" w:id="0">
    <w:p w:rsidR="00A0213C" w:rsidRDefault="00A02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00A0213C">
      <w:rPr>
        <w:rFonts w:ascii="Book Antiqua" w:hAnsi="Book Antiqua" w:cs="Arial"/>
        <w:sz w:val="16"/>
        <w:szCs w:val="16"/>
      </w:rPr>
      <w:t>EA/13754/2016</w:t>
    </w:r>
  </w:p>
  <w:p w:rsidR="00CB1786" w:rsidRPr="008A78F0" w:rsidRDefault="00CB1786"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13C"/>
    <w:rsid w:val="00000621"/>
    <w:rsid w:val="000036C2"/>
    <w:rsid w:val="000270B8"/>
    <w:rsid w:val="00033D3D"/>
    <w:rsid w:val="00062F02"/>
    <w:rsid w:val="00071A7E"/>
    <w:rsid w:val="00071E09"/>
    <w:rsid w:val="000746C0"/>
    <w:rsid w:val="00074D1D"/>
    <w:rsid w:val="00092580"/>
    <w:rsid w:val="00093D4D"/>
    <w:rsid w:val="0009735F"/>
    <w:rsid w:val="000D5D94"/>
    <w:rsid w:val="000F1A0E"/>
    <w:rsid w:val="001165A7"/>
    <w:rsid w:val="00167D3A"/>
    <w:rsid w:val="00180E36"/>
    <w:rsid w:val="0019650B"/>
    <w:rsid w:val="001A3082"/>
    <w:rsid w:val="001B186A"/>
    <w:rsid w:val="001B2F75"/>
    <w:rsid w:val="001D08E9"/>
    <w:rsid w:val="001F2716"/>
    <w:rsid w:val="00207617"/>
    <w:rsid w:val="0023134B"/>
    <w:rsid w:val="002343F3"/>
    <w:rsid w:val="00283659"/>
    <w:rsid w:val="002A42F8"/>
    <w:rsid w:val="002C6BD4"/>
    <w:rsid w:val="002D68BF"/>
    <w:rsid w:val="002F6B98"/>
    <w:rsid w:val="002F7832"/>
    <w:rsid w:val="00323235"/>
    <w:rsid w:val="00336CBF"/>
    <w:rsid w:val="00343FE3"/>
    <w:rsid w:val="003546C8"/>
    <w:rsid w:val="0037203F"/>
    <w:rsid w:val="00393C84"/>
    <w:rsid w:val="003A4916"/>
    <w:rsid w:val="003A7CF2"/>
    <w:rsid w:val="003A7D7A"/>
    <w:rsid w:val="003C2C39"/>
    <w:rsid w:val="003C5CE5"/>
    <w:rsid w:val="003E267B"/>
    <w:rsid w:val="003E7CD1"/>
    <w:rsid w:val="00402B9E"/>
    <w:rsid w:val="004243F7"/>
    <w:rsid w:val="004249CB"/>
    <w:rsid w:val="004334A1"/>
    <w:rsid w:val="0044127D"/>
    <w:rsid w:val="004448DB"/>
    <w:rsid w:val="00446C9A"/>
    <w:rsid w:val="00452F2B"/>
    <w:rsid w:val="00462A18"/>
    <w:rsid w:val="00477193"/>
    <w:rsid w:val="0048525A"/>
    <w:rsid w:val="004A0330"/>
    <w:rsid w:val="004A1848"/>
    <w:rsid w:val="004A6F4A"/>
    <w:rsid w:val="004E4717"/>
    <w:rsid w:val="004F4980"/>
    <w:rsid w:val="00507FEC"/>
    <w:rsid w:val="00510F0E"/>
    <w:rsid w:val="00542FA0"/>
    <w:rsid w:val="005479E1"/>
    <w:rsid w:val="00553E0A"/>
    <w:rsid w:val="005570FD"/>
    <w:rsid w:val="005575EA"/>
    <w:rsid w:val="0057790C"/>
    <w:rsid w:val="00593795"/>
    <w:rsid w:val="005A75FF"/>
    <w:rsid w:val="005D10AB"/>
    <w:rsid w:val="00601D8F"/>
    <w:rsid w:val="0060239D"/>
    <w:rsid w:val="00635787"/>
    <w:rsid w:val="00637B85"/>
    <w:rsid w:val="00653E97"/>
    <w:rsid w:val="00662A67"/>
    <w:rsid w:val="00684A74"/>
    <w:rsid w:val="00690B8A"/>
    <w:rsid w:val="006A78E2"/>
    <w:rsid w:val="006E012A"/>
    <w:rsid w:val="006F2CF1"/>
    <w:rsid w:val="007038ED"/>
    <w:rsid w:val="00703BC3"/>
    <w:rsid w:val="00704B61"/>
    <w:rsid w:val="007552A9"/>
    <w:rsid w:val="00761858"/>
    <w:rsid w:val="007645A0"/>
    <w:rsid w:val="00767D59"/>
    <w:rsid w:val="00776E97"/>
    <w:rsid w:val="00780F86"/>
    <w:rsid w:val="007912AD"/>
    <w:rsid w:val="007B0824"/>
    <w:rsid w:val="007B5D3C"/>
    <w:rsid w:val="007B6CAC"/>
    <w:rsid w:val="007C14A2"/>
    <w:rsid w:val="007C30BC"/>
    <w:rsid w:val="0080175A"/>
    <w:rsid w:val="00804EC0"/>
    <w:rsid w:val="00821B72"/>
    <w:rsid w:val="00823EF2"/>
    <w:rsid w:val="008303B8"/>
    <w:rsid w:val="00833DCE"/>
    <w:rsid w:val="00871D34"/>
    <w:rsid w:val="008A78F0"/>
    <w:rsid w:val="008B270C"/>
    <w:rsid w:val="008B5078"/>
    <w:rsid w:val="008C33A3"/>
    <w:rsid w:val="008C3D3D"/>
    <w:rsid w:val="008D4131"/>
    <w:rsid w:val="008F1932"/>
    <w:rsid w:val="00921062"/>
    <w:rsid w:val="00946A75"/>
    <w:rsid w:val="009722BC"/>
    <w:rsid w:val="009727A3"/>
    <w:rsid w:val="00987774"/>
    <w:rsid w:val="009A11E8"/>
    <w:rsid w:val="009C4801"/>
    <w:rsid w:val="009E74DF"/>
    <w:rsid w:val="009F5220"/>
    <w:rsid w:val="00A0213C"/>
    <w:rsid w:val="00A15234"/>
    <w:rsid w:val="00A201AB"/>
    <w:rsid w:val="00A23D9F"/>
    <w:rsid w:val="00A31C8B"/>
    <w:rsid w:val="00A41A06"/>
    <w:rsid w:val="00A509FA"/>
    <w:rsid w:val="00A51CF1"/>
    <w:rsid w:val="00A845DC"/>
    <w:rsid w:val="00AF6C8C"/>
    <w:rsid w:val="00B266BA"/>
    <w:rsid w:val="00B26AA2"/>
    <w:rsid w:val="00B3524D"/>
    <w:rsid w:val="00B40F69"/>
    <w:rsid w:val="00B46616"/>
    <w:rsid w:val="00B7040A"/>
    <w:rsid w:val="00B757B0"/>
    <w:rsid w:val="00B76132"/>
    <w:rsid w:val="00B81E78"/>
    <w:rsid w:val="00B83391"/>
    <w:rsid w:val="00B95326"/>
    <w:rsid w:val="00BC6811"/>
    <w:rsid w:val="00BD4196"/>
    <w:rsid w:val="00BE70EF"/>
    <w:rsid w:val="00BF22CA"/>
    <w:rsid w:val="00BF23BB"/>
    <w:rsid w:val="00C2402E"/>
    <w:rsid w:val="00C26032"/>
    <w:rsid w:val="00C31A44"/>
    <w:rsid w:val="00C345E1"/>
    <w:rsid w:val="00C37326"/>
    <w:rsid w:val="00C43BFD"/>
    <w:rsid w:val="00C4733E"/>
    <w:rsid w:val="00C719B2"/>
    <w:rsid w:val="00C83844"/>
    <w:rsid w:val="00CB1786"/>
    <w:rsid w:val="00CB6E35"/>
    <w:rsid w:val="00CD1E2A"/>
    <w:rsid w:val="00CE1A46"/>
    <w:rsid w:val="00CE4715"/>
    <w:rsid w:val="00D0037C"/>
    <w:rsid w:val="00D20757"/>
    <w:rsid w:val="00D22636"/>
    <w:rsid w:val="00D40FD9"/>
    <w:rsid w:val="00D509DC"/>
    <w:rsid w:val="00D53769"/>
    <w:rsid w:val="00D85C13"/>
    <w:rsid w:val="00D9111A"/>
    <w:rsid w:val="00D91BE3"/>
    <w:rsid w:val="00D94AFC"/>
    <w:rsid w:val="00DA6EFC"/>
    <w:rsid w:val="00DB70AE"/>
    <w:rsid w:val="00DD5071"/>
    <w:rsid w:val="00DD5C39"/>
    <w:rsid w:val="00DE7DB7"/>
    <w:rsid w:val="00E00A0A"/>
    <w:rsid w:val="00E066DE"/>
    <w:rsid w:val="00E07F57"/>
    <w:rsid w:val="00E30683"/>
    <w:rsid w:val="00E41521"/>
    <w:rsid w:val="00E453D8"/>
    <w:rsid w:val="00E50BCE"/>
    <w:rsid w:val="00E574BF"/>
    <w:rsid w:val="00E61292"/>
    <w:rsid w:val="00E77C4D"/>
    <w:rsid w:val="00E80FBA"/>
    <w:rsid w:val="00E81D01"/>
    <w:rsid w:val="00EA3B7D"/>
    <w:rsid w:val="00EE45D8"/>
    <w:rsid w:val="00F1086A"/>
    <w:rsid w:val="00F12DD8"/>
    <w:rsid w:val="00F22EDA"/>
    <w:rsid w:val="00F433F7"/>
    <w:rsid w:val="00F74477"/>
    <w:rsid w:val="00F830C5"/>
    <w:rsid w:val="00F94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3658B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62EC9-0C3B-4375-AC6D-3168D459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1704</Words>
  <Characters>8426</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2018-09-21T15:27:00Z</dcterms:created>
  <dcterms:modified xsi:type="dcterms:W3CDTF">2018-09-21T15:27:00Z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