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EA1B8C"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520D15"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520D15">
        <w:rPr>
          <w:rFonts w:ascii="Book Antiqua" w:hAnsi="Book Antiqua" w:cs="Arial"/>
          <w:b/>
          <w:color w:val="000000"/>
        </w:rPr>
        <w:t xml:space="preserve">   </w:t>
      </w:r>
      <w:proofErr w:type="gramEnd"/>
      <w:r w:rsidR="00520D15">
        <w:rPr>
          <w:rFonts w:ascii="Book Antiqua" w:hAnsi="Book Antiqua" w:cs="Arial"/>
          <w:b/>
          <w:color w:val="000000"/>
        </w:rPr>
        <w:t xml:space="preserve">                       </w:t>
      </w:r>
      <w:r w:rsidRPr="00520D15">
        <w:rPr>
          <w:rFonts w:ascii="Book Antiqua" w:hAnsi="Book Antiqua" w:cs="Arial"/>
          <w:b/>
          <w:color w:val="000000"/>
        </w:rPr>
        <w:t>Appeal Number:</w:t>
      </w:r>
      <w:r w:rsidR="00306EE9" w:rsidRPr="00520D15">
        <w:rPr>
          <w:rFonts w:ascii="Book Antiqua" w:hAnsi="Book Antiqua" w:cs="Arial"/>
          <w:b/>
          <w:color w:val="000000"/>
        </w:rPr>
        <w:t xml:space="preserve"> </w:t>
      </w:r>
      <w:r w:rsidR="00A5499F" w:rsidRPr="00520D15">
        <w:rPr>
          <w:rFonts w:ascii="Book Antiqua" w:hAnsi="Book Antiqua" w:cs="Arial"/>
          <w:b/>
          <w:color w:val="000000"/>
        </w:rPr>
        <w:t>EA</w:t>
      </w:r>
      <w:r w:rsidR="00306EE9" w:rsidRPr="00520D15">
        <w:rPr>
          <w:rFonts w:ascii="Book Antiqua" w:hAnsi="Book Antiqua" w:cs="Arial"/>
          <w:b/>
          <w:color w:val="000000"/>
        </w:rPr>
        <w:t>/</w:t>
      </w:r>
      <w:r w:rsidR="00A5499F" w:rsidRPr="00520D15">
        <w:rPr>
          <w:rFonts w:ascii="Book Antiqua" w:hAnsi="Book Antiqua" w:cs="Arial"/>
          <w:b/>
          <w:color w:val="000000"/>
        </w:rPr>
        <w:t>14024</w:t>
      </w:r>
      <w:r w:rsidR="007D6500" w:rsidRPr="00520D15">
        <w:rPr>
          <w:rFonts w:ascii="Book Antiqua" w:hAnsi="Book Antiqua" w:cs="Arial"/>
          <w:b/>
          <w:color w:val="000000"/>
        </w:rPr>
        <w:t>/201</w:t>
      </w:r>
      <w:r w:rsidR="00A5499F" w:rsidRPr="00520D15">
        <w:rPr>
          <w:rFonts w:ascii="Book Antiqua" w:hAnsi="Book Antiqua" w:cs="Arial"/>
          <w:b/>
          <w:color w:val="000000"/>
        </w:rPr>
        <w:t>6</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10834" w:type="dxa"/>
        <w:tblLook w:val="01E0" w:firstRow="1" w:lastRow="1" w:firstColumn="1" w:lastColumn="1" w:noHBand="0" w:noVBand="0"/>
      </w:tblPr>
      <w:tblGrid>
        <w:gridCol w:w="5529"/>
        <w:gridCol w:w="5305"/>
      </w:tblGrid>
      <w:tr w:rsidR="00933B65" w:rsidRPr="00061C66" w:rsidTr="00520D15">
        <w:trPr>
          <w:trHeight w:val="637"/>
        </w:trPr>
        <w:tc>
          <w:tcPr>
            <w:tcW w:w="5529" w:type="dxa"/>
            <w:shd w:val="clear" w:color="auto" w:fill="auto"/>
          </w:tcPr>
          <w:p w:rsidR="00520D15" w:rsidRDefault="00933B65" w:rsidP="003B5957">
            <w:pPr>
              <w:jc w:val="both"/>
              <w:rPr>
                <w:rFonts w:ascii="Book Antiqua" w:hAnsi="Book Antiqua" w:cs="Arial"/>
                <w:b/>
              </w:rPr>
            </w:pPr>
            <w:r w:rsidRPr="003B5957">
              <w:rPr>
                <w:rFonts w:ascii="Book Antiqua" w:hAnsi="Book Antiqua" w:cs="Arial"/>
                <w:b/>
              </w:rPr>
              <w:t>Heard at Field House</w:t>
            </w:r>
            <w:r w:rsidR="00520D15" w:rsidRPr="003B5957">
              <w:rPr>
                <w:rFonts w:ascii="Book Antiqua" w:hAnsi="Book Antiqua" w:cs="Arial"/>
                <w:b/>
              </w:rPr>
              <w:t xml:space="preserve"> </w:t>
            </w:r>
          </w:p>
          <w:p w:rsidR="00933B65" w:rsidRPr="003B5957" w:rsidRDefault="00520D15" w:rsidP="003B5957">
            <w:pPr>
              <w:jc w:val="both"/>
              <w:rPr>
                <w:rFonts w:ascii="Book Antiqua" w:hAnsi="Book Antiqua" w:cs="Arial"/>
                <w:b/>
              </w:rPr>
            </w:pPr>
            <w:r w:rsidRPr="003B5957">
              <w:rPr>
                <w:rFonts w:ascii="Book Antiqua" w:hAnsi="Book Antiqua" w:cs="Arial"/>
                <w:b/>
              </w:rPr>
              <w:t xml:space="preserve">On </w:t>
            </w:r>
            <w:r>
              <w:rPr>
                <w:rFonts w:ascii="Book Antiqua" w:hAnsi="Book Antiqua" w:cs="Arial"/>
                <w:b/>
              </w:rPr>
              <w:t>10</w:t>
            </w:r>
            <w:r w:rsidRPr="00A5499F">
              <w:rPr>
                <w:rFonts w:ascii="Book Antiqua" w:hAnsi="Book Antiqua" w:cs="Arial"/>
                <w:b/>
                <w:vertAlign w:val="superscript"/>
              </w:rPr>
              <w:t>th</w:t>
            </w:r>
            <w:r>
              <w:rPr>
                <w:rFonts w:ascii="Book Antiqua" w:hAnsi="Book Antiqua" w:cs="Arial"/>
                <w:b/>
              </w:rPr>
              <w:t xml:space="preserve"> July 2018</w:t>
            </w:r>
          </w:p>
        </w:tc>
        <w:tc>
          <w:tcPr>
            <w:tcW w:w="5305" w:type="dxa"/>
            <w:shd w:val="clear" w:color="auto" w:fill="auto"/>
          </w:tcPr>
          <w:p w:rsidR="00520D15" w:rsidRDefault="00061C66" w:rsidP="003B5957">
            <w:pPr>
              <w:jc w:val="both"/>
              <w:rPr>
                <w:rFonts w:ascii="Book Antiqua" w:hAnsi="Book Antiqua" w:cs="Arial"/>
                <w:b/>
              </w:rPr>
            </w:pPr>
            <w:r w:rsidRPr="00061C66">
              <w:rPr>
                <w:rFonts w:ascii="Book Antiqua" w:hAnsi="Book Antiqua"/>
                <w:b/>
              </w:rPr>
              <w:t>Decision and Reasons Promulgated</w:t>
            </w:r>
            <w:r w:rsidR="00520D15">
              <w:rPr>
                <w:rFonts w:ascii="Book Antiqua" w:hAnsi="Book Antiqua" w:cs="Arial"/>
                <w:b/>
              </w:rPr>
              <w:t xml:space="preserve"> </w:t>
            </w:r>
          </w:p>
          <w:p w:rsidR="00933B65" w:rsidRPr="00061C66" w:rsidRDefault="00520D15" w:rsidP="003B5957">
            <w:pPr>
              <w:jc w:val="both"/>
              <w:rPr>
                <w:rFonts w:ascii="Book Antiqua" w:hAnsi="Book Antiqua" w:cs="Arial"/>
                <w:b/>
                <w:color w:val="000000"/>
              </w:rPr>
            </w:pPr>
            <w:r>
              <w:rPr>
                <w:rFonts w:ascii="Book Antiqua" w:hAnsi="Book Antiqua" w:cs="Arial"/>
                <w:b/>
              </w:rPr>
              <w:t>On 12</w:t>
            </w:r>
            <w:r w:rsidRPr="00061C66">
              <w:rPr>
                <w:rFonts w:ascii="Book Antiqua" w:hAnsi="Book Antiqua" w:cs="Arial"/>
                <w:b/>
                <w:vertAlign w:val="superscript"/>
              </w:rPr>
              <w:t>th</w:t>
            </w:r>
            <w:r>
              <w:rPr>
                <w:rFonts w:ascii="Book Antiqua" w:hAnsi="Book Antiqua" w:cs="Arial"/>
                <w:b/>
              </w:rPr>
              <w:t xml:space="preserve"> July 2018</w:t>
            </w:r>
          </w:p>
        </w:tc>
      </w:tr>
      <w:tr w:rsidR="00933B65" w:rsidRPr="003B5957" w:rsidTr="00520D15">
        <w:trPr>
          <w:trHeight w:val="306"/>
        </w:trPr>
        <w:tc>
          <w:tcPr>
            <w:tcW w:w="5529" w:type="dxa"/>
            <w:shd w:val="clear" w:color="auto" w:fill="auto"/>
          </w:tcPr>
          <w:p w:rsidR="00933B65" w:rsidRPr="003B5957" w:rsidRDefault="00933B65" w:rsidP="003B5957">
            <w:pPr>
              <w:jc w:val="both"/>
              <w:rPr>
                <w:rFonts w:ascii="Book Antiqua" w:hAnsi="Book Antiqua" w:cs="Arial"/>
                <w:b/>
              </w:rPr>
            </w:pPr>
          </w:p>
        </w:tc>
        <w:tc>
          <w:tcPr>
            <w:tcW w:w="5305" w:type="dxa"/>
            <w:shd w:val="clear" w:color="auto" w:fill="auto"/>
          </w:tcPr>
          <w:p w:rsidR="00933B65" w:rsidRPr="003B5957" w:rsidRDefault="00933B65" w:rsidP="003B5957">
            <w:pPr>
              <w:jc w:val="both"/>
              <w:rPr>
                <w:rFonts w:ascii="Book Antiqua" w:hAnsi="Book Antiqua" w:cs="Arial"/>
                <w:b/>
              </w:rPr>
            </w:pPr>
          </w:p>
        </w:tc>
      </w:tr>
    </w:tbl>
    <w:p w:rsidR="00520D15" w:rsidRDefault="00520D1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A5499F" w:rsidRDefault="00A5499F" w:rsidP="00933B65">
      <w:pPr>
        <w:jc w:val="center"/>
        <w:rPr>
          <w:rFonts w:ascii="Book Antiqua" w:hAnsi="Book Antiqua" w:cs="Arial"/>
          <w:b/>
        </w:rPr>
      </w:pPr>
    </w:p>
    <w:p w:rsidR="007D6500" w:rsidRDefault="00A5499F" w:rsidP="00933B65">
      <w:pPr>
        <w:jc w:val="center"/>
        <w:rPr>
          <w:rFonts w:ascii="Book Antiqua" w:hAnsi="Book Antiqua" w:cs="Arial"/>
          <w:b/>
        </w:rPr>
      </w:pPr>
      <w:r>
        <w:rPr>
          <w:rFonts w:ascii="Book Antiqua" w:hAnsi="Book Antiqua" w:cs="Arial"/>
          <w:b/>
        </w:rPr>
        <w:t>BENJAMIN BRAKO</w:t>
      </w:r>
    </w:p>
    <w:p w:rsidR="00933B65" w:rsidRPr="00520D15" w:rsidRDefault="00284315" w:rsidP="00933B65">
      <w:pPr>
        <w:jc w:val="center"/>
        <w:rPr>
          <w:rFonts w:ascii="Book Antiqua" w:hAnsi="Book Antiqua" w:cs="Arial"/>
        </w:rPr>
      </w:pPr>
      <w:r w:rsidRPr="00520D15">
        <w:rPr>
          <w:rFonts w:ascii="Book Antiqua" w:hAnsi="Book Antiqua" w:cs="Arial"/>
        </w:rPr>
        <w:t xml:space="preserve"> </w:t>
      </w:r>
      <w:r w:rsidR="00306EE9" w:rsidRPr="00520D15">
        <w:rPr>
          <w:rFonts w:ascii="Book Antiqua" w:hAnsi="Book Antiqua" w:cs="Arial"/>
        </w:rPr>
        <w:t>(ANONYMITY ORDER</w:t>
      </w:r>
      <w:r w:rsidR="00A5499F" w:rsidRPr="00520D15">
        <w:rPr>
          <w:rFonts w:ascii="Book Antiqua" w:hAnsi="Book Antiqua" w:cs="Arial"/>
        </w:rPr>
        <w:t xml:space="preserve"> NOT</w:t>
      </w:r>
      <w:r w:rsidR="00306EE9" w:rsidRPr="00520D15">
        <w:rPr>
          <w:rFonts w:ascii="Book Antiqua" w:hAnsi="Book Antiqua" w:cs="Arial"/>
        </w:rPr>
        <w:t xml:space="preserve">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520D15" w:rsidRDefault="00520D15"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520D15" w:rsidRPr="00F97703" w:rsidRDefault="00520D15"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7D6500" w:rsidP="00520D15">
      <w:pPr>
        <w:jc w:val="right"/>
        <w:rPr>
          <w:rFonts w:ascii="Book Antiqua" w:hAnsi="Book Antiqua" w:cs="Arial"/>
          <w:u w:val="single"/>
        </w:rPr>
      </w:pPr>
      <w:r>
        <w:rPr>
          <w:rFonts w:ascii="Book Antiqua" w:hAnsi="Book Antiqua" w:cs="Arial"/>
          <w:b/>
        </w:rPr>
        <w:t xml:space="preserve"> </w:t>
      </w:r>
      <w:r w:rsidR="00933B65"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FD768B">
        <w:rPr>
          <w:rFonts w:ascii="Book Antiqua" w:hAnsi="Book Antiqua" w:cs="Arial"/>
        </w:rPr>
        <w:t>rs S Sharma, of Counsel,</w:t>
      </w:r>
      <w:r w:rsidR="00546523">
        <w:rPr>
          <w:rFonts w:ascii="Book Antiqua" w:hAnsi="Book Antiqua" w:cs="Arial"/>
        </w:rPr>
        <w:t xml:space="preserve"> </w:t>
      </w:r>
      <w:r>
        <w:rPr>
          <w:rFonts w:ascii="Book Antiqua" w:hAnsi="Book Antiqua" w:cs="Arial"/>
        </w:rPr>
        <w:t>instructed by</w:t>
      </w:r>
      <w:r w:rsidR="00A5499F">
        <w:rPr>
          <w:rFonts w:ascii="Book Antiqua" w:hAnsi="Book Antiqua" w:cs="Arial"/>
        </w:rPr>
        <w:t xml:space="preserve"> Justice &amp; Law</w:t>
      </w:r>
      <w:r w:rsidR="00306EE9">
        <w:rPr>
          <w:rFonts w:ascii="Book Antiqua" w:hAnsi="Book Antiqua" w:cs="Arial"/>
        </w:rPr>
        <w:t xml:space="preserve"> Solicitors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FD768B">
        <w:rPr>
          <w:rFonts w:ascii="Book Antiqua" w:hAnsi="Book Antiqua" w:cs="Arial"/>
        </w:rPr>
        <w:t>r N Bramble,</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tabs>
          <w:tab w:val="left" w:pos="2520"/>
        </w:tabs>
        <w:jc w:val="both"/>
        <w:rPr>
          <w:rFonts w:ascii="Book Antiqua" w:hAnsi="Book Antiqua" w:cs="Arial"/>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546523" w:rsidRPr="00546523" w:rsidRDefault="00546523" w:rsidP="00546523">
      <w:pPr>
        <w:tabs>
          <w:tab w:val="left" w:pos="567"/>
        </w:tabs>
        <w:ind w:left="567"/>
        <w:jc w:val="both"/>
        <w:rPr>
          <w:rFonts w:ascii="Book Antiqua" w:hAnsi="Book Antiqua" w:cs="Arial"/>
          <w:i/>
        </w:rPr>
      </w:pPr>
    </w:p>
    <w:p w:rsidR="00546523" w:rsidRPr="003B12DA"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 is a citizen of </w:t>
      </w:r>
      <w:r w:rsidR="00E5073D">
        <w:rPr>
          <w:rFonts w:ascii="Book Antiqua" w:hAnsi="Book Antiqua" w:cs="Arial"/>
        </w:rPr>
        <w:t>Ghana born in 1973. He applied for an EEA residence card on 8</w:t>
      </w:r>
      <w:r w:rsidR="00E5073D" w:rsidRPr="00E5073D">
        <w:rPr>
          <w:rFonts w:ascii="Book Antiqua" w:hAnsi="Book Antiqua" w:cs="Arial"/>
          <w:vertAlign w:val="superscript"/>
        </w:rPr>
        <w:t>th</w:t>
      </w:r>
      <w:r w:rsidR="00E5073D">
        <w:rPr>
          <w:rFonts w:ascii="Book Antiqua" w:hAnsi="Book Antiqua" w:cs="Arial"/>
        </w:rPr>
        <w:t xml:space="preserve"> April 2016, and this application was refused on 23</w:t>
      </w:r>
      <w:r w:rsidR="00E5073D" w:rsidRPr="00E5073D">
        <w:rPr>
          <w:rFonts w:ascii="Book Antiqua" w:hAnsi="Book Antiqua" w:cs="Arial"/>
          <w:vertAlign w:val="superscript"/>
        </w:rPr>
        <w:t>rd</w:t>
      </w:r>
      <w:r w:rsidR="00E5073D">
        <w:rPr>
          <w:rFonts w:ascii="Book Antiqua" w:hAnsi="Book Antiqua" w:cs="Arial"/>
        </w:rPr>
        <w:t xml:space="preserve"> November 2016</w:t>
      </w:r>
      <w:r>
        <w:rPr>
          <w:rFonts w:ascii="Book Antiqua" w:hAnsi="Book Antiqua" w:cs="Arial"/>
        </w:rPr>
        <w:t>. His</w:t>
      </w:r>
      <w:r w:rsidR="00660FCD">
        <w:rPr>
          <w:rFonts w:ascii="Book Antiqua" w:hAnsi="Book Antiqua" w:cs="Arial"/>
        </w:rPr>
        <w:t xml:space="preserve"> appeal against the decision </w:t>
      </w:r>
      <w:r>
        <w:rPr>
          <w:rFonts w:ascii="Book Antiqua" w:hAnsi="Book Antiqua" w:cs="Arial"/>
        </w:rPr>
        <w:t>was dismissed by First-tier Tribunal Judge</w:t>
      </w:r>
      <w:r w:rsidR="00660FCD">
        <w:rPr>
          <w:rFonts w:ascii="Book Antiqua" w:hAnsi="Book Antiqua" w:cs="Arial"/>
        </w:rPr>
        <w:t xml:space="preserve"> NMK Lawrence </w:t>
      </w:r>
      <w:r>
        <w:rPr>
          <w:rFonts w:ascii="Book Antiqua" w:hAnsi="Book Antiqua" w:cs="Arial"/>
        </w:rPr>
        <w:t>in a determination promulgated on the</w:t>
      </w:r>
      <w:r w:rsidR="00660FCD">
        <w:rPr>
          <w:rFonts w:ascii="Book Antiqua" w:hAnsi="Book Antiqua" w:cs="Arial"/>
        </w:rPr>
        <w:t xml:space="preserve"> 29</w:t>
      </w:r>
      <w:r w:rsidR="00660FCD" w:rsidRPr="00660FCD">
        <w:rPr>
          <w:rFonts w:ascii="Book Antiqua" w:hAnsi="Book Antiqua" w:cs="Arial"/>
          <w:vertAlign w:val="superscript"/>
        </w:rPr>
        <w:t>th</w:t>
      </w:r>
      <w:r w:rsidR="00660FCD">
        <w:rPr>
          <w:rFonts w:ascii="Book Antiqua" w:hAnsi="Book Antiqua" w:cs="Arial"/>
        </w:rPr>
        <w:t xml:space="preserve"> March 2018.</w:t>
      </w:r>
      <w:r>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660FCD">
        <w:rPr>
          <w:rFonts w:ascii="Book Antiqua" w:hAnsi="Book Antiqua" w:cs="Arial"/>
        </w:rPr>
        <w:t xml:space="preserve"> by Judge of the First-tier Tribunal Hollingworth on 7</w:t>
      </w:r>
      <w:r w:rsidR="00660FCD" w:rsidRPr="00660FCD">
        <w:rPr>
          <w:rFonts w:ascii="Book Antiqua" w:hAnsi="Book Antiqua" w:cs="Arial"/>
          <w:vertAlign w:val="superscript"/>
        </w:rPr>
        <w:t>th</w:t>
      </w:r>
      <w:r w:rsidR="00660FCD">
        <w:rPr>
          <w:rFonts w:ascii="Book Antiqua" w:hAnsi="Book Antiqua" w:cs="Arial"/>
        </w:rPr>
        <w:t xml:space="preserve"> May 2018</w:t>
      </w:r>
      <w:r>
        <w:rPr>
          <w:rFonts w:ascii="Book Antiqua" w:hAnsi="Book Antiqua" w:cs="Arial"/>
        </w:rPr>
        <w:t xml:space="preserve"> on the basis that it was arguable that the First-tier judge had erred in law in </w:t>
      </w:r>
      <w:r w:rsidR="00660FCD">
        <w:rPr>
          <w:rFonts w:ascii="Book Antiqua" w:hAnsi="Book Antiqua" w:cs="Arial"/>
        </w:rPr>
        <w:t xml:space="preserve">failing to have dealt with Regulation 8(5) of the Immigration (EEA) </w:t>
      </w:r>
      <w:r w:rsidR="00660FCD">
        <w:rPr>
          <w:rFonts w:ascii="Book Antiqua" w:hAnsi="Book Antiqua" w:cs="Arial"/>
        </w:rPr>
        <w:lastRenderedPageBreak/>
        <w:t>Regulations 2006.</w:t>
      </w:r>
      <w:r w:rsidR="00FB45B8">
        <w:rPr>
          <w:rFonts w:ascii="Book Antiqua" w:hAnsi="Book Antiqua" w:cs="Arial"/>
        </w:rPr>
        <w:t xml:space="preserve"> The grounds were not</w:t>
      </w:r>
      <w:r w:rsidR="00FD768B">
        <w:rPr>
          <w:rFonts w:ascii="Book Antiqua" w:hAnsi="Book Antiqua" w:cs="Arial"/>
        </w:rPr>
        <w:t xml:space="preserve"> specifically</w:t>
      </w:r>
      <w:r w:rsidR="00FB45B8">
        <w:rPr>
          <w:rFonts w:ascii="Book Antiqua" w:hAnsi="Book Antiqua" w:cs="Arial"/>
        </w:rPr>
        <w:t xml:space="preserve"> limited to this matter alone however.</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660FCD">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660FCD">
        <w:rPr>
          <w:rFonts w:ascii="Book Antiqua" w:hAnsi="Book Antiqua" w:cs="Arial"/>
          <w:i/>
        </w:rPr>
        <w:t xml:space="preserve"> – Error of Law</w:t>
      </w:r>
    </w:p>
    <w:p w:rsidR="00FB45B8" w:rsidRPr="00FB45B8" w:rsidRDefault="00660FCD"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It is firstly argued that the decision of the First-tier Tribunal was irrational for finding that a failure to provide evidence that the persons who stood in for the appellant and his claimed wife in their proxy marriage were their brothers. As the First-tier Tribunal found it was not a requirement that they be related it was irrational to have find that a failure to provide evidence of the brother relationships should have led the appeal to fail. The fact that false documents might be easily available in Ghana was also not a relevant consideration, and has failed to consider that an extract from the customary marriage certificate is normally considered sufficient proof of a proxy customary marriage under the Ghanaian PNDC Law 112. It was also not reasonable to require the appellant and his claimed wife to undertake DNA testing as this was expensive</w:t>
      </w:r>
      <w:r w:rsidR="00FB45B8">
        <w:rPr>
          <w:rFonts w:ascii="Book Antiqua" w:hAnsi="Book Antiqua" w:cs="Arial"/>
        </w:rPr>
        <w:t xml:space="preserve">, costing about </w:t>
      </w:r>
      <w:r w:rsidR="00FD768B">
        <w:rPr>
          <w:rFonts w:ascii="Book Antiqua" w:hAnsi="Book Antiqua" w:cs="Arial"/>
        </w:rPr>
        <w:t>£</w:t>
      </w:r>
      <w:r w:rsidR="00FB45B8">
        <w:rPr>
          <w:rFonts w:ascii="Book Antiqua" w:hAnsi="Book Antiqua" w:cs="Arial"/>
        </w:rPr>
        <w:t>1000</w:t>
      </w:r>
      <w:r>
        <w:rPr>
          <w:rFonts w:ascii="Book Antiqua" w:hAnsi="Book Antiqua" w:cs="Arial"/>
        </w:rPr>
        <w:t xml:space="preserve">. </w:t>
      </w:r>
    </w:p>
    <w:p w:rsidR="00546523" w:rsidRPr="00FD768B" w:rsidRDefault="00FB45B8"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Secondly it is argued that the First-tier Tribunal failed to consider the appeal under Regulation 8(5) of the Immigration (EEA) Regulations 2006 when this was raised in the appellant’s skeleton argument. There was evidence that the appellant and his partner had been cohabiting and had a child, and evidence from a church which showed that they were living together in a genuine and subsisting relationship.</w:t>
      </w:r>
    </w:p>
    <w:p w:rsidR="00FD768B" w:rsidRPr="00FD768B" w:rsidRDefault="00FD768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Bramble conceded that there had been a</w:t>
      </w:r>
      <w:r w:rsidR="00E6627E">
        <w:rPr>
          <w:rFonts w:ascii="Book Antiqua" w:hAnsi="Book Antiqua" w:cs="Arial"/>
        </w:rPr>
        <w:t xml:space="preserve">n error of law </w:t>
      </w:r>
      <w:proofErr w:type="gramStart"/>
      <w:r w:rsidR="00E6627E">
        <w:rPr>
          <w:rFonts w:ascii="Book Antiqua" w:hAnsi="Book Antiqua" w:cs="Arial"/>
        </w:rPr>
        <w:t>by virtue of</w:t>
      </w:r>
      <w:proofErr w:type="gramEnd"/>
      <w:r w:rsidR="00E6627E">
        <w:rPr>
          <w:rFonts w:ascii="Book Antiqua" w:hAnsi="Book Antiqua" w:cs="Arial"/>
        </w:rPr>
        <w:t xml:space="preserve"> a</w:t>
      </w:r>
      <w:r>
        <w:rPr>
          <w:rFonts w:ascii="Book Antiqua" w:hAnsi="Book Antiqua" w:cs="Arial"/>
        </w:rPr>
        <w:t xml:space="preserve"> failure to apply Regulation 8(5) of the 2006 EEA Regulations. He made no</w:t>
      </w:r>
      <w:r w:rsidR="006260C5">
        <w:rPr>
          <w:rFonts w:ascii="Book Antiqua" w:hAnsi="Book Antiqua" w:cs="Arial"/>
        </w:rPr>
        <w:t xml:space="preserve"> further</w:t>
      </w:r>
      <w:r>
        <w:rPr>
          <w:rFonts w:ascii="Book Antiqua" w:hAnsi="Book Antiqua" w:cs="Arial"/>
        </w:rPr>
        <w:t xml:space="preserve"> submissions on the first ground of appeal. </w:t>
      </w:r>
    </w:p>
    <w:p w:rsidR="00FD768B" w:rsidRDefault="00FD768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 found that the First-tier Tribunal had erred in law for the reasons set out below, and set aside the decision in its entirety. Both parties were happy that the matter was retained in the Upper Tribunal for remaking, although ideally the appellant and sponsor would have liked a Twi interpreter (and one was not available in the Upper Tribunal) it was agreed that everyone was content to proceed immediately with remaking without such an interpreter so long as questioning in English was kept simple. Both representatives said that no complex questioning of the appellant and the sponsor would be needed. At the end of the hearing I indicated that the appeal would be allowed under the 2006 EEA Regulations, but that my full reasons and basis of decision would follow in writing.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Conclusions</w:t>
      </w:r>
      <w:r w:rsidR="00660FCD">
        <w:rPr>
          <w:rFonts w:ascii="Book Antiqua" w:hAnsi="Book Antiqua" w:cs="Arial"/>
          <w:i/>
        </w:rPr>
        <w:t xml:space="preserve"> – Error of Law</w:t>
      </w:r>
    </w:p>
    <w:p w:rsidR="00546523" w:rsidRPr="009B16F5" w:rsidRDefault="00FB45B8"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First-tier Tribunal found at paragraph 14 of the decision that the Ghanaian proxy marriage did not entitled the appellant and his partner to </w:t>
      </w:r>
      <w:proofErr w:type="gramStart"/>
      <w:r>
        <w:rPr>
          <w:rFonts w:ascii="Book Antiqua" w:hAnsi="Book Antiqua" w:cs="Arial"/>
        </w:rPr>
        <w:t>be seen as</w:t>
      </w:r>
      <w:proofErr w:type="gramEnd"/>
      <w:r>
        <w:rPr>
          <w:rFonts w:ascii="Book Antiqua" w:hAnsi="Book Antiqua" w:cs="Arial"/>
        </w:rPr>
        <w:t xml:space="preserve"> married as there was no evidence that the persons who had stood “in loco parentis” at the customary proxy ceremony were the appellant and his partner’s brothers. It</w:t>
      </w:r>
      <w:r w:rsidR="00FD768B">
        <w:rPr>
          <w:rFonts w:ascii="Book Antiqua" w:hAnsi="Book Antiqua" w:cs="Arial"/>
        </w:rPr>
        <w:t xml:space="preserve"> was held by the First-tier Tribunal</w:t>
      </w:r>
      <w:r>
        <w:rPr>
          <w:rFonts w:ascii="Book Antiqua" w:hAnsi="Book Antiqua" w:cs="Arial"/>
        </w:rPr>
        <w:t xml:space="preserve"> that such evidence, and particularly DNA evidence, was needed because the appellant</w:t>
      </w:r>
      <w:r w:rsidR="00B65D72">
        <w:rPr>
          <w:rFonts w:ascii="Book Antiqua" w:hAnsi="Book Antiqua" w:cs="Arial"/>
        </w:rPr>
        <w:t xml:space="preserve"> and sponsor</w:t>
      </w:r>
      <w:r>
        <w:rPr>
          <w:rFonts w:ascii="Book Antiqua" w:hAnsi="Book Antiqua" w:cs="Arial"/>
        </w:rPr>
        <w:t xml:space="preserve"> ha</w:t>
      </w:r>
      <w:r w:rsidR="006260C5">
        <w:rPr>
          <w:rFonts w:ascii="Book Antiqua" w:hAnsi="Book Antiqua" w:cs="Arial"/>
        </w:rPr>
        <w:t>d</w:t>
      </w:r>
      <w:r>
        <w:rPr>
          <w:rFonts w:ascii="Book Antiqua" w:hAnsi="Book Antiqua" w:cs="Arial"/>
        </w:rPr>
        <w:t xml:space="preserve"> claimed that these people were</w:t>
      </w:r>
      <w:r w:rsidR="00B65D72">
        <w:rPr>
          <w:rFonts w:ascii="Book Antiqua" w:hAnsi="Book Antiqua" w:cs="Arial"/>
        </w:rPr>
        <w:t xml:space="preserve"> </w:t>
      </w:r>
      <w:r w:rsidR="00B65D72">
        <w:rPr>
          <w:rFonts w:ascii="Book Antiqua" w:hAnsi="Book Antiqua" w:cs="Arial"/>
        </w:rPr>
        <w:lastRenderedPageBreak/>
        <w:t>in fact</w:t>
      </w:r>
      <w:r>
        <w:rPr>
          <w:rFonts w:ascii="Book Antiqua" w:hAnsi="Book Antiqua" w:cs="Arial"/>
        </w:rPr>
        <w:t xml:space="preserve"> their brothers even though it is not a</w:t>
      </w:r>
      <w:r w:rsidR="00676713">
        <w:rPr>
          <w:rFonts w:ascii="Book Antiqua" w:hAnsi="Book Antiqua" w:cs="Arial"/>
        </w:rPr>
        <w:t xml:space="preserve"> legal</w:t>
      </w:r>
      <w:r>
        <w:rPr>
          <w:rFonts w:ascii="Book Antiqua" w:hAnsi="Book Antiqua" w:cs="Arial"/>
        </w:rPr>
        <w:t xml:space="preserve"> requirement that they were their brothers for the ceremony to be valid, see paragraph 15 of the decision. I find that this reasoning is irrational</w:t>
      </w:r>
      <w:r w:rsidR="009B16F5">
        <w:rPr>
          <w:rFonts w:ascii="Book Antiqua" w:hAnsi="Book Antiqua" w:cs="Arial"/>
        </w:rPr>
        <w:t xml:space="preserve">. As argued in the grounds of appeal DNA evidence is expensive, and further proving the relationships with the persons named on the certificate as supporting the statutory declaration would not logically add to the validity of the documentation surrounding the marriage. </w:t>
      </w:r>
      <w:r w:rsidR="00B65D72">
        <w:rPr>
          <w:rFonts w:ascii="Book Antiqua" w:hAnsi="Book Antiqua" w:cs="Arial"/>
        </w:rPr>
        <w:t>This was clearly a material error in relation to the</w:t>
      </w:r>
      <w:r w:rsidR="00E6627E">
        <w:rPr>
          <w:rFonts w:ascii="Book Antiqua" w:hAnsi="Book Antiqua" w:cs="Arial"/>
        </w:rPr>
        <w:t xml:space="preserve"> main</w:t>
      </w:r>
      <w:r w:rsidR="00B65D72">
        <w:rPr>
          <w:rFonts w:ascii="Book Antiqua" w:hAnsi="Book Antiqua" w:cs="Arial"/>
        </w:rPr>
        <w:t xml:space="preserve"> basis on which the appeal was advanced.</w:t>
      </w:r>
    </w:p>
    <w:p w:rsidR="009B16F5" w:rsidRPr="009B16F5" w:rsidRDefault="009B16F5"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Further, as argued for by the appellant,</w:t>
      </w:r>
      <w:r w:rsidR="000E3025">
        <w:rPr>
          <w:rFonts w:ascii="Book Antiqua" w:hAnsi="Book Antiqua" w:cs="Arial"/>
        </w:rPr>
        <w:t xml:space="preserve"> the skeleton argument before the First-tier Tribunal did argue the appeal</w:t>
      </w:r>
      <w:r w:rsidR="006260C5">
        <w:rPr>
          <w:rFonts w:ascii="Book Antiqua" w:hAnsi="Book Antiqua" w:cs="Arial"/>
        </w:rPr>
        <w:t xml:space="preserve"> in the alternative</w:t>
      </w:r>
      <w:r w:rsidR="000E3025">
        <w:rPr>
          <w:rFonts w:ascii="Book Antiqua" w:hAnsi="Book Antiqua" w:cs="Arial"/>
        </w:rPr>
        <w:t xml:space="preserve"> under Regulation 8(5) of the 2006</w:t>
      </w:r>
      <w:r w:rsidR="00B65D72">
        <w:rPr>
          <w:rFonts w:ascii="Book Antiqua" w:hAnsi="Book Antiqua" w:cs="Arial"/>
        </w:rPr>
        <w:t xml:space="preserve"> EEA</w:t>
      </w:r>
      <w:r w:rsidR="000E3025">
        <w:rPr>
          <w:rFonts w:ascii="Book Antiqua" w:hAnsi="Book Antiqua" w:cs="Arial"/>
        </w:rPr>
        <w:t xml:space="preserve"> Regulations, as well as under Regulation 7</w:t>
      </w:r>
      <w:r w:rsidR="006260C5">
        <w:rPr>
          <w:rFonts w:ascii="Book Antiqua" w:hAnsi="Book Antiqua" w:cs="Arial"/>
        </w:rPr>
        <w:t>(1)</w:t>
      </w:r>
      <w:r w:rsidR="000E3025">
        <w:rPr>
          <w:rFonts w:ascii="Book Antiqua" w:hAnsi="Book Antiqua" w:cs="Arial"/>
        </w:rPr>
        <w:t xml:space="preserve"> of the 2006</w:t>
      </w:r>
      <w:r w:rsidR="00B65D72">
        <w:rPr>
          <w:rFonts w:ascii="Book Antiqua" w:hAnsi="Book Antiqua" w:cs="Arial"/>
        </w:rPr>
        <w:t xml:space="preserve"> EEA</w:t>
      </w:r>
      <w:r w:rsidR="000E3025">
        <w:rPr>
          <w:rFonts w:ascii="Book Antiqua" w:hAnsi="Book Antiqua" w:cs="Arial"/>
        </w:rPr>
        <w:t xml:space="preserve"> Regulations, see paragraphs 27 to 29 of that document. </w:t>
      </w:r>
      <w:r w:rsidR="00B65D72">
        <w:rPr>
          <w:rFonts w:ascii="Book Antiqua" w:hAnsi="Book Antiqua" w:cs="Arial"/>
        </w:rPr>
        <w:t>There was</w:t>
      </w:r>
      <w:r w:rsidR="000E3025">
        <w:rPr>
          <w:rFonts w:ascii="Book Antiqua" w:hAnsi="Book Antiqua" w:cs="Arial"/>
        </w:rPr>
        <w:t xml:space="preserve"> evidence of cohabitation provided in the bundle,</w:t>
      </w:r>
      <w:r w:rsidR="00B65D72">
        <w:rPr>
          <w:rFonts w:ascii="Book Antiqua" w:hAnsi="Book Antiqua" w:cs="Arial"/>
        </w:rPr>
        <w:t xml:space="preserve"> a</w:t>
      </w:r>
      <w:r w:rsidR="000E3025">
        <w:rPr>
          <w:rFonts w:ascii="Book Antiqua" w:hAnsi="Book Antiqua" w:cs="Arial"/>
        </w:rPr>
        <w:t xml:space="preserve"> letter from Christ Temple International</w:t>
      </w:r>
      <w:r w:rsidR="00B65D72">
        <w:rPr>
          <w:rFonts w:ascii="Book Antiqua" w:hAnsi="Book Antiqua" w:cs="Arial"/>
        </w:rPr>
        <w:t xml:space="preserve"> going to the genuine nature of the appellant and sponsor’s relationship,</w:t>
      </w:r>
      <w:r w:rsidR="000E3025">
        <w:rPr>
          <w:rFonts w:ascii="Book Antiqua" w:hAnsi="Book Antiqua" w:cs="Arial"/>
        </w:rPr>
        <w:t xml:space="preserve"> and</w:t>
      </w:r>
      <w:r w:rsidR="00B65D72">
        <w:rPr>
          <w:rFonts w:ascii="Book Antiqua" w:hAnsi="Book Antiqua" w:cs="Arial"/>
        </w:rPr>
        <w:t xml:space="preserve"> documents</w:t>
      </w:r>
      <w:r w:rsidR="000E3025">
        <w:rPr>
          <w:rFonts w:ascii="Book Antiqua" w:hAnsi="Book Antiqua" w:cs="Arial"/>
        </w:rPr>
        <w:t xml:space="preserve"> </w:t>
      </w:r>
      <w:r w:rsidR="00B65D72">
        <w:rPr>
          <w:rFonts w:ascii="Book Antiqua" w:hAnsi="Book Antiqua" w:cs="Arial"/>
        </w:rPr>
        <w:t>regarding</w:t>
      </w:r>
      <w:r w:rsidR="000E3025">
        <w:rPr>
          <w:rFonts w:ascii="Book Antiqua" w:hAnsi="Book Antiqua" w:cs="Arial"/>
        </w:rPr>
        <w:t xml:space="preserve"> the</w:t>
      </w:r>
      <w:r w:rsidR="00B65D72">
        <w:rPr>
          <w:rFonts w:ascii="Book Antiqua" w:hAnsi="Book Antiqua" w:cs="Arial"/>
        </w:rPr>
        <w:t>ir</w:t>
      </w:r>
      <w:r w:rsidR="000E3025">
        <w:rPr>
          <w:rFonts w:ascii="Book Antiqua" w:hAnsi="Book Antiqua" w:cs="Arial"/>
        </w:rPr>
        <w:t xml:space="preserve"> daughter</w:t>
      </w:r>
      <w:r w:rsidR="00B65D72">
        <w:rPr>
          <w:rFonts w:ascii="Book Antiqua" w:hAnsi="Book Antiqua" w:cs="Arial"/>
        </w:rPr>
        <w:t xml:space="preserve"> who was born in 2014</w:t>
      </w:r>
      <w:r w:rsidR="000E3025">
        <w:rPr>
          <w:rFonts w:ascii="Book Antiqua" w:hAnsi="Book Antiqua" w:cs="Arial"/>
        </w:rPr>
        <w:t xml:space="preserve">. </w:t>
      </w:r>
      <w:r w:rsidR="00B65D72">
        <w:rPr>
          <w:rFonts w:ascii="Book Antiqua" w:hAnsi="Book Antiqua" w:cs="Arial"/>
        </w:rPr>
        <w:t xml:space="preserve">It was clearly a material error of law not to determine the appeal under Regulation 8(5) </w:t>
      </w:r>
      <w:proofErr w:type="gramStart"/>
      <w:r w:rsidR="00B65D72">
        <w:rPr>
          <w:rFonts w:ascii="Book Antiqua" w:hAnsi="Book Antiqua" w:cs="Arial"/>
        </w:rPr>
        <w:t>on the basis of</w:t>
      </w:r>
      <w:proofErr w:type="gramEnd"/>
      <w:r w:rsidR="00B65D72">
        <w:rPr>
          <w:rFonts w:ascii="Book Antiqua" w:hAnsi="Book Antiqua" w:cs="Arial"/>
        </w:rPr>
        <w:t xml:space="preserve"> the contended durable relationship between the appellant and sponsor.  </w:t>
      </w:r>
    </w:p>
    <w:p w:rsidR="009B16F5" w:rsidRPr="00B65D72" w:rsidRDefault="00B65D72" w:rsidP="00B65D72">
      <w:pPr>
        <w:tabs>
          <w:tab w:val="left" w:pos="2520"/>
        </w:tabs>
        <w:spacing w:before="240"/>
        <w:jc w:val="both"/>
        <w:rPr>
          <w:rFonts w:ascii="Book Antiqua" w:hAnsi="Book Antiqua" w:cs="Arial"/>
          <w:i/>
        </w:rPr>
      </w:pPr>
      <w:r>
        <w:rPr>
          <w:rFonts w:ascii="Book Antiqua" w:hAnsi="Book Antiqua" w:cs="Arial"/>
          <w:i/>
        </w:rPr>
        <w:t>Evidence and Submissions - Remaking</w:t>
      </w:r>
    </w:p>
    <w:p w:rsidR="009B16F5" w:rsidRPr="00872AD1" w:rsidRDefault="00B65D7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sponsor confirmed</w:t>
      </w:r>
      <w:r w:rsidR="00872AD1">
        <w:rPr>
          <w:rFonts w:ascii="Book Antiqua" w:hAnsi="Book Antiqua" w:cs="Arial"/>
        </w:rPr>
        <w:t xml:space="preserve"> in oral evidence</w:t>
      </w:r>
      <w:r>
        <w:rPr>
          <w:rFonts w:ascii="Book Antiqua" w:hAnsi="Book Antiqua" w:cs="Arial"/>
        </w:rPr>
        <w:t xml:space="preserve"> her identity, and address and that she continued to work in the UK as a cleaner for MITIE</w:t>
      </w:r>
      <w:r w:rsidR="00872AD1">
        <w:rPr>
          <w:rFonts w:ascii="Book Antiqua" w:hAnsi="Book Antiqua" w:cs="Arial"/>
        </w:rPr>
        <w:t xml:space="preserve"> in the same employment as set out in the documents at pages 137 to 138 of the appellant’s bundle. </w:t>
      </w:r>
    </w:p>
    <w:p w:rsidR="00872AD1" w:rsidRPr="00872AD1" w:rsidRDefault="00872AD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Bramble’s submissions were that I should make my own decision on the evidence in relation to Regulation 7</w:t>
      </w:r>
      <w:r w:rsidR="006260C5">
        <w:rPr>
          <w:rFonts w:ascii="Book Antiqua" w:hAnsi="Book Antiqua" w:cs="Arial"/>
        </w:rPr>
        <w:t>(1)</w:t>
      </w:r>
      <w:r>
        <w:rPr>
          <w:rFonts w:ascii="Book Antiqua" w:hAnsi="Book Antiqua" w:cs="Arial"/>
        </w:rPr>
        <w:t xml:space="preserve"> of the 2006 EEA Regulations. He accepted however that the appellant and sponsor met the requirements of Regulation 8(5) in the sense that he accepted that the evidence </w:t>
      </w:r>
      <w:r w:rsidR="00E6627E">
        <w:rPr>
          <w:rFonts w:ascii="Book Antiqua" w:hAnsi="Book Antiqua" w:cs="Arial"/>
        </w:rPr>
        <w:t>showed</w:t>
      </w:r>
      <w:r>
        <w:rPr>
          <w:rFonts w:ascii="Book Antiqua" w:hAnsi="Book Antiqua" w:cs="Arial"/>
        </w:rPr>
        <w:t xml:space="preserve"> that they had a durable relationship particularly as they had a child</w:t>
      </w:r>
      <w:r w:rsidR="00F848F0">
        <w:rPr>
          <w:rFonts w:ascii="Book Antiqua" w:hAnsi="Book Antiqua" w:cs="Arial"/>
        </w:rPr>
        <w:t xml:space="preserve"> together</w:t>
      </w:r>
      <w:r>
        <w:rPr>
          <w:rFonts w:ascii="Book Antiqua" w:hAnsi="Book Antiqua" w:cs="Arial"/>
        </w:rPr>
        <w:t xml:space="preserve"> born in 2014</w:t>
      </w:r>
      <w:r w:rsidR="004F2A70">
        <w:rPr>
          <w:rFonts w:ascii="Book Antiqua" w:hAnsi="Book Antiqua" w:cs="Arial"/>
        </w:rPr>
        <w:t xml:space="preserve"> (verified by DNA evidence)</w:t>
      </w:r>
      <w:r>
        <w:rPr>
          <w:rFonts w:ascii="Book Antiqua" w:hAnsi="Book Antiqua" w:cs="Arial"/>
        </w:rPr>
        <w:t xml:space="preserve">, and he also accepted that the sponsor was currently working in the UK. He reminded me that I should not go on to find that the appellant was entitled to a residence permit as no discretion had yet been exercised by the respondent under Regulation 17(4) of the 2006 EEA Regulation.  </w:t>
      </w:r>
    </w:p>
    <w:p w:rsidR="00872AD1" w:rsidRPr="005E1A5B" w:rsidRDefault="00872AD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Mrs Sharma said that she relied upon the skeleton argument in the appellant’s bundle. </w:t>
      </w:r>
      <w:r w:rsidR="00D37E20">
        <w:rPr>
          <w:rFonts w:ascii="Book Antiqua" w:hAnsi="Book Antiqua" w:cs="Arial"/>
        </w:rPr>
        <w:t xml:space="preserve"> </w:t>
      </w:r>
      <w:r w:rsidR="005E1A5B">
        <w:rPr>
          <w:rFonts w:ascii="Book Antiqua" w:hAnsi="Book Antiqua" w:cs="Arial"/>
        </w:rPr>
        <w:t xml:space="preserve">This document argues in </w:t>
      </w:r>
      <w:proofErr w:type="gramStart"/>
      <w:r w:rsidR="005E1A5B">
        <w:rPr>
          <w:rFonts w:ascii="Book Antiqua" w:hAnsi="Book Antiqua" w:cs="Arial"/>
        </w:rPr>
        <w:t>great detail</w:t>
      </w:r>
      <w:proofErr w:type="gramEnd"/>
      <w:r w:rsidR="005E1A5B">
        <w:rPr>
          <w:rFonts w:ascii="Book Antiqua" w:hAnsi="Book Antiqua" w:cs="Arial"/>
        </w:rPr>
        <w:t xml:space="preserve"> that the appellants can meet Regulation 7</w:t>
      </w:r>
      <w:r w:rsidR="006260C5">
        <w:rPr>
          <w:rFonts w:ascii="Book Antiqua" w:hAnsi="Book Antiqua" w:cs="Arial"/>
        </w:rPr>
        <w:t>(1)</w:t>
      </w:r>
      <w:r w:rsidR="005E1A5B">
        <w:rPr>
          <w:rFonts w:ascii="Book Antiqua" w:hAnsi="Book Antiqua" w:cs="Arial"/>
        </w:rPr>
        <w:t xml:space="preserve"> of the 2006 EEA Regulations</w:t>
      </w:r>
      <w:r w:rsidR="006260C5">
        <w:rPr>
          <w:rFonts w:ascii="Book Antiqua" w:hAnsi="Book Antiqua" w:cs="Arial"/>
        </w:rPr>
        <w:t xml:space="preserve"> setting out </w:t>
      </w:r>
      <w:r w:rsidR="0045402C">
        <w:rPr>
          <w:rFonts w:ascii="Book Antiqua" w:hAnsi="Book Antiqua" w:cs="Arial"/>
        </w:rPr>
        <w:t>the relevant Ghanaian law and dealing with the objections to the validity of the marriage raised by the respondent</w:t>
      </w:r>
      <w:r w:rsidR="005E1A5B">
        <w:rPr>
          <w:rFonts w:ascii="Book Antiqua" w:hAnsi="Book Antiqua" w:cs="Arial"/>
        </w:rPr>
        <w:t xml:space="preserve">. </w:t>
      </w:r>
    </w:p>
    <w:p w:rsidR="005E1A5B" w:rsidRPr="005E1A5B" w:rsidRDefault="005E1A5B" w:rsidP="005E1A5B">
      <w:pPr>
        <w:tabs>
          <w:tab w:val="left" w:pos="2520"/>
        </w:tabs>
        <w:spacing w:before="240"/>
        <w:jc w:val="both"/>
        <w:rPr>
          <w:rFonts w:ascii="Book Antiqua" w:hAnsi="Book Antiqua" w:cs="Arial"/>
          <w:i/>
        </w:rPr>
      </w:pPr>
      <w:r>
        <w:rPr>
          <w:rFonts w:ascii="Book Antiqua" w:hAnsi="Book Antiqua" w:cs="Arial"/>
          <w:i/>
        </w:rPr>
        <w:t>Conclusions - Remaking</w:t>
      </w:r>
    </w:p>
    <w:p w:rsidR="005E1A5B" w:rsidRPr="005E1A5B" w:rsidRDefault="005E1A5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reasons for refusal letter accepts that the appellant and sponsor were married by proxy and have submitted a Ghanaian customary marriage certificate. The question that arises is whether the registration was done in accordance with the PNDC (Provisional National Defence Council) law 112 of the Customary Marriage Divorce (Registration) Law 1985</w:t>
      </w:r>
      <w:r w:rsidR="00F848F0">
        <w:rPr>
          <w:rFonts w:ascii="Book Antiqua" w:hAnsi="Book Antiqua" w:cs="Arial"/>
        </w:rPr>
        <w:t xml:space="preserve"> for this proxy marriage to be recognised as valid</w:t>
      </w:r>
      <w:r w:rsidR="0045402C">
        <w:rPr>
          <w:rFonts w:ascii="Book Antiqua" w:hAnsi="Book Antiqua" w:cs="Arial"/>
        </w:rPr>
        <w:t xml:space="preserve"> in Ghanaian law</w:t>
      </w:r>
      <w:r>
        <w:rPr>
          <w:rFonts w:ascii="Book Antiqua" w:hAnsi="Book Antiqua" w:cs="Arial"/>
        </w:rPr>
        <w:t>.</w:t>
      </w:r>
      <w:r w:rsidR="00F848F0">
        <w:rPr>
          <w:rFonts w:ascii="Book Antiqua" w:hAnsi="Book Antiqua" w:cs="Arial"/>
        </w:rPr>
        <w:t xml:space="preserve"> It is now accepted for the respondent that in accordance with </w:t>
      </w:r>
      <w:proofErr w:type="spellStart"/>
      <w:r w:rsidR="00F848F0">
        <w:rPr>
          <w:rFonts w:ascii="Book Antiqua" w:hAnsi="Book Antiqua" w:cs="Arial"/>
          <w:u w:val="single"/>
        </w:rPr>
        <w:t>Awuku</w:t>
      </w:r>
      <w:proofErr w:type="spellEnd"/>
      <w:r w:rsidR="00F848F0">
        <w:rPr>
          <w:rFonts w:ascii="Book Antiqua" w:hAnsi="Book Antiqua" w:cs="Arial"/>
          <w:u w:val="single"/>
        </w:rPr>
        <w:t xml:space="preserve"> v SSHD </w:t>
      </w:r>
      <w:r w:rsidR="00F848F0">
        <w:rPr>
          <w:rFonts w:ascii="Book Antiqua" w:hAnsi="Book Antiqua" w:cs="Arial"/>
        </w:rPr>
        <w:t xml:space="preserve">[2017] EWCA </w:t>
      </w:r>
      <w:proofErr w:type="spellStart"/>
      <w:r w:rsidR="00F848F0">
        <w:rPr>
          <w:rFonts w:ascii="Book Antiqua" w:hAnsi="Book Antiqua" w:cs="Arial"/>
        </w:rPr>
        <w:t>Civ</w:t>
      </w:r>
      <w:proofErr w:type="spellEnd"/>
      <w:r w:rsidR="00F848F0">
        <w:rPr>
          <w:rFonts w:ascii="Book Antiqua" w:hAnsi="Book Antiqua" w:cs="Arial"/>
        </w:rPr>
        <w:t xml:space="preserve"> 178 that the only issue is whether the marriage </w:t>
      </w:r>
      <w:r w:rsidR="00F848F0">
        <w:rPr>
          <w:rFonts w:ascii="Book Antiqua" w:hAnsi="Book Antiqua" w:cs="Arial"/>
        </w:rPr>
        <w:lastRenderedPageBreak/>
        <w:t xml:space="preserve">is valid in English law, which in turn is determined by whether the marriage has complied fully with the requirements of Ghanaian law and was recognised and properly executed in Ghana, see </w:t>
      </w:r>
      <w:r w:rsidR="00F848F0">
        <w:rPr>
          <w:rFonts w:ascii="Book Antiqua" w:hAnsi="Book Antiqua" w:cs="Arial"/>
          <w:u w:val="single"/>
        </w:rPr>
        <w:t xml:space="preserve">CB (Validity of marriage: proxy marriage) </w:t>
      </w:r>
      <w:proofErr w:type="gramStart"/>
      <w:r w:rsidR="00F848F0">
        <w:rPr>
          <w:rFonts w:ascii="Book Antiqua" w:hAnsi="Book Antiqua" w:cs="Arial"/>
          <w:u w:val="single"/>
        </w:rPr>
        <w:t xml:space="preserve">Brazil </w:t>
      </w:r>
      <w:r w:rsidR="00F848F0">
        <w:rPr>
          <w:rFonts w:ascii="Book Antiqua" w:hAnsi="Book Antiqua" w:cs="Arial"/>
        </w:rPr>
        <w:t xml:space="preserve"> [</w:t>
      </w:r>
      <w:proofErr w:type="gramEnd"/>
      <w:r w:rsidR="00F848F0">
        <w:rPr>
          <w:rFonts w:ascii="Book Antiqua" w:hAnsi="Book Antiqua" w:cs="Arial"/>
        </w:rPr>
        <w:t>2008] UKAIT 00080.</w:t>
      </w:r>
      <w:r w:rsidR="00116329">
        <w:rPr>
          <w:rFonts w:ascii="Book Antiqua" w:hAnsi="Book Antiqua" w:cs="Arial"/>
        </w:rPr>
        <w:t xml:space="preserve"> </w:t>
      </w:r>
    </w:p>
    <w:p w:rsidR="00116329" w:rsidRPr="00116329" w:rsidRDefault="005E1A5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respondent does not accept that the appellant and sponsor have shown that they are Ghanaian citizens or that their parents were Ghanaian citizens</w:t>
      </w:r>
      <w:r w:rsidR="00F848F0">
        <w:rPr>
          <w:rFonts w:ascii="Book Antiqua" w:hAnsi="Book Antiqua" w:cs="Arial"/>
        </w:rPr>
        <w:t>, and argues that this means that the customary proxy marriage would not be recognised in Ghana</w:t>
      </w:r>
      <w:r>
        <w:rPr>
          <w:rFonts w:ascii="Book Antiqua" w:hAnsi="Book Antiqua" w:cs="Arial"/>
        </w:rPr>
        <w:t xml:space="preserve">. Further it is not accepted </w:t>
      </w:r>
      <w:r w:rsidR="00116329">
        <w:rPr>
          <w:rFonts w:ascii="Book Antiqua" w:hAnsi="Book Antiqua" w:cs="Arial"/>
        </w:rPr>
        <w:t>the statutory declaration meets the requirements of PNDC Law 112 because there is no evidence of the claimed relationship of the proxies to the appellant and sponsor. The</w:t>
      </w:r>
      <w:r w:rsidR="00E6627E">
        <w:rPr>
          <w:rFonts w:ascii="Book Antiqua" w:hAnsi="Book Antiqua" w:cs="Arial"/>
        </w:rPr>
        <w:t xml:space="preserve"> appellant and sponsor</w:t>
      </w:r>
      <w:r w:rsidR="00116329">
        <w:rPr>
          <w:rFonts w:ascii="Book Antiqua" w:hAnsi="Book Antiqua" w:cs="Arial"/>
        </w:rPr>
        <w:t xml:space="preserve"> have said that they were represented by their brothers, Charles </w:t>
      </w:r>
      <w:proofErr w:type="spellStart"/>
      <w:r w:rsidR="00116329">
        <w:rPr>
          <w:rFonts w:ascii="Book Antiqua" w:hAnsi="Book Antiqua" w:cs="Arial"/>
        </w:rPr>
        <w:t>Oware</w:t>
      </w:r>
      <w:proofErr w:type="spellEnd"/>
      <w:r w:rsidR="00116329">
        <w:rPr>
          <w:rFonts w:ascii="Book Antiqua" w:hAnsi="Book Antiqua" w:cs="Arial"/>
        </w:rPr>
        <w:t xml:space="preserve"> and Thomas Obese Appiah but not produced evidence of being related as claimed. </w:t>
      </w:r>
      <w:r w:rsidR="00F848F0">
        <w:rPr>
          <w:rFonts w:ascii="Book Antiqua" w:hAnsi="Book Antiqua" w:cs="Arial"/>
        </w:rPr>
        <w:t>In addition</w:t>
      </w:r>
      <w:r w:rsidR="0045402C">
        <w:rPr>
          <w:rFonts w:ascii="Book Antiqua" w:hAnsi="Book Antiqua" w:cs="Arial"/>
        </w:rPr>
        <w:t>,</w:t>
      </w:r>
      <w:r w:rsidR="00116329">
        <w:rPr>
          <w:rFonts w:ascii="Book Antiqua" w:hAnsi="Book Antiqua" w:cs="Arial"/>
        </w:rPr>
        <w:t xml:space="preserve"> it is said that the statutory declaration does not state the current marital status of the parties at the time of marriage as it should have done.  It is accepted that the Ghana High Commission has confirmed the registration but</w:t>
      </w:r>
      <w:r w:rsidR="0045402C">
        <w:rPr>
          <w:rFonts w:ascii="Book Antiqua" w:hAnsi="Book Antiqua" w:cs="Arial"/>
        </w:rPr>
        <w:t xml:space="preserve"> it is</w:t>
      </w:r>
      <w:r w:rsidR="00116329">
        <w:rPr>
          <w:rFonts w:ascii="Book Antiqua" w:hAnsi="Book Antiqua" w:cs="Arial"/>
        </w:rPr>
        <w:t xml:space="preserve"> argued that this document does not deal with these discrepancies</w:t>
      </w:r>
      <w:r w:rsidR="0045402C">
        <w:rPr>
          <w:rFonts w:ascii="Book Antiqua" w:hAnsi="Book Antiqua" w:cs="Arial"/>
        </w:rPr>
        <w:t xml:space="preserve"> and so cannot make the marriage lawful</w:t>
      </w:r>
      <w:r w:rsidR="00116329">
        <w:rPr>
          <w:rFonts w:ascii="Book Antiqua" w:hAnsi="Book Antiqua" w:cs="Arial"/>
        </w:rPr>
        <w:t xml:space="preserve">. </w:t>
      </w:r>
    </w:p>
    <w:p w:rsidR="005E1A5B" w:rsidRPr="00F848F0" w:rsidRDefault="00F848F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find that there is only a requirement that one party be a Ghanaian citizen for a customary proxy marriage to be valid in Ghanaian law</w:t>
      </w:r>
      <w:r w:rsidR="00E6627E">
        <w:rPr>
          <w:rFonts w:ascii="Book Antiqua" w:hAnsi="Book Antiqua" w:cs="Arial"/>
        </w:rPr>
        <w:t>, as is</w:t>
      </w:r>
      <w:r>
        <w:rPr>
          <w:rFonts w:ascii="Book Antiqua" w:hAnsi="Book Antiqua" w:cs="Arial"/>
        </w:rPr>
        <w:t xml:space="preserve"> set out at page 3 of the UKBA document “Customary Marriage and Divorce/ Proxy Marriages contracted in Ghana dated 17</w:t>
      </w:r>
      <w:r w:rsidRPr="00F848F0">
        <w:rPr>
          <w:rFonts w:ascii="Book Antiqua" w:hAnsi="Book Antiqua" w:cs="Arial"/>
          <w:vertAlign w:val="superscript"/>
        </w:rPr>
        <w:t>th</w:t>
      </w:r>
      <w:r>
        <w:rPr>
          <w:rFonts w:ascii="Book Antiqua" w:hAnsi="Book Antiqua" w:cs="Arial"/>
        </w:rPr>
        <w:t xml:space="preserve"> January 2012. I find that the appellant is a citizen of Ghana</w:t>
      </w:r>
      <w:r w:rsidR="00E6627E">
        <w:rPr>
          <w:rFonts w:ascii="Book Antiqua" w:hAnsi="Book Antiqua" w:cs="Arial"/>
        </w:rPr>
        <w:t>, his having produced his valid Ghanaian passport in support of the application,</w:t>
      </w:r>
      <w:r>
        <w:rPr>
          <w:rFonts w:ascii="Book Antiqua" w:hAnsi="Book Antiqua" w:cs="Arial"/>
        </w:rPr>
        <w:t xml:space="preserve"> and therefore this requirement is met. </w:t>
      </w:r>
      <w:r w:rsidR="00116329">
        <w:rPr>
          <w:rFonts w:ascii="Book Antiqua" w:hAnsi="Book Antiqua" w:cs="Arial"/>
        </w:rPr>
        <w:t xml:space="preserve"> </w:t>
      </w:r>
    </w:p>
    <w:p w:rsidR="00F848F0" w:rsidRPr="002B267C" w:rsidRDefault="00F848F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 do not find that a lack of evidence that Charles </w:t>
      </w:r>
      <w:proofErr w:type="spellStart"/>
      <w:r>
        <w:rPr>
          <w:rFonts w:ascii="Book Antiqua" w:hAnsi="Book Antiqua" w:cs="Arial"/>
        </w:rPr>
        <w:t>Oware</w:t>
      </w:r>
      <w:proofErr w:type="spellEnd"/>
      <w:r>
        <w:rPr>
          <w:rFonts w:ascii="Book Antiqua" w:hAnsi="Book Antiqua" w:cs="Arial"/>
        </w:rPr>
        <w:t xml:space="preserve"> and Thomas Obese Appiah</w:t>
      </w:r>
      <w:r w:rsidR="004F2A70">
        <w:rPr>
          <w:rFonts w:ascii="Book Antiqua" w:hAnsi="Book Antiqua" w:cs="Arial"/>
        </w:rPr>
        <w:t>, who stood in as proxies in the marriage ceremony,</w:t>
      </w:r>
      <w:r>
        <w:rPr>
          <w:rFonts w:ascii="Book Antiqua" w:hAnsi="Book Antiqua" w:cs="Arial"/>
        </w:rPr>
        <w:t xml:space="preserve"> are biologically related to the appellant and sponsor as brothers </w:t>
      </w:r>
      <w:r w:rsidR="004F2A70">
        <w:rPr>
          <w:rFonts w:ascii="Book Antiqua" w:hAnsi="Book Antiqua" w:cs="Arial"/>
        </w:rPr>
        <w:t xml:space="preserve">is of any significance. There is no requirement in the Ghanaian marriage law that those standing in loco parentis at the proxy marriage ceremony be biologically related in any way at all, and so the absence of this evidence is of no relevance to the validity of the documentation. I note that the register of customary marriages correctly cites the marital status of the appellant and his partner.  I am satisfied that PNDC Law 112 does not require that the statutory declaration to include the marital status of the appellant and sponsor: s.3(1) of this law simply says that the declaration must give the parties of the marriage, the place of residence of the parties at the time of marriage and </w:t>
      </w:r>
      <w:r w:rsidR="00E6627E">
        <w:rPr>
          <w:rFonts w:ascii="Book Antiqua" w:hAnsi="Book Antiqua" w:cs="Arial"/>
        </w:rPr>
        <w:t>confirm</w:t>
      </w:r>
      <w:r w:rsidR="004F2A70">
        <w:rPr>
          <w:rFonts w:ascii="Book Antiqua" w:hAnsi="Book Antiqua" w:cs="Arial"/>
        </w:rPr>
        <w:t xml:space="preserve"> that the customary law conditions have been complied with. </w:t>
      </w:r>
      <w:r w:rsidR="002B267C">
        <w:rPr>
          <w:rFonts w:ascii="Book Antiqua" w:hAnsi="Book Antiqua" w:cs="Arial"/>
        </w:rPr>
        <w:t>Further the Ghana High Commission has confirmed in a letter dated 9</w:t>
      </w:r>
      <w:r w:rsidR="002B267C" w:rsidRPr="002B267C">
        <w:rPr>
          <w:rFonts w:ascii="Book Antiqua" w:hAnsi="Book Antiqua" w:cs="Arial"/>
          <w:vertAlign w:val="superscript"/>
        </w:rPr>
        <w:t>th</w:t>
      </w:r>
      <w:r w:rsidR="002B267C">
        <w:rPr>
          <w:rFonts w:ascii="Book Antiqua" w:hAnsi="Book Antiqua" w:cs="Arial"/>
        </w:rPr>
        <w:t xml:space="preserve"> May 2017 that the documents are all genuine, and that the marriage of the appellant and sponsor is legally valid in Ghana.</w:t>
      </w:r>
    </w:p>
    <w:p w:rsidR="006260C5" w:rsidRPr="006260C5" w:rsidRDefault="002B267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In these circumstances I am satisfied</w:t>
      </w:r>
      <w:r w:rsidR="0045402C">
        <w:rPr>
          <w:rFonts w:ascii="Book Antiqua" w:hAnsi="Book Antiqua" w:cs="Arial"/>
        </w:rPr>
        <w:t xml:space="preserve"> on the balance of probabilities</w:t>
      </w:r>
      <w:r>
        <w:rPr>
          <w:rFonts w:ascii="Book Antiqua" w:hAnsi="Book Antiqua" w:cs="Arial"/>
        </w:rPr>
        <w:t xml:space="preserve"> that the appellant and sponsor are lawfully married, and that the marriage is genuine and subsisting. I am also satisfied that the sponsor is a qualified person working in the UK, and thus find that the appellant can meet the requirements of Regulation 7(1) of the 2006 EEA Regulations to be a family member, and is entitled to a residence card under Regulation 17(1)</w:t>
      </w:r>
      <w:r w:rsidR="006260C5">
        <w:rPr>
          <w:rFonts w:ascii="Book Antiqua" w:hAnsi="Book Antiqua" w:cs="Arial"/>
        </w:rPr>
        <w:t xml:space="preserve"> of the 2006 EEA Regulations</w:t>
      </w:r>
      <w:r>
        <w:rPr>
          <w:rFonts w:ascii="Book Antiqua" w:hAnsi="Book Antiqua" w:cs="Arial"/>
        </w:rPr>
        <w:t>.</w:t>
      </w:r>
      <w:r w:rsidR="006260C5">
        <w:rPr>
          <w:rFonts w:ascii="Book Antiqua" w:hAnsi="Book Antiqua" w:cs="Arial"/>
        </w:rPr>
        <w:t xml:space="preserve"> </w:t>
      </w:r>
    </w:p>
    <w:p w:rsidR="002B267C" w:rsidRPr="009B16F5" w:rsidRDefault="006260C5"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 xml:space="preserve">In these circumstances it is not strictly necessary to determine the appeal under Regulation 8(5) of the 2006 EEA Regulations, but </w:t>
      </w:r>
      <w:proofErr w:type="gramStart"/>
      <w:r>
        <w:rPr>
          <w:rFonts w:ascii="Book Antiqua" w:hAnsi="Book Antiqua" w:cs="Arial"/>
        </w:rPr>
        <w:t>in light of</w:t>
      </w:r>
      <w:proofErr w:type="gramEnd"/>
      <w:r>
        <w:rPr>
          <w:rFonts w:ascii="Book Antiqua" w:hAnsi="Book Antiqua" w:cs="Arial"/>
        </w:rPr>
        <w:t xml:space="preserve"> the evidence before me</w:t>
      </w:r>
      <w:r w:rsidR="003967C9">
        <w:rPr>
          <w:rFonts w:ascii="Book Antiqua" w:hAnsi="Book Antiqua" w:cs="Arial"/>
        </w:rPr>
        <w:t>,</w:t>
      </w:r>
      <w:r>
        <w:rPr>
          <w:rFonts w:ascii="Book Antiqua" w:hAnsi="Book Antiqua" w:cs="Arial"/>
        </w:rPr>
        <w:t xml:space="preserve"> and the agreement of Mr Bramble for the respondent</w:t>
      </w:r>
      <w:r w:rsidR="003967C9">
        <w:rPr>
          <w:rFonts w:ascii="Book Antiqua" w:hAnsi="Book Antiqua" w:cs="Arial"/>
        </w:rPr>
        <w:t>,</w:t>
      </w:r>
      <w:r>
        <w:rPr>
          <w:rFonts w:ascii="Book Antiqua" w:hAnsi="Book Antiqua" w:cs="Arial"/>
        </w:rPr>
        <w:t xml:space="preserve"> I find that the appellant has also shown on the balance of probabilities that he is the durable partner</w:t>
      </w:r>
      <w:r w:rsidR="002B267C">
        <w:rPr>
          <w:rFonts w:ascii="Book Antiqua" w:hAnsi="Book Antiqua" w:cs="Arial"/>
        </w:rPr>
        <w:t xml:space="preserve"> </w:t>
      </w:r>
      <w:r>
        <w:rPr>
          <w:rFonts w:ascii="Book Antiqua" w:hAnsi="Book Antiqua" w:cs="Arial"/>
        </w:rPr>
        <w:t xml:space="preserve">of the sponsor. </w:t>
      </w:r>
    </w:p>
    <w:p w:rsidR="00270D89" w:rsidRPr="00DE6241" w:rsidRDefault="00270D89" w:rsidP="00270D89">
      <w:pPr>
        <w:tabs>
          <w:tab w:val="left" w:pos="567"/>
        </w:tabs>
        <w:jc w:val="both"/>
        <w:rPr>
          <w:rFonts w:ascii="Book Antiqua" w:hAnsi="Book Antiqua"/>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6260C5">
        <w:rPr>
          <w:rFonts w:ascii="Book Antiqua" w:hAnsi="Book Antiqua" w:cs="Arial"/>
        </w:rPr>
        <w:t>d</w:t>
      </w:r>
      <w:r>
        <w:rPr>
          <w:rFonts w:ascii="Book Antiqua" w:hAnsi="Book Antiqua" w:cs="Arial"/>
        </w:rPr>
        <w:t xml:space="preserve"> the making of an error on a point of law.</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w:t>
      </w:r>
      <w:r w:rsidR="006260C5">
        <w:rPr>
          <w:rFonts w:ascii="Book Antiqua" w:hAnsi="Book Antiqua" w:cs="Arial"/>
        </w:rPr>
        <w:t xml:space="preserve"> </w:t>
      </w:r>
      <w:r w:rsidR="00933B65">
        <w:rPr>
          <w:rFonts w:ascii="Book Antiqua" w:hAnsi="Book Antiqua" w:cs="Arial"/>
        </w:rPr>
        <w:t xml:space="preserve">the </w:t>
      </w:r>
      <w:r>
        <w:rPr>
          <w:rFonts w:ascii="Book Antiqua" w:hAnsi="Book Antiqua" w:cs="Arial"/>
        </w:rPr>
        <w:t>decision</w:t>
      </w:r>
      <w:r w:rsidR="006260C5">
        <w:rPr>
          <w:rFonts w:ascii="Book Antiqua" w:hAnsi="Book Antiqua" w:cs="Arial"/>
        </w:rPr>
        <w:t xml:space="preserve"> of the First-tier Tribunal in its entirety. </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re-make the decision in the appeal by allowing</w:t>
      </w:r>
      <w:r w:rsidR="006260C5">
        <w:rPr>
          <w:rFonts w:ascii="Book Antiqua" w:hAnsi="Book Antiqua" w:cs="Arial"/>
        </w:rPr>
        <w:t xml:space="preserve"> it under the Immigration (EEA) Regulations 2006. </w:t>
      </w:r>
    </w:p>
    <w:p w:rsidR="00270D89" w:rsidRDefault="00270D89"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660FCD">
        <w:rPr>
          <w:rFonts w:ascii="Book Antiqua" w:hAnsi="Book Antiqua" w:cs="Arial"/>
        </w:rPr>
        <w:t>1</w:t>
      </w:r>
      <w:r w:rsidR="006260C5">
        <w:rPr>
          <w:rFonts w:ascii="Book Antiqua" w:hAnsi="Book Antiqua" w:cs="Arial"/>
        </w:rPr>
        <w:t>1</w:t>
      </w:r>
      <w:r w:rsidR="00660FCD" w:rsidRPr="00660FCD">
        <w:rPr>
          <w:rFonts w:ascii="Book Antiqua" w:hAnsi="Book Antiqua" w:cs="Arial"/>
          <w:vertAlign w:val="superscript"/>
        </w:rPr>
        <w:t>th</w:t>
      </w:r>
      <w:r w:rsidR="00660FCD">
        <w:rPr>
          <w:rFonts w:ascii="Book Antiqua" w:hAnsi="Book Antiqua" w:cs="Arial"/>
        </w:rPr>
        <w:t xml:space="preserve"> July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73780A" w:rsidRDefault="0073780A" w:rsidP="00546523">
      <w:pPr>
        <w:tabs>
          <w:tab w:val="left" w:pos="567"/>
        </w:tabs>
        <w:jc w:val="both"/>
        <w:rPr>
          <w:rFonts w:ascii="Book Antiqua" w:hAnsi="Book Antiqua" w:cs="Arial"/>
          <w:u w:val="single"/>
        </w:rPr>
      </w:pPr>
    </w:p>
    <w:p w:rsidR="0073780A" w:rsidRDefault="0073780A" w:rsidP="00546523">
      <w:pPr>
        <w:tabs>
          <w:tab w:val="left" w:pos="567"/>
        </w:tabs>
        <w:jc w:val="both"/>
        <w:rPr>
          <w:rFonts w:ascii="Book Antiqua" w:hAnsi="Book Antiqua" w:cs="Arial"/>
          <w:u w:val="single"/>
        </w:rPr>
      </w:pPr>
    </w:p>
    <w:p w:rsidR="0073780A" w:rsidRDefault="0073780A" w:rsidP="00546523">
      <w:pPr>
        <w:tabs>
          <w:tab w:val="left" w:pos="567"/>
        </w:tabs>
        <w:jc w:val="both"/>
        <w:rPr>
          <w:rFonts w:ascii="Book Antiqua" w:hAnsi="Book Antiqua" w:cs="Arial"/>
          <w:u w:val="single"/>
        </w:rPr>
      </w:pPr>
    </w:p>
    <w:p w:rsidR="00546523" w:rsidRPr="00614E94" w:rsidRDefault="00546523" w:rsidP="00546523">
      <w:pPr>
        <w:tabs>
          <w:tab w:val="left" w:pos="567"/>
        </w:tabs>
        <w:jc w:val="both"/>
        <w:rPr>
          <w:rFonts w:ascii="Book Antiqua" w:hAnsi="Book Antiqua" w:cs="Arial"/>
          <w:i/>
        </w:rPr>
      </w:pPr>
      <w:r w:rsidRPr="0073780A">
        <w:rPr>
          <w:rFonts w:ascii="Book Antiqua" w:hAnsi="Book Antiqua" w:cs="Arial"/>
          <w:b/>
          <w:u w:val="single"/>
        </w:rPr>
        <w:t>Fee Award</w:t>
      </w:r>
      <w:r w:rsidRPr="00614E94">
        <w:rPr>
          <w:rFonts w:ascii="Book Antiqua" w:hAnsi="Book Antiqua" w:cs="Arial"/>
          <w:i/>
        </w:rPr>
        <w:t xml:space="preserve"> </w:t>
      </w:r>
      <w:r>
        <w:rPr>
          <w:rFonts w:ascii="Book Antiqua" w:hAnsi="Book Antiqua" w:cs="Arial"/>
          <w:i/>
        </w:rPr>
        <w:tab/>
      </w:r>
      <w:r>
        <w:rPr>
          <w:rFonts w:ascii="Book Antiqua" w:hAnsi="Book Antiqua" w:cs="Arial"/>
          <w:i/>
        </w:rPr>
        <w:tab/>
      </w:r>
      <w:r w:rsidRPr="0057020B">
        <w:rPr>
          <w:rFonts w:ascii="Book Antiqua" w:hAnsi="Book Antiqua" w:cs="Arial"/>
        </w:rPr>
        <w:t xml:space="preserve">Note: this is </w:t>
      </w:r>
      <w:r w:rsidRPr="0057020B">
        <w:rPr>
          <w:rFonts w:ascii="Book Antiqua" w:hAnsi="Book Antiqua" w:cs="Arial"/>
          <w:b/>
        </w:rPr>
        <w:t>not</w:t>
      </w:r>
      <w:r w:rsidRPr="0057020B">
        <w:rPr>
          <w:rFonts w:ascii="Book Antiqua" w:hAnsi="Book Antiqua" w:cs="Arial"/>
        </w:rPr>
        <w:t xml:space="preserve"> part of the determination.</w:t>
      </w:r>
    </w:p>
    <w:p w:rsidR="00546523" w:rsidRDefault="00546523" w:rsidP="00546523">
      <w:pPr>
        <w:tabs>
          <w:tab w:val="left" w:pos="567"/>
        </w:tabs>
        <w:jc w:val="both"/>
        <w:rPr>
          <w:rFonts w:ascii="Book Antiqua" w:hAnsi="Book Antiqua" w:cs="Arial"/>
        </w:rPr>
      </w:pPr>
      <w:bookmarkStart w:id="0" w:name="_GoBack"/>
      <w:bookmarkEnd w:id="0"/>
    </w:p>
    <w:p w:rsidR="00546523" w:rsidRDefault="00546523" w:rsidP="00546523">
      <w:pPr>
        <w:tabs>
          <w:tab w:val="left" w:pos="567"/>
        </w:tabs>
        <w:ind w:left="567"/>
        <w:jc w:val="both"/>
        <w:rPr>
          <w:rFonts w:ascii="Book Antiqua" w:hAnsi="Book Antiqua" w:cs="Arial"/>
        </w:rPr>
      </w:pPr>
      <w:r>
        <w:rPr>
          <w:rFonts w:ascii="Book Antiqua" w:hAnsi="Book Antiqua" w:cs="Arial"/>
        </w:rPr>
        <w:t xml:space="preserve">In the light of my decision to re-make the decision in the appeal by allowing it, I have considered whether to make a fee award. </w:t>
      </w:r>
      <w:r w:rsidR="006260C5">
        <w:rPr>
          <w:rFonts w:ascii="Book Antiqua" w:hAnsi="Book Antiqua" w:cs="Arial"/>
        </w:rPr>
        <w:t>I</w:t>
      </w:r>
      <w:r>
        <w:rPr>
          <w:rFonts w:ascii="Book Antiqua" w:hAnsi="Book Antiqua" w:cs="Arial"/>
        </w:rPr>
        <w:t xml:space="preserve"> have had regard to the Joint Presidential Guidance Note: Fee Awards in Immigration Appeals. I have decided to make a whole fee award because</w:t>
      </w:r>
      <w:r w:rsidR="006260C5">
        <w:rPr>
          <w:rFonts w:ascii="Book Antiqua" w:hAnsi="Book Antiqua" w:cs="Arial"/>
        </w:rPr>
        <w:t xml:space="preserve"> the relevant documents</w:t>
      </w:r>
      <w:r w:rsidR="0045402C">
        <w:rPr>
          <w:rFonts w:ascii="Book Antiqua" w:hAnsi="Book Antiqua" w:cs="Arial"/>
        </w:rPr>
        <w:t xml:space="preserve"> showing that the marriage of the sponsor and appellant was lawful in English law</w:t>
      </w:r>
      <w:r w:rsidR="006260C5">
        <w:rPr>
          <w:rFonts w:ascii="Book Antiqua" w:hAnsi="Book Antiqua" w:cs="Arial"/>
        </w:rPr>
        <w:t xml:space="preserve"> were provided to the respondent with the application. </w:t>
      </w:r>
    </w:p>
    <w:p w:rsidR="00546523" w:rsidRDefault="00546523" w:rsidP="00933B65">
      <w:pPr>
        <w:tabs>
          <w:tab w:val="left" w:pos="567"/>
        </w:tabs>
        <w:jc w:val="both"/>
        <w:rPr>
          <w:rFonts w:ascii="Book Antiqua" w:hAnsi="Book Antiqua" w:cs="Arial"/>
        </w:rPr>
      </w:pPr>
    </w:p>
    <w:p w:rsidR="00546523" w:rsidRDefault="00546523" w:rsidP="00546523">
      <w:pPr>
        <w:tabs>
          <w:tab w:val="left" w:pos="567"/>
        </w:tabs>
        <w:jc w:val="both"/>
        <w:rPr>
          <w:rFonts w:ascii="Book Antiqua" w:hAnsi="Book Antiqua" w:cs="Arial"/>
        </w:rPr>
      </w:pPr>
      <w:r>
        <w:rPr>
          <w:rFonts w:ascii="Book Antiqua" w:hAnsi="Book Antiqua" w:cs="Arial"/>
        </w:rPr>
        <w:t xml:space="preserve">Signed: </w:t>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6260C5">
        <w:rPr>
          <w:rFonts w:ascii="Book Antiqua" w:hAnsi="Book Antiqua" w:cs="Arial"/>
        </w:rPr>
        <w:t>11</w:t>
      </w:r>
      <w:r w:rsidR="006260C5" w:rsidRPr="006260C5">
        <w:rPr>
          <w:rFonts w:ascii="Book Antiqua" w:hAnsi="Book Antiqua" w:cs="Arial"/>
          <w:vertAlign w:val="superscript"/>
        </w:rPr>
        <w:t>th</w:t>
      </w:r>
      <w:r w:rsidR="006260C5">
        <w:rPr>
          <w:rFonts w:ascii="Book Antiqua" w:hAnsi="Book Antiqua" w:cs="Arial"/>
        </w:rPr>
        <w:t xml:space="preserve"> July 2018</w:t>
      </w:r>
    </w:p>
    <w:p w:rsidR="00933B65" w:rsidRDefault="00546523" w:rsidP="00676D3F">
      <w:pPr>
        <w:tabs>
          <w:tab w:val="left" w:pos="567"/>
        </w:tabs>
        <w:jc w:val="both"/>
        <w:rPr>
          <w:rFonts w:ascii="Book Antiqua" w:hAnsi="Book Antiqua" w:cs="Arial"/>
        </w:rPr>
      </w:pPr>
      <w:r>
        <w:rPr>
          <w:rFonts w:ascii="Book Antiqua" w:hAnsi="Book Antiqua" w:cs="Arial"/>
        </w:rPr>
        <w:t>Upper Tribunal Judge Lindsley</w:t>
      </w:r>
    </w:p>
    <w:p w:rsidR="008832E8" w:rsidRDefault="008832E8" w:rsidP="00933B65">
      <w:pPr>
        <w:tabs>
          <w:tab w:val="left" w:pos="567"/>
        </w:tabs>
        <w:ind w:left="567"/>
        <w:jc w:val="both"/>
        <w:rPr>
          <w:rFonts w:ascii="Book Antiqua" w:hAnsi="Book Antiqua" w:cs="Arial"/>
        </w:rPr>
      </w:pPr>
    </w:p>
    <w:sectPr w:rsidR="008832E8" w:rsidSect="00520D15">
      <w:headerReference w:type="default" r:id="rId9"/>
      <w:footerReference w:type="defaul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51D" w:rsidRDefault="0062551D">
      <w:r>
        <w:separator/>
      </w:r>
    </w:p>
  </w:endnote>
  <w:endnote w:type="continuationSeparator" w:id="0">
    <w:p w:rsidR="0062551D" w:rsidRDefault="0062551D">
      <w:r>
        <w:continuationSeparator/>
      </w:r>
    </w:p>
  </w:endnote>
  <w:endnote w:type="continuationNotice" w:id="1">
    <w:p w:rsidR="0062551D" w:rsidRDefault="00625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241" w:rsidRPr="00520D15" w:rsidRDefault="00DE6241" w:rsidP="00614E94">
    <w:pPr>
      <w:pStyle w:val="Footer"/>
      <w:jc w:val="center"/>
      <w:rPr>
        <w:rFonts w:ascii="Book Antiqua" w:hAnsi="Book Antiqua" w:cs="Arial"/>
      </w:rPr>
    </w:pPr>
    <w:r w:rsidRPr="00520D15">
      <w:rPr>
        <w:rStyle w:val="PageNumber"/>
        <w:rFonts w:ascii="Book Antiqua" w:hAnsi="Book Antiqua" w:cs="Arial"/>
      </w:rPr>
      <w:fldChar w:fldCharType="begin"/>
    </w:r>
    <w:r w:rsidRPr="00520D15">
      <w:rPr>
        <w:rStyle w:val="PageNumber"/>
        <w:rFonts w:ascii="Book Antiqua" w:hAnsi="Book Antiqua" w:cs="Arial"/>
      </w:rPr>
      <w:instrText xml:space="preserve"> PAGE </w:instrText>
    </w:r>
    <w:r w:rsidRPr="00520D15">
      <w:rPr>
        <w:rStyle w:val="PageNumber"/>
        <w:rFonts w:ascii="Book Antiqua" w:hAnsi="Book Antiqua" w:cs="Arial"/>
      </w:rPr>
      <w:fldChar w:fldCharType="separate"/>
    </w:r>
    <w:r w:rsidR="002E3AB1">
      <w:rPr>
        <w:rStyle w:val="PageNumber"/>
        <w:rFonts w:ascii="Book Antiqua" w:hAnsi="Book Antiqua" w:cs="Arial"/>
        <w:noProof/>
      </w:rPr>
      <w:t>5</w:t>
    </w:r>
    <w:r w:rsidRPr="00520D1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241" w:rsidRPr="00520D15" w:rsidRDefault="00DE6241" w:rsidP="00614E94">
    <w:pPr>
      <w:jc w:val="center"/>
      <w:rPr>
        <w:rFonts w:ascii="Book Antiqua" w:hAnsi="Book Antiqua" w:cs="Arial"/>
        <w:b/>
      </w:rPr>
    </w:pPr>
    <w:r w:rsidRPr="00520D15">
      <w:rPr>
        <w:rFonts w:ascii="Book Antiqua" w:hAnsi="Book Antiqua" w:cs="Arial"/>
        <w:b/>
        <w:spacing w:val="-6"/>
      </w:rPr>
      <w:t>©</w:t>
    </w:r>
    <w:r w:rsidRPr="00520D1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51D" w:rsidRDefault="0062551D">
      <w:r>
        <w:separator/>
      </w:r>
    </w:p>
  </w:footnote>
  <w:footnote w:type="continuationSeparator" w:id="0">
    <w:p w:rsidR="0062551D" w:rsidRDefault="0062551D">
      <w:r>
        <w:continuationSeparator/>
      </w:r>
    </w:p>
  </w:footnote>
  <w:footnote w:type="continuationNotice" w:id="1">
    <w:p w:rsidR="0062551D" w:rsidRDefault="006255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241" w:rsidRDefault="00DE6241" w:rsidP="00614E94">
    <w:pPr>
      <w:pStyle w:val="Header"/>
      <w:jc w:val="right"/>
      <w:rPr>
        <w:rFonts w:ascii="Book Antiqua" w:hAnsi="Book Antiqua" w:cs="Arial"/>
        <w:sz w:val="16"/>
        <w:szCs w:val="16"/>
      </w:rPr>
    </w:pPr>
    <w:r w:rsidRPr="00520D15">
      <w:rPr>
        <w:rFonts w:ascii="Book Antiqua" w:hAnsi="Book Antiqua" w:cs="Arial"/>
        <w:sz w:val="16"/>
        <w:szCs w:val="16"/>
      </w:rPr>
      <w:t>Appeal Number: EA/14024/2016</w:t>
    </w:r>
  </w:p>
  <w:p w:rsidR="00520D15" w:rsidRPr="00520D15" w:rsidRDefault="00520D15"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3F75"/>
    <w:rsid w:val="00027238"/>
    <w:rsid w:val="00061C66"/>
    <w:rsid w:val="00073814"/>
    <w:rsid w:val="00081ABF"/>
    <w:rsid w:val="000E3025"/>
    <w:rsid w:val="00116329"/>
    <w:rsid w:val="001F5280"/>
    <w:rsid w:val="002231F1"/>
    <w:rsid w:val="00266FFE"/>
    <w:rsid w:val="00270D89"/>
    <w:rsid w:val="00282753"/>
    <w:rsid w:val="00284315"/>
    <w:rsid w:val="002B24F0"/>
    <w:rsid w:val="002B267C"/>
    <w:rsid w:val="002B4AEE"/>
    <w:rsid w:val="002E3AB1"/>
    <w:rsid w:val="00306EE9"/>
    <w:rsid w:val="00373A35"/>
    <w:rsid w:val="003967C9"/>
    <w:rsid w:val="003B5957"/>
    <w:rsid w:val="003F0441"/>
    <w:rsid w:val="004171D0"/>
    <w:rsid w:val="004229FB"/>
    <w:rsid w:val="0045402C"/>
    <w:rsid w:val="004A012D"/>
    <w:rsid w:val="004D2DD4"/>
    <w:rsid w:val="004E3D7D"/>
    <w:rsid w:val="004F2A70"/>
    <w:rsid w:val="00520D15"/>
    <w:rsid w:val="00546523"/>
    <w:rsid w:val="0057020B"/>
    <w:rsid w:val="005E1A5B"/>
    <w:rsid w:val="00607ACC"/>
    <w:rsid w:val="00614E94"/>
    <w:rsid w:val="0062551D"/>
    <w:rsid w:val="006260C5"/>
    <w:rsid w:val="00660FCD"/>
    <w:rsid w:val="00676713"/>
    <w:rsid w:val="00676D3F"/>
    <w:rsid w:val="00683FBE"/>
    <w:rsid w:val="00685F6F"/>
    <w:rsid w:val="006A364A"/>
    <w:rsid w:val="0071702E"/>
    <w:rsid w:val="0073780A"/>
    <w:rsid w:val="00773B62"/>
    <w:rsid w:val="00787B10"/>
    <w:rsid w:val="007D6500"/>
    <w:rsid w:val="007E2AB6"/>
    <w:rsid w:val="007F36F6"/>
    <w:rsid w:val="00872AD1"/>
    <w:rsid w:val="008832E8"/>
    <w:rsid w:val="00933B65"/>
    <w:rsid w:val="009701EB"/>
    <w:rsid w:val="00980733"/>
    <w:rsid w:val="009B16F5"/>
    <w:rsid w:val="00A5499F"/>
    <w:rsid w:val="00A86A8D"/>
    <w:rsid w:val="00B15109"/>
    <w:rsid w:val="00B65D72"/>
    <w:rsid w:val="00B95EBA"/>
    <w:rsid w:val="00BA26FE"/>
    <w:rsid w:val="00C30DB1"/>
    <w:rsid w:val="00CB4622"/>
    <w:rsid w:val="00CC4BE0"/>
    <w:rsid w:val="00D113E5"/>
    <w:rsid w:val="00D36F32"/>
    <w:rsid w:val="00D37E20"/>
    <w:rsid w:val="00DE6241"/>
    <w:rsid w:val="00E1607A"/>
    <w:rsid w:val="00E5073D"/>
    <w:rsid w:val="00E6627E"/>
    <w:rsid w:val="00EA1B8C"/>
    <w:rsid w:val="00F648C0"/>
    <w:rsid w:val="00F848F0"/>
    <w:rsid w:val="00FA0A2E"/>
    <w:rsid w:val="00FB0516"/>
    <w:rsid w:val="00FB45B8"/>
    <w:rsid w:val="00FD768B"/>
    <w:rsid w:val="00FE2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72791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30A5-C3DD-41E5-AA2E-94ADC0AD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1993</Words>
  <Characters>9877</Characters>
  <Application>Microsoft Office Word</Application>
  <DocSecurity>0</DocSecurity>
  <Lines>82</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2018-07-26T16:24:00Z</dcterms:created>
  <dcterms:modified xsi:type="dcterms:W3CDTF">2018-07-26T16:24:00Z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