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9EBD" w14:textId="77777777" w:rsidR="00D94AFC" w:rsidRPr="006B53B8" w:rsidRDefault="00E33BC3" w:rsidP="006B53B8">
      <w:pPr>
        <w:jc w:val="center"/>
        <w:rPr>
          <w:rFonts w:ascii="Book Antiqua" w:hAnsi="Book Antiqua" w:cs="Arial"/>
          <w:caps/>
          <w:color w:val="000000"/>
          <w:sz w:val="16"/>
          <w:szCs w:val="16"/>
        </w:rPr>
      </w:pPr>
      <w:r>
        <w:rPr>
          <w:noProof/>
        </w:rPr>
        <w:drawing>
          <wp:inline distT="0" distB="0" distL="0" distR="0" wp14:anchorId="097B69E0" wp14:editId="5E997098">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31875FC6" w14:textId="77777777" w:rsidR="00D94AFC" w:rsidRPr="009B7433" w:rsidRDefault="00D94AFC">
      <w:pPr>
        <w:rPr>
          <w:rFonts w:ascii="Book Antiqua" w:hAnsi="Book Antiqua" w:cs="Arial"/>
          <w:color w:val="000000"/>
        </w:rPr>
      </w:pPr>
    </w:p>
    <w:p w14:paraId="317201BA"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DB90B64"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E33BC3">
        <w:rPr>
          <w:rFonts w:ascii="Book Antiqua" w:hAnsi="Book Antiqua" w:cs="Arial"/>
          <w:caps/>
          <w:color w:val="000000"/>
        </w:rPr>
        <w:t>ea/</w:t>
      </w:r>
      <w:r w:rsidR="00A748B7">
        <w:rPr>
          <w:rFonts w:ascii="Book Antiqua" w:hAnsi="Book Antiqua" w:cs="Arial"/>
          <w:caps/>
          <w:color w:val="000000"/>
        </w:rPr>
        <w:t>14378</w:t>
      </w:r>
      <w:r w:rsidR="00E33BC3">
        <w:rPr>
          <w:rFonts w:ascii="Book Antiqua" w:hAnsi="Book Antiqua" w:cs="Arial"/>
          <w:caps/>
          <w:color w:val="000000"/>
        </w:rPr>
        <w:t>/201</w:t>
      </w:r>
      <w:r w:rsidR="00A748B7">
        <w:rPr>
          <w:rFonts w:ascii="Book Antiqua" w:hAnsi="Book Antiqua" w:cs="Arial"/>
          <w:caps/>
          <w:color w:val="000000"/>
        </w:rPr>
        <w:t>6</w:t>
      </w:r>
    </w:p>
    <w:p w14:paraId="3EF6FED4" w14:textId="77777777" w:rsidR="00C345E1" w:rsidRPr="009B7433" w:rsidRDefault="00C345E1" w:rsidP="00C345E1">
      <w:pPr>
        <w:jc w:val="center"/>
        <w:rPr>
          <w:rFonts w:ascii="Book Antiqua" w:hAnsi="Book Antiqua" w:cs="Arial"/>
          <w:color w:val="000000"/>
        </w:rPr>
      </w:pPr>
    </w:p>
    <w:p w14:paraId="249ADC77" w14:textId="77777777" w:rsidR="00C345E1" w:rsidRPr="009B7433" w:rsidRDefault="00C345E1" w:rsidP="00C345E1">
      <w:pPr>
        <w:jc w:val="center"/>
        <w:rPr>
          <w:rFonts w:ascii="Book Antiqua" w:hAnsi="Book Antiqua" w:cs="Arial"/>
          <w:color w:val="000000"/>
        </w:rPr>
      </w:pPr>
    </w:p>
    <w:p w14:paraId="640885B7"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5FE9812" w14:textId="77777777" w:rsidR="00C345E1" w:rsidRDefault="00C345E1" w:rsidP="00C345E1">
      <w:pPr>
        <w:jc w:val="center"/>
        <w:rPr>
          <w:rFonts w:ascii="Book Antiqua" w:hAnsi="Book Antiqua" w:cs="Arial"/>
          <w:b/>
          <w:u w:val="single"/>
        </w:rPr>
      </w:pPr>
    </w:p>
    <w:p w14:paraId="031CB52C" w14:textId="77777777" w:rsidR="00CF2E7B" w:rsidRPr="009B7433" w:rsidRDefault="00CF2E7B"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998576A" w14:textId="77777777" w:rsidTr="00D949B7">
        <w:tc>
          <w:tcPr>
            <w:tcW w:w="6048" w:type="dxa"/>
          </w:tcPr>
          <w:p w14:paraId="7F5F0929"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A748B7">
              <w:rPr>
                <w:rFonts w:ascii="Book Antiqua" w:hAnsi="Book Antiqua" w:cs="Arial"/>
                <w:b/>
              </w:rPr>
              <w:t>Bradford</w:t>
            </w:r>
          </w:p>
        </w:tc>
        <w:tc>
          <w:tcPr>
            <w:tcW w:w="3960" w:type="dxa"/>
          </w:tcPr>
          <w:p w14:paraId="7BEF623A"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78388EB4" w14:textId="77777777" w:rsidTr="00D949B7">
        <w:tc>
          <w:tcPr>
            <w:tcW w:w="6048" w:type="dxa"/>
          </w:tcPr>
          <w:p w14:paraId="545E393A"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F54D0">
              <w:rPr>
                <w:rFonts w:ascii="Book Antiqua" w:hAnsi="Book Antiqua" w:cs="Arial"/>
                <w:b/>
              </w:rPr>
              <w:t>20 September</w:t>
            </w:r>
            <w:r w:rsidR="00E33BC3">
              <w:rPr>
                <w:rFonts w:ascii="Book Antiqua" w:hAnsi="Book Antiqua" w:cs="Arial"/>
                <w:b/>
              </w:rPr>
              <w:t xml:space="preserve"> 2018</w:t>
            </w:r>
          </w:p>
        </w:tc>
        <w:tc>
          <w:tcPr>
            <w:tcW w:w="3960" w:type="dxa"/>
          </w:tcPr>
          <w:p w14:paraId="3DC636FE" w14:textId="77777777" w:rsidR="00D22636" w:rsidRPr="009B7433" w:rsidRDefault="00D003EE" w:rsidP="004A1848">
            <w:pPr>
              <w:jc w:val="both"/>
              <w:rPr>
                <w:rFonts w:ascii="Book Antiqua" w:hAnsi="Book Antiqua" w:cs="Arial"/>
                <w:b/>
              </w:rPr>
            </w:pPr>
            <w:r>
              <w:rPr>
                <w:rFonts w:ascii="Palatino" w:hAnsi="Palatino" w:cs="Palatino"/>
                <w:b/>
                <w:bCs/>
                <w:color w:val="000000"/>
              </w:rPr>
              <w:t>On 24 September 2018</w:t>
            </w:r>
          </w:p>
        </w:tc>
      </w:tr>
      <w:tr w:rsidR="00D22636" w:rsidRPr="009B7433" w14:paraId="07C6DDC1" w14:textId="77777777" w:rsidTr="00D949B7">
        <w:tc>
          <w:tcPr>
            <w:tcW w:w="6048" w:type="dxa"/>
          </w:tcPr>
          <w:p w14:paraId="2CC786D4" w14:textId="77777777" w:rsidR="00D22636" w:rsidRPr="009B7433" w:rsidRDefault="00D22636" w:rsidP="004A1848">
            <w:pPr>
              <w:jc w:val="both"/>
              <w:rPr>
                <w:rFonts w:ascii="Book Antiqua" w:hAnsi="Book Antiqua" w:cs="Arial"/>
                <w:b/>
              </w:rPr>
            </w:pPr>
          </w:p>
        </w:tc>
        <w:tc>
          <w:tcPr>
            <w:tcW w:w="3960" w:type="dxa"/>
          </w:tcPr>
          <w:p w14:paraId="7D8C3B2B" w14:textId="77777777" w:rsidR="00D22636" w:rsidRPr="009B7433" w:rsidRDefault="00D22636" w:rsidP="004A1848">
            <w:pPr>
              <w:jc w:val="both"/>
              <w:rPr>
                <w:rFonts w:ascii="Book Antiqua" w:hAnsi="Book Antiqua" w:cs="Arial"/>
                <w:b/>
              </w:rPr>
            </w:pPr>
          </w:p>
        </w:tc>
      </w:tr>
    </w:tbl>
    <w:p w14:paraId="7335F5C6" w14:textId="77777777" w:rsidR="005723BB" w:rsidRPr="009B7433" w:rsidRDefault="005723BB" w:rsidP="00A477ED">
      <w:pPr>
        <w:rPr>
          <w:rFonts w:ascii="Book Antiqua" w:hAnsi="Book Antiqua" w:cs="Arial"/>
        </w:rPr>
      </w:pPr>
    </w:p>
    <w:p w14:paraId="7822A3C3"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63F17356" w14:textId="77777777" w:rsidR="00C23DFC" w:rsidRPr="001C5703" w:rsidRDefault="00C23DFC" w:rsidP="00A477ED">
      <w:pPr>
        <w:rPr>
          <w:rFonts w:ascii="Book Antiqua" w:hAnsi="Book Antiqua" w:cs="Arial"/>
          <w:b/>
          <w:color w:val="000000"/>
        </w:rPr>
      </w:pPr>
    </w:p>
    <w:p w14:paraId="40E2A20E" w14:textId="77777777" w:rsidR="001B186A" w:rsidRPr="009B7433" w:rsidRDefault="00E33BC3" w:rsidP="00A15234">
      <w:pPr>
        <w:jc w:val="center"/>
        <w:rPr>
          <w:rFonts w:ascii="Book Antiqua" w:hAnsi="Book Antiqua" w:cs="Arial"/>
          <w:b/>
          <w:color w:val="000000"/>
        </w:rPr>
      </w:pPr>
      <w:r>
        <w:rPr>
          <w:rFonts w:ascii="Book Antiqua" w:hAnsi="Book Antiqua" w:cs="Arial"/>
          <w:b/>
          <w:color w:val="000000"/>
        </w:rPr>
        <w:t>UPPER TRIBUNAL JUDGE PLIMMER</w:t>
      </w:r>
    </w:p>
    <w:p w14:paraId="516FB792" w14:textId="77777777" w:rsidR="001B186A" w:rsidRPr="009B7433" w:rsidRDefault="001B186A" w:rsidP="00A15234">
      <w:pPr>
        <w:jc w:val="center"/>
        <w:rPr>
          <w:rFonts w:ascii="Book Antiqua" w:hAnsi="Book Antiqua" w:cs="Arial"/>
          <w:b/>
          <w:color w:val="000000"/>
        </w:rPr>
      </w:pPr>
    </w:p>
    <w:p w14:paraId="45E236A1"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256891F" w14:textId="77777777" w:rsidR="00A845DC" w:rsidRPr="009B7433" w:rsidRDefault="00A845DC" w:rsidP="00A15234">
      <w:pPr>
        <w:jc w:val="center"/>
        <w:rPr>
          <w:rFonts w:ascii="Book Antiqua" w:hAnsi="Book Antiqua" w:cs="Arial"/>
          <w:b/>
        </w:rPr>
      </w:pPr>
    </w:p>
    <w:p w14:paraId="1CD71A71" w14:textId="77777777" w:rsidR="00704B61" w:rsidRPr="009B7433" w:rsidRDefault="00EA5BBD">
      <w:pPr>
        <w:jc w:val="center"/>
        <w:rPr>
          <w:rFonts w:ascii="Book Antiqua" w:hAnsi="Book Antiqua" w:cs="Arial"/>
          <w:b/>
        </w:rPr>
      </w:pPr>
      <w:r>
        <w:rPr>
          <w:rFonts w:ascii="Book Antiqua" w:hAnsi="Book Antiqua" w:cs="Arial"/>
          <w:b/>
          <w:caps/>
        </w:rPr>
        <w:t xml:space="preserve">CLIFFORD QUADOO </w:t>
      </w:r>
    </w:p>
    <w:p w14:paraId="031E3307"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38983C14"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345AF5F" w14:textId="77777777" w:rsidR="00DD5071" w:rsidRPr="009B7433" w:rsidRDefault="00DD5071" w:rsidP="00704B61">
      <w:pPr>
        <w:jc w:val="center"/>
        <w:rPr>
          <w:rFonts w:ascii="Book Antiqua" w:hAnsi="Book Antiqua" w:cs="Arial"/>
          <w:b/>
        </w:rPr>
      </w:pPr>
    </w:p>
    <w:p w14:paraId="6365B3C4" w14:textId="77777777" w:rsidR="00DD5071" w:rsidRPr="009B7433" w:rsidRDefault="00DD507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14:paraId="4FAE4164"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B0F7556" w14:textId="77777777" w:rsidR="005723BB" w:rsidRDefault="005723BB" w:rsidP="00DD5071">
      <w:pPr>
        <w:rPr>
          <w:rFonts w:ascii="Book Antiqua" w:hAnsi="Book Antiqua" w:cs="Arial"/>
          <w:b/>
          <w:u w:val="single"/>
        </w:rPr>
      </w:pPr>
    </w:p>
    <w:p w14:paraId="4B15668B"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F0BB78B" w14:textId="77777777" w:rsidR="00DE7DB7" w:rsidRPr="009B7433" w:rsidRDefault="00DE7DB7" w:rsidP="00A477ED">
      <w:pPr>
        <w:tabs>
          <w:tab w:val="left" w:pos="2520"/>
        </w:tabs>
        <w:ind w:left="2520" w:hanging="2520"/>
        <w:rPr>
          <w:rFonts w:ascii="Book Antiqua" w:hAnsi="Book Antiqua" w:cs="Arial"/>
        </w:rPr>
      </w:pPr>
      <w:r w:rsidRPr="009B7433">
        <w:rPr>
          <w:rFonts w:ascii="Book Antiqua" w:hAnsi="Book Antiqua" w:cs="Arial"/>
        </w:rPr>
        <w:t xml:space="preserve">For the </w:t>
      </w:r>
      <w:r w:rsidR="00A748B7">
        <w:rPr>
          <w:rFonts w:ascii="Book Antiqua" w:hAnsi="Book Antiqua" w:cs="Arial"/>
        </w:rPr>
        <w:t>a</w:t>
      </w:r>
      <w:r w:rsidRPr="009B7433">
        <w:rPr>
          <w:rFonts w:ascii="Book Antiqua" w:hAnsi="Book Antiqua" w:cs="Arial"/>
        </w:rPr>
        <w:t>ppellant:</w:t>
      </w:r>
      <w:r w:rsidRPr="009B7433">
        <w:rPr>
          <w:rFonts w:ascii="Book Antiqua" w:hAnsi="Book Antiqua" w:cs="Arial"/>
        </w:rPr>
        <w:tab/>
      </w:r>
      <w:r w:rsidR="00E33BC3">
        <w:rPr>
          <w:rFonts w:ascii="Book Antiqua" w:hAnsi="Book Antiqua" w:cs="Arial"/>
        </w:rPr>
        <w:t>M</w:t>
      </w:r>
      <w:r w:rsidR="001F54D0">
        <w:rPr>
          <w:rFonts w:ascii="Book Antiqua" w:hAnsi="Book Antiqua" w:cs="Arial"/>
        </w:rPr>
        <w:t>r Medley-</w:t>
      </w:r>
      <w:r w:rsidR="00C152F7">
        <w:rPr>
          <w:rFonts w:ascii="Book Antiqua" w:hAnsi="Book Antiqua" w:cs="Arial"/>
        </w:rPr>
        <w:t xml:space="preserve">Daley, </w:t>
      </w:r>
      <w:r w:rsidR="00700C49">
        <w:rPr>
          <w:rFonts w:ascii="Book Antiqua" w:hAnsi="Book Antiqua" w:cs="Arial"/>
        </w:rPr>
        <w:t xml:space="preserve">Solicitor instructed </w:t>
      </w:r>
      <w:r w:rsidR="001F54D0">
        <w:rPr>
          <w:rFonts w:ascii="Book Antiqua" w:hAnsi="Book Antiqua" w:cs="Arial"/>
        </w:rPr>
        <w:t>by Immigration L</w:t>
      </w:r>
      <w:r w:rsidR="00700C49">
        <w:rPr>
          <w:rFonts w:ascii="Book Antiqua" w:hAnsi="Book Antiqua" w:cs="Arial"/>
        </w:rPr>
        <w:t>egal Advice Centre</w:t>
      </w:r>
    </w:p>
    <w:p w14:paraId="4F8D0931"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A748B7">
        <w:rPr>
          <w:rFonts w:ascii="Book Antiqua" w:hAnsi="Book Antiqua" w:cs="Arial"/>
        </w:rPr>
        <w:t>r</w:t>
      </w:r>
      <w:r w:rsidRPr="009B7433">
        <w:rPr>
          <w:rFonts w:ascii="Book Antiqua" w:hAnsi="Book Antiqua" w:cs="Arial"/>
        </w:rPr>
        <w:t>espondent:</w:t>
      </w:r>
      <w:r w:rsidRPr="009B7433">
        <w:rPr>
          <w:rFonts w:ascii="Book Antiqua" w:hAnsi="Book Antiqua" w:cs="Arial"/>
        </w:rPr>
        <w:tab/>
      </w:r>
      <w:r w:rsidR="00E33BC3">
        <w:rPr>
          <w:rFonts w:ascii="Book Antiqua" w:hAnsi="Book Antiqua" w:cs="Arial"/>
        </w:rPr>
        <w:t>M</w:t>
      </w:r>
      <w:r w:rsidR="00700C49">
        <w:rPr>
          <w:rFonts w:ascii="Book Antiqua" w:hAnsi="Book Antiqua" w:cs="Arial"/>
        </w:rPr>
        <w:t>r Diwnycz</w:t>
      </w:r>
      <w:r w:rsidR="00E33BC3">
        <w:rPr>
          <w:rFonts w:ascii="Book Antiqua" w:hAnsi="Book Antiqua" w:cs="Arial"/>
        </w:rPr>
        <w:t xml:space="preserve">, Senior Home Office Presenting Officer </w:t>
      </w:r>
    </w:p>
    <w:p w14:paraId="70A67164" w14:textId="77777777" w:rsidR="00DE7DB7" w:rsidRPr="009B7433" w:rsidRDefault="00DE7DB7" w:rsidP="00A477ED">
      <w:pPr>
        <w:rPr>
          <w:rFonts w:ascii="Book Antiqua" w:hAnsi="Book Antiqua" w:cs="Arial"/>
        </w:rPr>
      </w:pPr>
    </w:p>
    <w:p w14:paraId="3C590C4E"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F39D34B" w14:textId="77777777" w:rsidR="00E33BC3" w:rsidRPr="00E33BC3" w:rsidRDefault="00E33BC3" w:rsidP="00E33BC3">
      <w:pPr>
        <w:spacing w:before="240"/>
        <w:jc w:val="both"/>
        <w:rPr>
          <w:rFonts w:ascii="Book Antiqua" w:hAnsi="Book Antiqua" w:cs="Arial"/>
          <w:b/>
          <w:u w:val="single"/>
        </w:rPr>
      </w:pPr>
      <w:r>
        <w:rPr>
          <w:rFonts w:ascii="Book Antiqua" w:hAnsi="Book Antiqua" w:cs="Arial"/>
          <w:b/>
          <w:u w:val="single"/>
        </w:rPr>
        <w:t>Introduction</w:t>
      </w:r>
    </w:p>
    <w:p w14:paraId="286BBE9D" w14:textId="77777777" w:rsidR="00591E8A" w:rsidRDefault="00E33BC3" w:rsidP="00A477ED">
      <w:pPr>
        <w:numPr>
          <w:ilvl w:val="0"/>
          <w:numId w:val="1"/>
        </w:numPr>
        <w:tabs>
          <w:tab w:val="clear" w:pos="567"/>
        </w:tabs>
        <w:spacing w:before="240"/>
        <w:jc w:val="both"/>
        <w:rPr>
          <w:rFonts w:ascii="Book Antiqua" w:hAnsi="Book Antiqua" w:cs="Arial"/>
        </w:rPr>
      </w:pPr>
      <w:r w:rsidRPr="0029725D">
        <w:rPr>
          <w:rFonts w:ascii="Book Antiqua" w:hAnsi="Book Antiqua" w:cs="Arial"/>
        </w:rPr>
        <w:t xml:space="preserve">The appellant is a citizen of </w:t>
      </w:r>
      <w:r w:rsidR="00A748B7">
        <w:rPr>
          <w:rFonts w:ascii="Book Antiqua" w:hAnsi="Book Antiqua" w:cs="Arial"/>
        </w:rPr>
        <w:t>Ghan</w:t>
      </w:r>
      <w:r w:rsidRPr="0029725D">
        <w:rPr>
          <w:rFonts w:ascii="Book Antiqua" w:hAnsi="Book Antiqua" w:cs="Arial"/>
        </w:rPr>
        <w:t xml:space="preserve">a who was born </w:t>
      </w:r>
      <w:r w:rsidR="00A748B7">
        <w:rPr>
          <w:rFonts w:ascii="Book Antiqua" w:hAnsi="Book Antiqua" w:cs="Arial"/>
        </w:rPr>
        <w:t>in 1986 and is now 32 years old</w:t>
      </w:r>
      <w:r w:rsidR="008366A6" w:rsidRPr="0029725D">
        <w:rPr>
          <w:rFonts w:ascii="Book Antiqua" w:hAnsi="Book Antiqua" w:cs="Arial"/>
        </w:rPr>
        <w:t>.</w:t>
      </w:r>
      <w:r w:rsidR="0029725D">
        <w:rPr>
          <w:rFonts w:ascii="Book Antiqua" w:hAnsi="Book Antiqua" w:cs="Arial"/>
        </w:rPr>
        <w:t xml:space="preserve">  </w:t>
      </w:r>
      <w:r w:rsidR="008366A6" w:rsidRPr="0029725D">
        <w:rPr>
          <w:rFonts w:ascii="Book Antiqua" w:hAnsi="Book Antiqua" w:cs="Arial"/>
        </w:rPr>
        <w:t xml:space="preserve">On </w:t>
      </w:r>
      <w:r w:rsidR="00A748B7">
        <w:rPr>
          <w:rFonts w:ascii="Book Antiqua" w:hAnsi="Book Antiqua" w:cs="Arial"/>
        </w:rPr>
        <w:t>7</w:t>
      </w:r>
      <w:r w:rsidR="008366A6" w:rsidRPr="0029725D">
        <w:rPr>
          <w:rFonts w:ascii="Book Antiqua" w:hAnsi="Book Antiqua" w:cs="Arial"/>
        </w:rPr>
        <w:t xml:space="preserve"> December 2016, </w:t>
      </w:r>
      <w:r w:rsidR="00A748B7">
        <w:rPr>
          <w:rFonts w:ascii="Book Antiqua" w:hAnsi="Book Antiqua" w:cs="Arial"/>
        </w:rPr>
        <w:t xml:space="preserve">the respondent refused to grant him permanent residence pursuant to </w:t>
      </w:r>
      <w:r w:rsidR="008366A6" w:rsidRPr="0029725D">
        <w:rPr>
          <w:rFonts w:ascii="Book Antiqua" w:hAnsi="Book Antiqua" w:cs="Arial"/>
        </w:rPr>
        <w:t>the Immigration (EEA) Regulations 20</w:t>
      </w:r>
      <w:r w:rsidR="001F54D0">
        <w:rPr>
          <w:rFonts w:ascii="Book Antiqua" w:hAnsi="Book Antiqua" w:cs="Arial"/>
        </w:rPr>
        <w:t>0</w:t>
      </w:r>
      <w:r w:rsidR="008366A6" w:rsidRPr="0029725D">
        <w:rPr>
          <w:rFonts w:ascii="Book Antiqua" w:hAnsi="Book Antiqua" w:cs="Arial"/>
        </w:rPr>
        <w:t>6</w:t>
      </w:r>
      <w:r w:rsidR="00591E8A" w:rsidRPr="0029725D">
        <w:rPr>
          <w:rFonts w:ascii="Book Antiqua" w:hAnsi="Book Antiqua" w:cs="Arial"/>
        </w:rPr>
        <w:t xml:space="preserve"> (</w:t>
      </w:r>
      <w:r w:rsidR="00A748B7">
        <w:rPr>
          <w:rFonts w:ascii="Book Antiqua" w:hAnsi="Book Antiqua" w:cs="Arial"/>
        </w:rPr>
        <w:t>‘</w:t>
      </w:r>
      <w:r w:rsidR="00591E8A" w:rsidRPr="0029725D">
        <w:rPr>
          <w:rFonts w:ascii="Book Antiqua" w:hAnsi="Book Antiqua" w:cs="Arial"/>
        </w:rPr>
        <w:t xml:space="preserve">the </w:t>
      </w:r>
      <w:r w:rsidR="00A748B7">
        <w:rPr>
          <w:rFonts w:ascii="Book Antiqua" w:hAnsi="Book Antiqua" w:cs="Arial"/>
        </w:rPr>
        <w:t>20</w:t>
      </w:r>
      <w:r w:rsidR="001F54D0">
        <w:rPr>
          <w:rFonts w:ascii="Book Antiqua" w:hAnsi="Book Antiqua" w:cs="Arial"/>
        </w:rPr>
        <w:t>0</w:t>
      </w:r>
      <w:r w:rsidR="00A748B7">
        <w:rPr>
          <w:rFonts w:ascii="Book Antiqua" w:hAnsi="Book Antiqua" w:cs="Arial"/>
        </w:rPr>
        <w:t xml:space="preserve">6 </w:t>
      </w:r>
      <w:r w:rsidR="00591E8A" w:rsidRPr="0029725D">
        <w:rPr>
          <w:rFonts w:ascii="Book Antiqua" w:hAnsi="Book Antiqua" w:cs="Arial"/>
        </w:rPr>
        <w:t>Reg</w:t>
      </w:r>
      <w:r w:rsidR="00A748B7">
        <w:rPr>
          <w:rFonts w:ascii="Book Antiqua" w:hAnsi="Book Antiqua" w:cs="Arial"/>
        </w:rPr>
        <w:t>s’).</w:t>
      </w:r>
      <w:r w:rsidR="00591E8A" w:rsidRPr="0029725D">
        <w:rPr>
          <w:rFonts w:ascii="Book Antiqua" w:hAnsi="Book Antiqua" w:cs="Arial"/>
        </w:rPr>
        <w:t xml:space="preserve">  The basis of th</w:t>
      </w:r>
      <w:r w:rsidR="00A748B7">
        <w:rPr>
          <w:rFonts w:ascii="Book Antiqua" w:hAnsi="Book Antiqua" w:cs="Arial"/>
        </w:rPr>
        <w:t>e appellant’s claim</w:t>
      </w:r>
      <w:r w:rsidR="00591E8A" w:rsidRPr="0029725D">
        <w:rPr>
          <w:rFonts w:ascii="Book Antiqua" w:hAnsi="Book Antiqua" w:cs="Arial"/>
        </w:rPr>
        <w:t xml:space="preserve"> was that </w:t>
      </w:r>
      <w:r w:rsidR="00A748B7">
        <w:rPr>
          <w:rFonts w:ascii="Book Antiqua" w:hAnsi="Book Antiqua" w:cs="Arial"/>
        </w:rPr>
        <w:t xml:space="preserve">at all material times he was dependent upon his father (‘the sponsor’), </w:t>
      </w:r>
      <w:r w:rsidR="0065403E">
        <w:rPr>
          <w:rFonts w:ascii="Book Antiqua" w:hAnsi="Book Antiqua" w:cs="Arial"/>
        </w:rPr>
        <w:t xml:space="preserve">a direct family member and </w:t>
      </w:r>
      <w:r w:rsidR="00A748B7">
        <w:rPr>
          <w:rFonts w:ascii="Book Antiqua" w:hAnsi="Book Antiqua" w:cs="Arial"/>
        </w:rPr>
        <w:t>an EEA Citizen residing in the UK for the purposes of regulation</w:t>
      </w:r>
      <w:r w:rsidR="001F54D0">
        <w:rPr>
          <w:rFonts w:ascii="Book Antiqua" w:hAnsi="Book Antiqua" w:cs="Arial"/>
        </w:rPr>
        <w:t xml:space="preserve"> 7</w:t>
      </w:r>
      <w:r w:rsidR="00A748B7">
        <w:rPr>
          <w:rFonts w:ascii="Book Antiqua" w:hAnsi="Book Antiqua" w:cs="Arial"/>
        </w:rPr>
        <w:t>.  The respondent was not satisfied that there was sufficient evidence of dependency particularly in light of the appellant’s net income from employment of £1500 per month.</w:t>
      </w:r>
      <w:r w:rsidR="00591E8A">
        <w:rPr>
          <w:rFonts w:ascii="Book Antiqua" w:hAnsi="Book Antiqua" w:cs="Arial"/>
        </w:rPr>
        <w:t xml:space="preserve">  </w:t>
      </w:r>
    </w:p>
    <w:p w14:paraId="487C42C2" w14:textId="77777777" w:rsidR="00591E8A" w:rsidRPr="00591E8A" w:rsidRDefault="00591E8A" w:rsidP="00591E8A">
      <w:pPr>
        <w:spacing w:before="240"/>
        <w:jc w:val="both"/>
        <w:rPr>
          <w:rFonts w:ascii="Book Antiqua" w:hAnsi="Book Antiqua" w:cs="Arial"/>
          <w:b/>
          <w:u w:val="single"/>
        </w:rPr>
      </w:pPr>
      <w:r w:rsidRPr="00591E8A">
        <w:rPr>
          <w:rFonts w:ascii="Book Antiqua" w:hAnsi="Book Antiqua" w:cs="Arial"/>
          <w:b/>
          <w:u w:val="single"/>
        </w:rPr>
        <w:lastRenderedPageBreak/>
        <w:t xml:space="preserve">The </w:t>
      </w:r>
      <w:r w:rsidR="000E5D77">
        <w:rPr>
          <w:rFonts w:ascii="Book Antiqua" w:hAnsi="Book Antiqua" w:cs="Arial"/>
          <w:b/>
          <w:u w:val="single"/>
        </w:rPr>
        <w:t>a</w:t>
      </w:r>
      <w:r w:rsidRPr="00591E8A">
        <w:rPr>
          <w:rFonts w:ascii="Book Antiqua" w:hAnsi="Book Antiqua" w:cs="Arial"/>
          <w:b/>
          <w:u w:val="single"/>
        </w:rPr>
        <w:t xml:space="preserve">ppeal to the First-tier Tribunal </w:t>
      </w:r>
    </w:p>
    <w:p w14:paraId="6219EF61" w14:textId="77777777" w:rsidR="007A60F6" w:rsidRDefault="00591E8A" w:rsidP="00A477ED">
      <w:pPr>
        <w:numPr>
          <w:ilvl w:val="0"/>
          <w:numId w:val="1"/>
        </w:numPr>
        <w:tabs>
          <w:tab w:val="clear" w:pos="567"/>
        </w:tabs>
        <w:spacing w:before="240"/>
        <w:jc w:val="both"/>
        <w:rPr>
          <w:rFonts w:ascii="Book Antiqua" w:hAnsi="Book Antiqua" w:cs="Arial"/>
        </w:rPr>
      </w:pPr>
      <w:r>
        <w:rPr>
          <w:rFonts w:ascii="Book Antiqua" w:hAnsi="Book Antiqua" w:cs="Arial"/>
        </w:rPr>
        <w:t>The appellant appealed to the First-tier Tribunal</w:t>
      </w:r>
      <w:r w:rsidR="00A748B7">
        <w:rPr>
          <w:rFonts w:ascii="Book Antiqua" w:hAnsi="Book Antiqua" w:cs="Arial"/>
        </w:rPr>
        <w:t xml:space="preserve"> (‘FT</w:t>
      </w:r>
      <w:r w:rsidR="00082998">
        <w:rPr>
          <w:rFonts w:ascii="Book Antiqua" w:hAnsi="Book Antiqua" w:cs="Arial"/>
        </w:rPr>
        <w:t>T’)</w:t>
      </w:r>
      <w:r>
        <w:rPr>
          <w:rFonts w:ascii="Book Antiqua" w:hAnsi="Book Antiqua" w:cs="Arial"/>
        </w:rPr>
        <w:t xml:space="preserve">.  Judge </w:t>
      </w:r>
      <w:r w:rsidR="00A748B7">
        <w:rPr>
          <w:rFonts w:ascii="Book Antiqua" w:hAnsi="Book Antiqua" w:cs="Arial"/>
        </w:rPr>
        <w:t>Ince</w:t>
      </w:r>
      <w:r>
        <w:rPr>
          <w:rFonts w:ascii="Book Antiqua" w:hAnsi="Book Antiqua" w:cs="Arial"/>
        </w:rPr>
        <w:t xml:space="preserve"> dismissed the appellant’s appeal</w:t>
      </w:r>
      <w:r w:rsidR="001F54D0">
        <w:rPr>
          <w:rFonts w:ascii="Book Antiqua" w:hAnsi="Book Antiqua" w:cs="Arial"/>
        </w:rPr>
        <w:t xml:space="preserve"> in a decision dated 23 January 2018</w:t>
      </w:r>
      <w:r>
        <w:rPr>
          <w:rFonts w:ascii="Book Antiqua" w:hAnsi="Book Antiqua" w:cs="Arial"/>
        </w:rPr>
        <w:t xml:space="preserve">.  He accepted that the appellant </w:t>
      </w:r>
      <w:r w:rsidR="00A748B7">
        <w:rPr>
          <w:rFonts w:ascii="Book Antiqua" w:hAnsi="Book Antiqua" w:cs="Arial"/>
        </w:rPr>
        <w:t>and sponsor provided credible evidence.  He therefore accepted that the appellant earned more than the sponsor but had been living in his household at all material times and the sponsor paid all household bills includ</w:t>
      </w:r>
      <w:r w:rsidR="002F3968">
        <w:rPr>
          <w:rFonts w:ascii="Book Antiqua" w:hAnsi="Book Antiqua" w:cs="Arial"/>
        </w:rPr>
        <w:t>ing rent, Council tax and utilities.</w:t>
      </w:r>
    </w:p>
    <w:p w14:paraId="18015374" w14:textId="77777777" w:rsidR="00591E8A" w:rsidRPr="007A60F6" w:rsidRDefault="002F3968" w:rsidP="00A477ED">
      <w:pPr>
        <w:numPr>
          <w:ilvl w:val="0"/>
          <w:numId w:val="1"/>
        </w:numPr>
        <w:tabs>
          <w:tab w:val="clear" w:pos="567"/>
        </w:tabs>
        <w:spacing w:before="240"/>
        <w:jc w:val="both"/>
        <w:rPr>
          <w:rFonts w:ascii="Book Antiqua" w:hAnsi="Book Antiqua" w:cs="Arial"/>
        </w:rPr>
      </w:pPr>
      <w:r w:rsidRPr="007A60F6">
        <w:rPr>
          <w:rFonts w:ascii="Book Antiqua" w:hAnsi="Book Antiqua" w:cs="Arial"/>
        </w:rPr>
        <w:t>The FTT calculated that the appellant’s essential expenditure was represented by one-third of the household bills i.e. £500.  The FTT observed this to be significantly less than half the appellant’s income.  The FTT concluded that the appellant could demonstrably afford all his essential needs and was not dependent on the sponsor</w:t>
      </w:r>
      <w:r w:rsidR="001F54D0">
        <w:rPr>
          <w:rFonts w:ascii="Book Antiqua" w:hAnsi="Book Antiqua" w:cs="Arial"/>
        </w:rPr>
        <w:t>, and dismissed his appeal</w:t>
      </w:r>
      <w:r w:rsidRPr="007A60F6">
        <w:rPr>
          <w:rFonts w:ascii="Book Antiqua" w:hAnsi="Book Antiqua" w:cs="Arial"/>
        </w:rPr>
        <w:t>.</w:t>
      </w:r>
    </w:p>
    <w:p w14:paraId="05EB3C3F" w14:textId="77777777" w:rsidR="007A60F6" w:rsidRDefault="007A60F6" w:rsidP="00A477ED">
      <w:pPr>
        <w:jc w:val="both"/>
        <w:rPr>
          <w:rFonts w:ascii="Book Antiqua" w:hAnsi="Book Antiqua" w:cs="Arial"/>
          <w:b/>
          <w:u w:val="single"/>
        </w:rPr>
      </w:pPr>
    </w:p>
    <w:p w14:paraId="2C72EBB8" w14:textId="77777777" w:rsidR="00591E8A" w:rsidRDefault="00591E8A" w:rsidP="00A477ED">
      <w:pPr>
        <w:jc w:val="both"/>
        <w:rPr>
          <w:rFonts w:ascii="Book Antiqua" w:hAnsi="Book Antiqua" w:cs="Arial"/>
          <w:b/>
          <w:u w:val="single"/>
        </w:rPr>
      </w:pPr>
      <w:r>
        <w:rPr>
          <w:rFonts w:ascii="Book Antiqua" w:hAnsi="Book Antiqua" w:cs="Arial"/>
          <w:b/>
          <w:u w:val="single"/>
        </w:rPr>
        <w:t xml:space="preserve">The </w:t>
      </w:r>
      <w:r w:rsidR="001F54D0">
        <w:rPr>
          <w:rFonts w:ascii="Book Antiqua" w:hAnsi="Book Antiqua" w:cs="Arial"/>
          <w:b/>
          <w:u w:val="single"/>
        </w:rPr>
        <w:t>a</w:t>
      </w:r>
      <w:r>
        <w:rPr>
          <w:rFonts w:ascii="Book Antiqua" w:hAnsi="Book Antiqua" w:cs="Arial"/>
          <w:b/>
          <w:u w:val="single"/>
        </w:rPr>
        <w:t xml:space="preserve">ppeal to the Upper Tribunal </w:t>
      </w:r>
      <w:bookmarkStart w:id="1" w:name="_GoBack"/>
      <w:bookmarkEnd w:id="1"/>
    </w:p>
    <w:p w14:paraId="4FC9B979" w14:textId="77777777" w:rsidR="007A60F6" w:rsidRPr="007A60F6" w:rsidRDefault="007A60F6" w:rsidP="00A477ED">
      <w:pPr>
        <w:jc w:val="both"/>
        <w:rPr>
          <w:rFonts w:ascii="Book Antiqua" w:hAnsi="Book Antiqua" w:cs="Arial"/>
          <w:b/>
          <w:u w:val="single"/>
        </w:rPr>
      </w:pPr>
    </w:p>
    <w:p w14:paraId="08DD49AD" w14:textId="77777777" w:rsidR="007A60F6" w:rsidRPr="007A60F6" w:rsidRDefault="00591E8A" w:rsidP="00A477ED">
      <w:pPr>
        <w:pStyle w:val="ListParagraph"/>
        <w:numPr>
          <w:ilvl w:val="0"/>
          <w:numId w:val="1"/>
        </w:numPr>
        <w:jc w:val="both"/>
        <w:rPr>
          <w:rFonts w:ascii="Book Antiqua" w:hAnsi="Book Antiqua" w:cs="Arial"/>
        </w:rPr>
      </w:pPr>
      <w:r w:rsidRPr="007A60F6">
        <w:rPr>
          <w:rFonts w:ascii="Book Antiqua" w:hAnsi="Book Antiqua" w:cs="Arial"/>
        </w:rPr>
        <w:t>The appellant sought permission to appeal to the Upper Tribunal on the basis that</w:t>
      </w:r>
      <w:r w:rsidR="001F54D0">
        <w:rPr>
          <w:rFonts w:ascii="Book Antiqua" w:hAnsi="Book Antiqua" w:cs="Arial"/>
        </w:rPr>
        <w:t>:</w:t>
      </w:r>
      <w:r w:rsidRPr="007A60F6">
        <w:rPr>
          <w:rFonts w:ascii="Book Antiqua" w:hAnsi="Book Antiqua" w:cs="Arial"/>
        </w:rPr>
        <w:t xml:space="preserve"> </w:t>
      </w:r>
      <w:r w:rsidR="001F54D0">
        <w:rPr>
          <w:rFonts w:ascii="Book Antiqua" w:hAnsi="Book Antiqua" w:cs="Arial"/>
        </w:rPr>
        <w:t>(i) the FTT erred in law in failing to find that the dependency may not be necessary but there was a dependency of choice, and; (ii)</w:t>
      </w:r>
      <w:r w:rsidR="009D2F61">
        <w:rPr>
          <w:rFonts w:ascii="Book Antiqua" w:hAnsi="Book Antiqua" w:cs="Arial"/>
        </w:rPr>
        <w:t xml:space="preserve"> the FTT failed to consider regulation 8 in the alternative to regulation 7</w:t>
      </w:r>
      <w:r w:rsidR="007A60F6" w:rsidRPr="007A60F6">
        <w:rPr>
          <w:rFonts w:ascii="Book Antiqua" w:hAnsi="Book Antiqua" w:cs="Arial"/>
        </w:rPr>
        <w:t>.</w:t>
      </w:r>
    </w:p>
    <w:p w14:paraId="2C6028D9" w14:textId="77777777" w:rsidR="007A60F6" w:rsidRDefault="007A60F6" w:rsidP="00A477ED">
      <w:pPr>
        <w:pStyle w:val="ListParagraph"/>
        <w:ind w:left="0"/>
        <w:contextualSpacing w:val="0"/>
        <w:jc w:val="both"/>
        <w:rPr>
          <w:rFonts w:ascii="Book Antiqua" w:hAnsi="Book Antiqua" w:cs="Arial"/>
        </w:rPr>
      </w:pPr>
    </w:p>
    <w:p w14:paraId="000BCCC0" w14:textId="77777777" w:rsidR="007A60F6" w:rsidRDefault="00591E8A" w:rsidP="00A477ED">
      <w:pPr>
        <w:pStyle w:val="ListParagraph"/>
        <w:numPr>
          <w:ilvl w:val="0"/>
          <w:numId w:val="1"/>
        </w:numPr>
        <w:contextualSpacing w:val="0"/>
        <w:jc w:val="both"/>
        <w:rPr>
          <w:rFonts w:ascii="Book Antiqua" w:hAnsi="Book Antiqua"/>
        </w:rPr>
      </w:pPr>
      <w:r w:rsidRPr="00A477ED">
        <w:rPr>
          <w:rFonts w:ascii="Book Antiqua" w:hAnsi="Book Antiqua"/>
        </w:rPr>
        <w:t xml:space="preserve">On </w:t>
      </w:r>
      <w:r w:rsidR="00272C66" w:rsidRPr="00A477ED">
        <w:rPr>
          <w:rFonts w:ascii="Book Antiqua" w:hAnsi="Book Antiqua"/>
        </w:rPr>
        <w:t>16 March</w:t>
      </w:r>
      <w:r w:rsidRPr="00A477ED">
        <w:rPr>
          <w:rFonts w:ascii="Book Antiqua" w:hAnsi="Book Antiqua"/>
        </w:rPr>
        <w:t xml:space="preserve"> 2018, the F</w:t>
      </w:r>
      <w:r w:rsidR="00272C66" w:rsidRPr="00A477ED">
        <w:rPr>
          <w:rFonts w:ascii="Book Antiqua" w:hAnsi="Book Antiqua"/>
        </w:rPr>
        <w:t>T</w:t>
      </w:r>
      <w:r w:rsidR="00082998" w:rsidRPr="00A477ED">
        <w:rPr>
          <w:rFonts w:ascii="Book Antiqua" w:hAnsi="Book Antiqua"/>
        </w:rPr>
        <w:t>T</w:t>
      </w:r>
      <w:r w:rsidRPr="00A477ED">
        <w:rPr>
          <w:rFonts w:ascii="Book Antiqua" w:hAnsi="Book Antiqua"/>
        </w:rPr>
        <w:t xml:space="preserve"> (</w:t>
      </w:r>
      <w:r w:rsidR="00272C66" w:rsidRPr="00A477ED">
        <w:rPr>
          <w:rFonts w:ascii="Book Antiqua" w:hAnsi="Book Antiqua"/>
        </w:rPr>
        <w:t xml:space="preserve">Designated </w:t>
      </w:r>
      <w:r w:rsidRPr="00A477ED">
        <w:rPr>
          <w:rFonts w:ascii="Book Antiqua" w:hAnsi="Book Antiqua"/>
        </w:rPr>
        <w:t>Judge M</w:t>
      </w:r>
      <w:r w:rsidR="00272C66" w:rsidRPr="00A477ED">
        <w:rPr>
          <w:rFonts w:ascii="Book Antiqua" w:hAnsi="Book Antiqua"/>
        </w:rPr>
        <w:t>anuel</w:t>
      </w:r>
      <w:r w:rsidRPr="00A477ED">
        <w:rPr>
          <w:rFonts w:ascii="Book Antiqua" w:hAnsi="Book Antiqua"/>
        </w:rPr>
        <w:t>) granted the appellant permission to appeal</w:t>
      </w:r>
      <w:r w:rsidR="009D2F61">
        <w:rPr>
          <w:rFonts w:ascii="Book Antiqua" w:hAnsi="Book Antiqua"/>
        </w:rPr>
        <w:t xml:space="preserve"> </w:t>
      </w:r>
      <w:r w:rsidR="00272C66" w:rsidRPr="00A477ED">
        <w:rPr>
          <w:rFonts w:ascii="Book Antiqua" w:hAnsi="Book Antiqua"/>
        </w:rPr>
        <w:t xml:space="preserve">observing it to be arguable that </w:t>
      </w:r>
      <w:r w:rsidR="009D2F61">
        <w:rPr>
          <w:rFonts w:ascii="Book Antiqua" w:hAnsi="Book Antiqua"/>
        </w:rPr>
        <w:t xml:space="preserve">Judge Ince </w:t>
      </w:r>
      <w:r w:rsidR="00272C66" w:rsidRPr="00A477ED">
        <w:rPr>
          <w:rFonts w:ascii="Book Antiqua" w:hAnsi="Book Antiqua"/>
        </w:rPr>
        <w:t>failed to engage with the consequence of the separate issue of membership of the same household, which the Judge accepted.</w:t>
      </w:r>
    </w:p>
    <w:p w14:paraId="5FBA92E7" w14:textId="77777777" w:rsidR="009D2F61" w:rsidRDefault="009D2F61" w:rsidP="00A477ED">
      <w:pPr>
        <w:pStyle w:val="ListParagraph"/>
        <w:ind w:left="567"/>
        <w:contextualSpacing w:val="0"/>
        <w:jc w:val="both"/>
        <w:rPr>
          <w:rFonts w:ascii="Book Antiqua" w:hAnsi="Book Antiqua"/>
        </w:rPr>
      </w:pPr>
    </w:p>
    <w:p w14:paraId="13A287C1" w14:textId="77777777" w:rsidR="009D2F61" w:rsidRDefault="009D2F61" w:rsidP="00A477ED">
      <w:pPr>
        <w:pStyle w:val="ListParagraph"/>
        <w:numPr>
          <w:ilvl w:val="0"/>
          <w:numId w:val="1"/>
        </w:numPr>
        <w:contextualSpacing w:val="0"/>
        <w:jc w:val="both"/>
        <w:rPr>
          <w:rFonts w:ascii="Book Antiqua" w:hAnsi="Book Antiqua"/>
        </w:rPr>
      </w:pPr>
      <w:r>
        <w:rPr>
          <w:rFonts w:ascii="Book Antiqua" w:hAnsi="Book Antiqua"/>
        </w:rPr>
        <w:t xml:space="preserve">At the hearing before me, Mr Daley-Murdoch relied upon the grounds of appeal.  I invited him to address me on </w:t>
      </w:r>
      <w:r w:rsidRPr="009D2F61">
        <w:rPr>
          <w:rFonts w:ascii="Book Antiqua" w:hAnsi="Book Antiqua"/>
          <w:u w:val="single"/>
        </w:rPr>
        <w:t>Lim v ECO</w:t>
      </w:r>
      <w:r w:rsidRPr="009D2F61">
        <w:rPr>
          <w:rFonts w:ascii="Book Antiqua" w:hAnsi="Book Antiqua"/>
        </w:rPr>
        <w:t xml:space="preserve"> [2015] EWCA Civ 1383; [2016] Imm AR 421</w:t>
      </w:r>
      <w:r>
        <w:rPr>
          <w:rFonts w:ascii="Book Antiqua" w:hAnsi="Book Antiqua"/>
        </w:rPr>
        <w:t xml:space="preserve">.  Mr Daley-Murdoch was unable to identify any material error of law in the FTT decision, if as he acknowledged, the critical question is whether the appellant could support himself from his own resources.  For this </w:t>
      </w:r>
      <w:r w:rsidR="0065403E">
        <w:rPr>
          <w:rFonts w:ascii="Book Antiqua" w:hAnsi="Book Antiqua"/>
        </w:rPr>
        <w:t>reason,</w:t>
      </w:r>
      <w:r>
        <w:rPr>
          <w:rFonts w:ascii="Book Antiqua" w:hAnsi="Book Antiqua"/>
        </w:rPr>
        <w:t xml:space="preserve"> Mr Daley-Murdoch turned his attention to the second ground of appeal.  He was however unable to explain how it could properly be said that the FTT erred in law in not considering regulation 8 when this did not form the basis of the grounds of appeal to the FTT against the respondent’s decision dated 7 December 2016 and formed no part of the submissions advanced on the appellant’s behalf by Counsel before the FTT.</w:t>
      </w:r>
    </w:p>
    <w:p w14:paraId="5D3EC470" w14:textId="77777777" w:rsidR="009D2F61" w:rsidRPr="00A477ED" w:rsidRDefault="009D2F61" w:rsidP="00A477ED">
      <w:pPr>
        <w:pStyle w:val="ListParagraph"/>
        <w:rPr>
          <w:rFonts w:ascii="Book Antiqua" w:hAnsi="Book Antiqua"/>
        </w:rPr>
      </w:pPr>
    </w:p>
    <w:p w14:paraId="4C02E7E9" w14:textId="77777777" w:rsidR="009D2F61" w:rsidRPr="007A60F6" w:rsidRDefault="009D2F61" w:rsidP="00A477ED">
      <w:pPr>
        <w:pStyle w:val="ListParagraph"/>
        <w:numPr>
          <w:ilvl w:val="0"/>
          <w:numId w:val="1"/>
        </w:numPr>
        <w:contextualSpacing w:val="0"/>
        <w:jc w:val="both"/>
        <w:rPr>
          <w:rFonts w:ascii="Book Antiqua" w:hAnsi="Book Antiqua"/>
        </w:rPr>
      </w:pPr>
      <w:r>
        <w:rPr>
          <w:rFonts w:ascii="Book Antiqua" w:hAnsi="Book Antiqua"/>
        </w:rPr>
        <w:t xml:space="preserve">After hearing from Mr Medley-Daley, I did not need to hear from Mr Diwnycz.  I announced I would be dismissing the appeal with reasons to follow.  </w:t>
      </w:r>
    </w:p>
    <w:p w14:paraId="2687ACB7" w14:textId="77777777" w:rsidR="007A60F6" w:rsidRDefault="007A60F6" w:rsidP="00A477ED">
      <w:pPr>
        <w:keepNext/>
        <w:jc w:val="both"/>
        <w:rPr>
          <w:rFonts w:ascii="Book Antiqua" w:hAnsi="Book Antiqua"/>
        </w:rPr>
      </w:pPr>
    </w:p>
    <w:p w14:paraId="3DF99E81" w14:textId="77777777" w:rsidR="0035496A" w:rsidRPr="007A60F6" w:rsidRDefault="0035496A" w:rsidP="00A477ED">
      <w:pPr>
        <w:keepNext/>
        <w:jc w:val="both"/>
        <w:rPr>
          <w:rFonts w:ascii="Book Antiqua" w:hAnsi="Book Antiqua" w:cs="Arial"/>
          <w:b/>
          <w:u w:val="single"/>
        </w:rPr>
      </w:pPr>
      <w:r w:rsidRPr="007A60F6">
        <w:rPr>
          <w:rFonts w:ascii="Book Antiqua" w:hAnsi="Book Antiqua" w:cs="Arial"/>
          <w:b/>
          <w:u w:val="single"/>
        </w:rPr>
        <w:t>Discussion</w:t>
      </w:r>
    </w:p>
    <w:p w14:paraId="2C429348" w14:textId="77777777" w:rsidR="007A60F6" w:rsidRDefault="007A60F6" w:rsidP="00A477ED">
      <w:pPr>
        <w:keepNext/>
        <w:jc w:val="both"/>
        <w:rPr>
          <w:rFonts w:ascii="Book Antiqua" w:hAnsi="Book Antiqua" w:cs="Arial"/>
        </w:rPr>
      </w:pPr>
    </w:p>
    <w:p w14:paraId="1118F186" w14:textId="77777777" w:rsidR="0098687D" w:rsidRPr="00A477ED" w:rsidRDefault="0098687D" w:rsidP="00A477ED">
      <w:pPr>
        <w:keepNext/>
        <w:jc w:val="both"/>
        <w:rPr>
          <w:rFonts w:ascii="Book Antiqua" w:hAnsi="Book Antiqua" w:cs="Arial"/>
          <w:i/>
        </w:rPr>
      </w:pPr>
      <w:r w:rsidRPr="00A477ED">
        <w:rPr>
          <w:rFonts w:ascii="Book Antiqua" w:hAnsi="Book Antiqua" w:cs="Arial"/>
          <w:i/>
        </w:rPr>
        <w:t>Ground 1 – dependency</w:t>
      </w:r>
    </w:p>
    <w:p w14:paraId="04F65649" w14:textId="77777777" w:rsidR="0098687D" w:rsidRDefault="0098687D" w:rsidP="00A477ED">
      <w:pPr>
        <w:keepNext/>
        <w:jc w:val="both"/>
        <w:rPr>
          <w:rFonts w:ascii="Book Antiqua" w:hAnsi="Book Antiqua" w:cs="Arial"/>
        </w:rPr>
      </w:pPr>
    </w:p>
    <w:p w14:paraId="7958CF43" w14:textId="77777777" w:rsidR="00B11239" w:rsidRDefault="007A60F6" w:rsidP="00A477ED">
      <w:pPr>
        <w:pStyle w:val="ListParagraph"/>
        <w:keepNext/>
        <w:numPr>
          <w:ilvl w:val="0"/>
          <w:numId w:val="1"/>
        </w:numPr>
        <w:jc w:val="both"/>
        <w:rPr>
          <w:rFonts w:ascii="Book Antiqua" w:hAnsi="Book Antiqua" w:cs="Arial"/>
        </w:rPr>
      </w:pPr>
      <w:r>
        <w:rPr>
          <w:rFonts w:ascii="Book Antiqua" w:hAnsi="Book Antiqua" w:cs="Arial"/>
        </w:rPr>
        <w:t xml:space="preserve">I have no hesitation in </w:t>
      </w:r>
      <w:r w:rsidR="00B11239">
        <w:rPr>
          <w:rFonts w:ascii="Book Antiqua" w:hAnsi="Book Antiqua" w:cs="Arial"/>
        </w:rPr>
        <w:t>concluding that the FTT was entirely correct in determining that the appellant is not dependent upon the sponsor for the purposes of reg</w:t>
      </w:r>
      <w:r w:rsidR="009D2F61">
        <w:rPr>
          <w:rFonts w:ascii="Book Antiqua" w:hAnsi="Book Antiqua" w:cs="Arial"/>
        </w:rPr>
        <w:t>ulation 7 of the 2006 Regs</w:t>
      </w:r>
      <w:r w:rsidR="00B11239">
        <w:rPr>
          <w:rFonts w:ascii="Book Antiqua" w:hAnsi="Book Antiqua" w:cs="Arial"/>
        </w:rPr>
        <w:t>.</w:t>
      </w:r>
    </w:p>
    <w:p w14:paraId="5F1425A3" w14:textId="77777777" w:rsidR="00B11239" w:rsidRDefault="00B11239" w:rsidP="00A477ED">
      <w:pPr>
        <w:pStyle w:val="ListParagraph"/>
        <w:keepNext/>
        <w:ind w:left="567"/>
        <w:jc w:val="both"/>
        <w:rPr>
          <w:rFonts w:ascii="Book Antiqua" w:hAnsi="Book Antiqua" w:cs="Arial"/>
        </w:rPr>
      </w:pPr>
    </w:p>
    <w:p w14:paraId="22F4D86D" w14:textId="77777777" w:rsidR="00B11239" w:rsidRDefault="00B11239" w:rsidP="00A477ED">
      <w:pPr>
        <w:pStyle w:val="ListParagraph"/>
        <w:keepNext/>
        <w:numPr>
          <w:ilvl w:val="0"/>
          <w:numId w:val="1"/>
        </w:numPr>
        <w:jc w:val="both"/>
        <w:rPr>
          <w:rFonts w:ascii="Book Antiqua" w:hAnsi="Book Antiqua" w:cs="Arial"/>
        </w:rPr>
      </w:pPr>
      <w:r>
        <w:rPr>
          <w:rFonts w:ascii="Book Antiqua" w:hAnsi="Book Antiqua" w:cs="Arial"/>
        </w:rPr>
        <w:t>The Court of Appeal have relatively recently examined the question of whether a family member i</w:t>
      </w:r>
      <w:r w:rsidRPr="00B11239">
        <w:rPr>
          <w:rFonts w:ascii="Book Antiqua" w:hAnsi="Book Antiqua" w:cs="Arial"/>
        </w:rPr>
        <w:t xml:space="preserve">s a </w:t>
      </w:r>
      <w:r>
        <w:rPr>
          <w:rFonts w:ascii="Book Antiqua" w:hAnsi="Book Antiqua" w:cs="Arial"/>
        </w:rPr>
        <w:t>‘</w:t>
      </w:r>
      <w:r w:rsidRPr="00A477ED">
        <w:rPr>
          <w:rFonts w:ascii="Book Antiqua" w:hAnsi="Book Antiqua" w:cs="Arial"/>
          <w:bCs/>
        </w:rPr>
        <w:t>dependent</w:t>
      </w:r>
      <w:r w:rsidRPr="00B11239">
        <w:rPr>
          <w:rFonts w:ascii="Book Antiqua" w:hAnsi="Book Antiqua" w:cs="Arial"/>
        </w:rPr>
        <w:t xml:space="preserve"> direct relative</w:t>
      </w:r>
      <w:r>
        <w:rPr>
          <w:rFonts w:ascii="Book Antiqua" w:hAnsi="Book Antiqua" w:cs="Arial"/>
        </w:rPr>
        <w:t>’</w:t>
      </w:r>
      <w:r w:rsidRPr="00B11239">
        <w:rPr>
          <w:rFonts w:ascii="Book Antiqua" w:hAnsi="Book Antiqua" w:cs="Arial"/>
        </w:rPr>
        <w:t xml:space="preserve"> for the purposes of </w:t>
      </w:r>
      <w:r>
        <w:rPr>
          <w:rFonts w:ascii="Book Antiqua" w:hAnsi="Book Antiqua" w:cs="Arial"/>
        </w:rPr>
        <w:t>reg</w:t>
      </w:r>
      <w:r w:rsidR="0065403E">
        <w:rPr>
          <w:rFonts w:ascii="Book Antiqua" w:hAnsi="Book Antiqua" w:cs="Arial"/>
        </w:rPr>
        <w:t>ulation</w:t>
      </w:r>
      <w:r>
        <w:rPr>
          <w:rFonts w:ascii="Book Antiqua" w:hAnsi="Book Antiqua" w:cs="Arial"/>
        </w:rPr>
        <w:t xml:space="preserve"> 7(1)(c)</w:t>
      </w:r>
      <w:r w:rsidR="000E5D77">
        <w:rPr>
          <w:rFonts w:ascii="Book Antiqua" w:hAnsi="Book Antiqua" w:cs="Arial"/>
        </w:rPr>
        <w:t xml:space="preserve"> in </w:t>
      </w:r>
      <w:r w:rsidR="000E5D77" w:rsidRPr="00A477ED">
        <w:rPr>
          <w:rFonts w:ascii="Book Antiqua" w:hAnsi="Book Antiqua" w:cs="Arial"/>
          <w:u w:val="single"/>
        </w:rPr>
        <w:t>Lim v ECO</w:t>
      </w:r>
      <w:r w:rsidR="000E5D77">
        <w:rPr>
          <w:rFonts w:ascii="Book Antiqua" w:hAnsi="Book Antiqua" w:cs="Arial"/>
        </w:rPr>
        <w:t xml:space="preserve"> </w:t>
      </w:r>
      <w:r w:rsidR="009D2F61">
        <w:rPr>
          <w:rFonts w:ascii="Book Antiqua" w:hAnsi="Book Antiqua" w:cs="Arial"/>
        </w:rPr>
        <w:t>(supra)</w:t>
      </w:r>
      <w:r>
        <w:rPr>
          <w:rFonts w:ascii="Book Antiqua" w:hAnsi="Book Antiqua" w:cs="Arial"/>
        </w:rPr>
        <w:t>.  At [32] Elias LJ described</w:t>
      </w:r>
      <w:r w:rsidRPr="00B11239">
        <w:rPr>
          <w:rFonts w:ascii="Book Antiqua" w:hAnsi="Book Antiqua" w:cs="Arial"/>
        </w:rPr>
        <w:t xml:space="preserve"> the critical question </w:t>
      </w:r>
      <w:r>
        <w:rPr>
          <w:rFonts w:ascii="Book Antiqua" w:hAnsi="Book Antiqua" w:cs="Arial"/>
        </w:rPr>
        <w:t xml:space="preserve">as follows: </w:t>
      </w:r>
    </w:p>
    <w:p w14:paraId="261F8AE4" w14:textId="77777777" w:rsidR="00B11239" w:rsidRPr="00A477ED" w:rsidRDefault="00B11239" w:rsidP="00A477ED">
      <w:pPr>
        <w:pStyle w:val="ListParagraph"/>
        <w:rPr>
          <w:rFonts w:ascii="Book Antiqua" w:hAnsi="Book Antiqua" w:cs="Arial"/>
        </w:rPr>
      </w:pPr>
    </w:p>
    <w:p w14:paraId="232016A2" w14:textId="77777777" w:rsidR="00B11239" w:rsidRPr="00A477ED" w:rsidRDefault="00B11239" w:rsidP="00A477ED">
      <w:pPr>
        <w:pStyle w:val="ListParagraph"/>
        <w:keepNext/>
        <w:ind w:left="1134"/>
        <w:jc w:val="both"/>
        <w:rPr>
          <w:rFonts w:ascii="Book Antiqua" w:hAnsi="Book Antiqua" w:cs="Arial"/>
          <w:sz w:val="22"/>
          <w:szCs w:val="22"/>
        </w:rPr>
      </w:pPr>
      <w:r w:rsidRPr="00A477ED">
        <w:rPr>
          <w:rFonts w:ascii="Book Antiqua" w:hAnsi="Book Antiqua" w:cs="Arial"/>
          <w:sz w:val="22"/>
          <w:szCs w:val="22"/>
        </w:rPr>
        <w:t>“In my judgment, the critical question is whether the claimant is in fact in a position to support himself or not, and Reyes now makes that clear beyond doubt, in my view.  That is a simple matter of fact. If he can support himself, there is no dependency, even if he is given financial material support by the EU citizen. Those additional resources are not necessary to enable him to meet his basic needs. If, on the other hand, he cannot support himself from his own resources, the court will not ask why that is the case, save perhaps where there is an abuse of rights. The fact that he chooses not to get a job and become self-supporting is irrelevant. It follows that on the facts of this case, there was no dependency. The appellant had the funds to support herself. She was financially independent and did not need the additional resources for the purpose of meeting her basic needs.”</w:t>
      </w:r>
    </w:p>
    <w:p w14:paraId="21111B79" w14:textId="77777777" w:rsidR="00B11239" w:rsidRDefault="00B11239" w:rsidP="00A477ED">
      <w:pPr>
        <w:keepNext/>
        <w:jc w:val="both"/>
        <w:rPr>
          <w:rFonts w:ascii="Book Antiqua" w:hAnsi="Book Antiqua" w:cs="Arial"/>
        </w:rPr>
      </w:pPr>
    </w:p>
    <w:p w14:paraId="2857A389" w14:textId="77777777" w:rsidR="00700C49" w:rsidRDefault="000E5D77" w:rsidP="00A477ED">
      <w:pPr>
        <w:pStyle w:val="ListParagraph"/>
        <w:keepNext/>
        <w:numPr>
          <w:ilvl w:val="0"/>
          <w:numId w:val="1"/>
        </w:numPr>
        <w:jc w:val="both"/>
        <w:rPr>
          <w:rFonts w:ascii="Book Antiqua" w:hAnsi="Book Antiqua" w:cs="Arial"/>
        </w:rPr>
      </w:pPr>
      <w:r>
        <w:rPr>
          <w:rFonts w:ascii="Book Antiqua" w:hAnsi="Book Antiqua" w:cs="Arial"/>
        </w:rPr>
        <w:t xml:space="preserve">In </w:t>
      </w:r>
      <w:r w:rsidRPr="00A477ED">
        <w:rPr>
          <w:rFonts w:ascii="Book Antiqua" w:hAnsi="Book Antiqua" w:cs="Arial"/>
          <w:u w:val="single"/>
        </w:rPr>
        <w:t>Lim</w:t>
      </w:r>
      <w:r>
        <w:rPr>
          <w:rFonts w:ascii="Book Antiqua" w:hAnsi="Book Antiqua" w:cs="Arial"/>
        </w:rPr>
        <w:t>, t</w:t>
      </w:r>
      <w:r w:rsidR="00B11239" w:rsidRPr="00A477ED">
        <w:rPr>
          <w:rFonts w:ascii="Book Antiqua" w:hAnsi="Book Antiqua" w:cs="Arial"/>
        </w:rPr>
        <w:t xml:space="preserve">he Malaysian mother-in-law of an EU national living in the UK was not </w:t>
      </w:r>
      <w:r w:rsidR="00B11239" w:rsidRPr="00A477ED">
        <w:rPr>
          <w:rFonts w:ascii="Book Antiqua" w:hAnsi="Book Antiqua" w:cs="Arial"/>
          <w:bCs/>
        </w:rPr>
        <w:t>dependent</w:t>
      </w:r>
      <w:r w:rsidR="00B11239" w:rsidRPr="00A477ED">
        <w:rPr>
          <w:rFonts w:ascii="Book Antiqua" w:hAnsi="Book Antiqua" w:cs="Arial"/>
        </w:rPr>
        <w:t xml:space="preserve"> on him, despite the fact that she received financial support from him: she was financially independent and did not need the additional resources for the purpose of meeting her basic needs.</w:t>
      </w:r>
      <w:r>
        <w:rPr>
          <w:rFonts w:ascii="Book Antiqua" w:hAnsi="Book Antiqua" w:cs="Arial"/>
        </w:rPr>
        <w:t xml:space="preserve">  Similarly, given the undisputed factual matrix, this appellant was financially independent and did not need the support of the sponsor to meet his essential needs.  The FTT was therefore fully entitled to conclude that notwithstanding the sponsor’s payment of household bills for the appellant, the appellant did not need help to pay for his essential needs and was not actually dependent on the sponsor for the purposes of reg</w:t>
      </w:r>
      <w:r w:rsidR="009D2F61">
        <w:rPr>
          <w:rFonts w:ascii="Book Antiqua" w:hAnsi="Book Antiqua" w:cs="Arial"/>
        </w:rPr>
        <w:t>ulation 7</w:t>
      </w:r>
      <w:r>
        <w:rPr>
          <w:rFonts w:ascii="Book Antiqua" w:hAnsi="Book Antiqua" w:cs="Arial"/>
        </w:rPr>
        <w:t>.</w:t>
      </w:r>
    </w:p>
    <w:p w14:paraId="4529898C" w14:textId="77777777" w:rsidR="008B7288" w:rsidRDefault="008B7288" w:rsidP="00A477ED">
      <w:pPr>
        <w:pStyle w:val="ListParagraph"/>
        <w:keepNext/>
        <w:ind w:left="567"/>
        <w:jc w:val="both"/>
        <w:rPr>
          <w:rFonts w:ascii="Book Antiqua" w:hAnsi="Book Antiqua" w:cs="Arial"/>
        </w:rPr>
      </w:pPr>
    </w:p>
    <w:p w14:paraId="658EA456" w14:textId="77777777" w:rsidR="009D2F61" w:rsidRDefault="009D2F61" w:rsidP="00A477ED">
      <w:pPr>
        <w:pStyle w:val="ListParagraph"/>
        <w:keepNext/>
        <w:numPr>
          <w:ilvl w:val="0"/>
          <w:numId w:val="1"/>
        </w:numPr>
        <w:jc w:val="both"/>
        <w:rPr>
          <w:rFonts w:ascii="Book Antiqua" w:hAnsi="Book Antiqua" w:cs="Arial"/>
        </w:rPr>
      </w:pPr>
      <w:r>
        <w:rPr>
          <w:rFonts w:ascii="Book Antiqua" w:hAnsi="Book Antiqua" w:cs="Arial"/>
        </w:rPr>
        <w:t xml:space="preserve">Mr Daley-Murdoch faintly submitted that the FTT erred in law in failing to address whether the </w:t>
      </w:r>
      <w:r w:rsidR="008B7288">
        <w:rPr>
          <w:rFonts w:ascii="Book Antiqua" w:hAnsi="Book Antiqua" w:cs="Arial"/>
        </w:rPr>
        <w:t xml:space="preserve">appellant could afford to support himself if he did not share household expenses.  As I pointed out at the hearing, this was not included in the grounds of appeal and it was too late to raise the submission at the hearing.  In any event, it is clear from the findings of fact that the FTT regarded this appellant as a person who had been and could continue to independently support himself.  </w:t>
      </w:r>
    </w:p>
    <w:p w14:paraId="2C436756" w14:textId="77777777" w:rsidR="00700C49" w:rsidRPr="00A477ED" w:rsidRDefault="00700C49" w:rsidP="00A477ED">
      <w:pPr>
        <w:keepNext/>
        <w:jc w:val="both"/>
        <w:rPr>
          <w:rFonts w:ascii="Book Antiqua" w:hAnsi="Book Antiqua" w:cs="Arial"/>
          <w:i/>
        </w:rPr>
      </w:pPr>
    </w:p>
    <w:p w14:paraId="30E01DE4" w14:textId="77777777" w:rsidR="00700C49" w:rsidRPr="00A477ED" w:rsidRDefault="00700C49" w:rsidP="00A477ED">
      <w:pPr>
        <w:keepNext/>
        <w:jc w:val="both"/>
        <w:rPr>
          <w:rFonts w:ascii="Book Antiqua" w:hAnsi="Book Antiqua" w:cs="Arial"/>
          <w:i/>
        </w:rPr>
      </w:pPr>
      <w:r w:rsidRPr="00A477ED">
        <w:rPr>
          <w:rFonts w:ascii="Book Antiqua" w:hAnsi="Book Antiqua" w:cs="Arial"/>
          <w:i/>
        </w:rPr>
        <w:t>Ground 2</w:t>
      </w:r>
      <w:r w:rsidR="0098687D" w:rsidRPr="00A477ED">
        <w:rPr>
          <w:rFonts w:ascii="Book Antiqua" w:hAnsi="Book Antiqua" w:cs="Arial"/>
          <w:i/>
        </w:rPr>
        <w:t xml:space="preserve"> – Regulation 8</w:t>
      </w:r>
    </w:p>
    <w:p w14:paraId="20E790E4" w14:textId="77777777" w:rsidR="00700C49" w:rsidRPr="00A477ED" w:rsidRDefault="00700C49" w:rsidP="00A477ED">
      <w:pPr>
        <w:keepNext/>
        <w:jc w:val="both"/>
        <w:rPr>
          <w:rFonts w:ascii="Book Antiqua" w:hAnsi="Book Antiqua" w:cs="Arial"/>
        </w:rPr>
      </w:pPr>
    </w:p>
    <w:p w14:paraId="6EAE453B" w14:textId="77777777" w:rsidR="00D46372" w:rsidRPr="00D46372" w:rsidRDefault="008B7288" w:rsidP="00A477ED">
      <w:pPr>
        <w:pStyle w:val="ListParagraph"/>
        <w:keepNext/>
        <w:numPr>
          <w:ilvl w:val="0"/>
          <w:numId w:val="1"/>
        </w:numPr>
        <w:jc w:val="both"/>
        <w:rPr>
          <w:rFonts w:ascii="Book Antiqua" w:hAnsi="Book Antiqua" w:cs="Arial"/>
          <w:b/>
          <w:u w:val="single"/>
        </w:rPr>
      </w:pPr>
      <w:r>
        <w:rPr>
          <w:rFonts w:ascii="Book Antiqua" w:hAnsi="Book Antiqua" w:cs="Arial"/>
        </w:rPr>
        <w:t xml:space="preserve">The respondent’s decision refused the application for a residence card solely on the basis of regulation 7.  This reflects the appellant’s application itself.  Section 13 addresses dependent family members and is fully completed.  Section 14, which </w:t>
      </w:r>
      <w:r>
        <w:rPr>
          <w:rFonts w:ascii="Book Antiqua" w:hAnsi="Book Antiqua" w:cs="Arial"/>
        </w:rPr>
        <w:lastRenderedPageBreak/>
        <w:t xml:space="preserve">addresses extended family members (‘EFM’) is not fully or properly completed.  Further, the grounds of appeal to the FTT were completed by solicitors.  Section 6 makes no reference to the appellant being an EFM in the alternative.  </w:t>
      </w:r>
      <w:r w:rsidR="0065403E">
        <w:rPr>
          <w:rFonts w:ascii="Book Antiqua" w:hAnsi="Book Antiqua" w:cs="Arial"/>
        </w:rPr>
        <w:t>Similarly,</w:t>
      </w:r>
      <w:r>
        <w:rPr>
          <w:rFonts w:ascii="Book Antiqua" w:hAnsi="Book Antiqua" w:cs="Arial"/>
        </w:rPr>
        <w:t xml:space="preserve"> the there was no argument based upon r</w:t>
      </w:r>
      <w:r w:rsidR="00700C49">
        <w:rPr>
          <w:rFonts w:ascii="Book Antiqua" w:hAnsi="Book Antiqua" w:cs="Arial"/>
        </w:rPr>
        <w:t xml:space="preserve">egulation 8 </w:t>
      </w:r>
      <w:r>
        <w:rPr>
          <w:rFonts w:ascii="Book Antiqua" w:hAnsi="Book Antiqua" w:cs="Arial"/>
        </w:rPr>
        <w:t>before the FTT.  It follows that in failing to consider a matter that did not form part of the grounds of appeal or any argument before the FTT, there has been no error of law.</w:t>
      </w:r>
    </w:p>
    <w:p w14:paraId="2EA2D06F" w14:textId="77777777" w:rsidR="00D46372" w:rsidRPr="00D46372" w:rsidRDefault="00D46372" w:rsidP="002B1DA3">
      <w:pPr>
        <w:numPr>
          <w:ilvl w:val="0"/>
          <w:numId w:val="1"/>
        </w:numPr>
        <w:spacing w:before="240"/>
        <w:jc w:val="both"/>
        <w:rPr>
          <w:rFonts w:ascii="Book Antiqua" w:hAnsi="Book Antiqua" w:cs="Arial"/>
          <w:b/>
          <w:u w:val="single"/>
        </w:rPr>
      </w:pPr>
      <w:r>
        <w:rPr>
          <w:rFonts w:ascii="Book Antiqua" w:hAnsi="Book Antiqua" w:cs="Arial"/>
        </w:rPr>
        <w:t xml:space="preserve">For all the above reasons, the </w:t>
      </w:r>
      <w:r w:rsidR="000E5D77">
        <w:rPr>
          <w:rFonts w:ascii="Book Antiqua" w:hAnsi="Book Antiqua" w:cs="Arial"/>
        </w:rPr>
        <w:t>FTT</w:t>
      </w:r>
      <w:r>
        <w:rPr>
          <w:rFonts w:ascii="Book Antiqua" w:hAnsi="Book Antiqua" w:cs="Arial"/>
        </w:rPr>
        <w:t xml:space="preserve"> did not materially err in law in dismissing the appellant’s appeal.</w:t>
      </w:r>
    </w:p>
    <w:p w14:paraId="372310A9" w14:textId="77777777" w:rsidR="00D949B7" w:rsidRPr="00D949B7" w:rsidRDefault="00D949B7" w:rsidP="00D22AAD">
      <w:pPr>
        <w:spacing w:before="240"/>
        <w:jc w:val="both"/>
        <w:rPr>
          <w:rFonts w:ascii="Book Antiqua" w:hAnsi="Book Antiqua" w:cs="Arial"/>
          <w:b/>
          <w:u w:val="single"/>
        </w:rPr>
      </w:pPr>
      <w:r w:rsidRPr="00D949B7">
        <w:rPr>
          <w:rFonts w:ascii="Book Antiqua" w:hAnsi="Book Antiqua" w:cs="Arial"/>
          <w:b/>
          <w:u w:val="single"/>
        </w:rPr>
        <w:t>Decision</w:t>
      </w:r>
    </w:p>
    <w:p w14:paraId="5742F12B" w14:textId="77777777" w:rsidR="00D949B7" w:rsidRPr="00D949B7" w:rsidRDefault="00D949B7" w:rsidP="00D949B7">
      <w:pPr>
        <w:jc w:val="both"/>
        <w:rPr>
          <w:rFonts w:ascii="Book Antiqua" w:hAnsi="Book Antiqua" w:cs="Arial"/>
        </w:rPr>
      </w:pPr>
    </w:p>
    <w:p w14:paraId="3E2AED4A" w14:textId="77777777" w:rsidR="00D949B7" w:rsidRPr="001864DF" w:rsidRDefault="00D46372" w:rsidP="002B1DA3">
      <w:pPr>
        <w:pStyle w:val="ListParagraph"/>
        <w:numPr>
          <w:ilvl w:val="0"/>
          <w:numId w:val="1"/>
        </w:numPr>
        <w:jc w:val="both"/>
        <w:rPr>
          <w:rFonts w:ascii="Book Antiqua" w:hAnsi="Book Antiqua" w:cs="Arial"/>
        </w:rPr>
      </w:pPr>
      <w:r w:rsidRPr="001864DF">
        <w:rPr>
          <w:rFonts w:ascii="Book Antiqua" w:hAnsi="Book Antiqua" w:cs="Arial"/>
        </w:rPr>
        <w:t>The decision of the First-tier Tribunal to dismiss the appellant’s appeal did not involve the making of a material error of law.  That decision stands.</w:t>
      </w:r>
    </w:p>
    <w:p w14:paraId="0FDE1497" w14:textId="77777777" w:rsidR="00D46372" w:rsidRDefault="00D46372" w:rsidP="00D949B7">
      <w:pPr>
        <w:jc w:val="both"/>
        <w:rPr>
          <w:rFonts w:ascii="Book Antiqua" w:hAnsi="Book Antiqua" w:cs="Arial"/>
        </w:rPr>
      </w:pPr>
    </w:p>
    <w:p w14:paraId="55C89D20" w14:textId="77777777" w:rsidR="00D46372" w:rsidRPr="001864DF" w:rsidRDefault="00D46372" w:rsidP="002B1DA3">
      <w:pPr>
        <w:pStyle w:val="ListParagraph"/>
        <w:numPr>
          <w:ilvl w:val="0"/>
          <w:numId w:val="1"/>
        </w:numPr>
        <w:jc w:val="both"/>
        <w:rPr>
          <w:rFonts w:ascii="Book Antiqua" w:hAnsi="Book Antiqua" w:cs="Arial"/>
        </w:rPr>
      </w:pPr>
      <w:r w:rsidRPr="001864DF">
        <w:rPr>
          <w:rFonts w:ascii="Book Antiqua" w:hAnsi="Book Antiqua" w:cs="Arial"/>
        </w:rPr>
        <w:t>Accordingly, the appellant’s appeal to the Upper Tribunal is dismissed.</w:t>
      </w:r>
    </w:p>
    <w:p w14:paraId="0C40BE47" w14:textId="77777777" w:rsidR="00D949B7" w:rsidRPr="00D949B7" w:rsidRDefault="00D949B7" w:rsidP="00D949B7">
      <w:pPr>
        <w:jc w:val="both"/>
        <w:rPr>
          <w:rFonts w:ascii="Book Antiqua" w:hAnsi="Book Antiqua" w:cs="Arial"/>
        </w:rPr>
      </w:pPr>
    </w:p>
    <w:p w14:paraId="2AD0619E" w14:textId="77777777" w:rsidR="00A509FA" w:rsidRDefault="00A509FA" w:rsidP="000A0743">
      <w:pPr>
        <w:jc w:val="both"/>
        <w:rPr>
          <w:rFonts w:ascii="Book Antiqua" w:hAnsi="Book Antiqua" w:cs="Arial"/>
        </w:rPr>
      </w:pPr>
    </w:p>
    <w:p w14:paraId="173DAA3D" w14:textId="77777777" w:rsidR="009669C6" w:rsidRDefault="009669C6" w:rsidP="000A0743">
      <w:pPr>
        <w:jc w:val="both"/>
        <w:rPr>
          <w:rFonts w:ascii="Book Antiqua" w:hAnsi="Book Antiqua" w:cs="Arial"/>
        </w:rPr>
      </w:pPr>
    </w:p>
    <w:p w14:paraId="33B8B6B6" w14:textId="77777777" w:rsidR="009669C6" w:rsidRPr="002B02F3" w:rsidRDefault="009669C6" w:rsidP="00A477ED">
      <w:pPr>
        <w:ind w:left="540" w:hanging="540"/>
        <w:rPr>
          <w:rFonts w:ascii="Book Antiqua" w:hAnsi="Book Antiqua" w:cs="Arial"/>
        </w:rPr>
      </w:pPr>
      <w:r>
        <w:rPr>
          <w:rFonts w:ascii="Book Antiqua" w:hAnsi="Book Antiqua" w:cs="Arial"/>
        </w:rPr>
        <w:t>Signed</w:t>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142E10">
        <w:rPr>
          <w:rFonts w:ascii="Book Antiqua" w:hAnsi="Book Antiqua" w:cs="Arial"/>
        </w:rPr>
        <w:tab/>
      </w:r>
      <w:r w:rsidR="008B7288">
        <w:rPr>
          <w:rFonts w:ascii="Book Antiqua" w:hAnsi="Book Antiqua" w:cs="Arial"/>
        </w:rPr>
        <w:t>Dated</w:t>
      </w:r>
    </w:p>
    <w:p w14:paraId="504621B5" w14:textId="77777777" w:rsidR="009669C6" w:rsidRDefault="009669C6" w:rsidP="009669C6">
      <w:pPr>
        <w:tabs>
          <w:tab w:val="left" w:pos="2520"/>
        </w:tabs>
        <w:ind w:left="540" w:hanging="540"/>
        <w:jc w:val="right"/>
        <w:rPr>
          <w:rFonts w:ascii="Book Antiqua" w:hAnsi="Book Antiqua" w:cs="Arial"/>
        </w:rPr>
      </w:pPr>
    </w:p>
    <w:p w14:paraId="2D88026F" w14:textId="77777777" w:rsidR="00A27EAF" w:rsidRPr="008B7288" w:rsidRDefault="000E5D77" w:rsidP="00A477ED">
      <w:pPr>
        <w:tabs>
          <w:tab w:val="left" w:pos="2520"/>
        </w:tabs>
        <w:ind w:left="540" w:hanging="540"/>
        <w:rPr>
          <w:rFonts w:ascii="Book Antiqua" w:hAnsi="Book Antiqua" w:cs="Arial"/>
        </w:rPr>
      </w:pPr>
      <w:r>
        <w:rPr>
          <w:rFonts w:ascii="Book Antiqua" w:hAnsi="Book Antiqua" w:cs="Arial"/>
          <w:i/>
        </w:rPr>
        <w:t>M. Plimmer</w:t>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i/>
        </w:rPr>
        <w:tab/>
      </w:r>
      <w:r w:rsidR="008B7288">
        <w:rPr>
          <w:rFonts w:ascii="Book Antiqua" w:hAnsi="Book Antiqua" w:cs="Arial"/>
        </w:rPr>
        <w:t>20 September 2018</w:t>
      </w:r>
    </w:p>
    <w:p w14:paraId="55D22275" w14:textId="77777777" w:rsidR="009669C6" w:rsidRPr="002B02F3" w:rsidRDefault="009669C6" w:rsidP="009669C6">
      <w:pPr>
        <w:tabs>
          <w:tab w:val="left" w:pos="2520"/>
        </w:tabs>
        <w:ind w:left="540" w:hanging="540"/>
        <w:jc w:val="right"/>
        <w:rPr>
          <w:rFonts w:ascii="Book Antiqua" w:hAnsi="Book Antiqua" w:cs="Arial"/>
        </w:rPr>
      </w:pPr>
    </w:p>
    <w:p w14:paraId="7980BCF0" w14:textId="77777777" w:rsidR="009669C6" w:rsidRDefault="000E5D77" w:rsidP="00A477ED">
      <w:pPr>
        <w:tabs>
          <w:tab w:val="left" w:pos="2520"/>
        </w:tabs>
        <w:ind w:left="540" w:hanging="540"/>
        <w:rPr>
          <w:rFonts w:ascii="Book Antiqua" w:hAnsi="Book Antiqua" w:cs="Arial"/>
          <w:color w:val="000000"/>
        </w:rPr>
      </w:pPr>
      <w:r>
        <w:rPr>
          <w:rFonts w:ascii="Book Antiqua" w:hAnsi="Book Antiqua" w:cs="Arial"/>
          <w:color w:val="000000"/>
        </w:rPr>
        <w:t>Melanie Plimmer</w:t>
      </w:r>
    </w:p>
    <w:p w14:paraId="5ADD4C9B" w14:textId="77777777" w:rsidR="00D949B7" w:rsidRPr="009B7433" w:rsidRDefault="009669C6" w:rsidP="00A477ED">
      <w:pPr>
        <w:rPr>
          <w:rFonts w:ascii="Book Antiqua" w:hAnsi="Book Antiqua" w:cs="Arial"/>
        </w:rPr>
      </w:pPr>
      <w:r>
        <w:rPr>
          <w:rFonts w:ascii="Book Antiqua" w:hAnsi="Book Antiqua" w:cs="Arial"/>
          <w:color w:val="000000"/>
        </w:rPr>
        <w:t>Judge of the Upper Tribunal</w:t>
      </w:r>
    </w:p>
    <w:p w14:paraId="76D0B53D" w14:textId="77777777" w:rsidR="00C23DFC" w:rsidRDefault="00C23DFC" w:rsidP="00C23DFC">
      <w:pPr>
        <w:jc w:val="both"/>
        <w:rPr>
          <w:rFonts w:ascii="Book Antiqua" w:hAnsi="Book Antiqua" w:cs="Arial"/>
          <w:color w:val="000000"/>
        </w:rPr>
      </w:pPr>
    </w:p>
    <w:p w14:paraId="3FC5EAAF" w14:textId="77777777" w:rsidR="00B95326" w:rsidRPr="009B7433" w:rsidRDefault="00B95326" w:rsidP="00A477ED">
      <w:pPr>
        <w:jc w:val="center"/>
        <w:rPr>
          <w:rFonts w:ascii="Book Antiqua" w:hAnsi="Book Antiqua" w:cs="Arial"/>
        </w:rPr>
      </w:pPr>
    </w:p>
    <w:p w14:paraId="26C9096D"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D0C71" w14:textId="77777777" w:rsidR="00AC0FA0" w:rsidRDefault="00AC0FA0">
      <w:r>
        <w:separator/>
      </w:r>
    </w:p>
  </w:endnote>
  <w:endnote w:type="continuationSeparator" w:id="0">
    <w:p w14:paraId="24BB88A1" w14:textId="77777777" w:rsidR="00AC0FA0" w:rsidRDefault="00AC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Yu Gothic"/>
    <w:charset w:val="8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71EB0" w14:textId="3F4CDBB2" w:rsidR="00424B4A" w:rsidRPr="009B7433" w:rsidRDefault="00424B4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0028D">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D16C" w14:textId="77777777" w:rsidR="00424B4A" w:rsidRPr="009B7433" w:rsidRDefault="00424B4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5D532" w14:textId="77777777" w:rsidR="00AC0FA0" w:rsidRDefault="00AC0FA0">
      <w:r>
        <w:separator/>
      </w:r>
    </w:p>
  </w:footnote>
  <w:footnote w:type="continuationSeparator" w:id="0">
    <w:p w14:paraId="01F626E3" w14:textId="77777777" w:rsidR="00AC0FA0" w:rsidRDefault="00AC0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B1C0E" w14:textId="77777777" w:rsidR="00424B4A" w:rsidRPr="009B7433" w:rsidRDefault="00424B4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EA/</w:t>
    </w:r>
    <w:r w:rsidR="00A748B7">
      <w:rPr>
        <w:rFonts w:ascii="Book Antiqua" w:hAnsi="Book Antiqua" w:cs="Arial"/>
        <w:sz w:val="16"/>
        <w:szCs w:val="16"/>
      </w:rPr>
      <w:t>14378</w:t>
    </w:r>
    <w:r>
      <w:rPr>
        <w:rFonts w:ascii="Book Antiqua" w:hAnsi="Book Antiqua" w:cs="Arial"/>
        <w:sz w:val="16"/>
        <w:szCs w:val="16"/>
      </w:rPr>
      <w:t>/201</w:t>
    </w:r>
    <w:r w:rsidR="00A748B7">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677C" w14:textId="77777777" w:rsidR="00424B4A" w:rsidRPr="009B7433" w:rsidRDefault="00424B4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7A9"/>
    <w:multiLevelType w:val="hybridMultilevel"/>
    <w:tmpl w:val="0AFCA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0EB8"/>
    <w:multiLevelType w:val="multilevel"/>
    <w:tmpl w:val="C2F0164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1332821"/>
    <w:multiLevelType w:val="multilevel"/>
    <w:tmpl w:val="E1D4240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7F70D80"/>
    <w:multiLevelType w:val="hybridMultilevel"/>
    <w:tmpl w:val="2A9E5A26"/>
    <w:lvl w:ilvl="0" w:tplc="3A6A5A7E">
      <w:start w:val="1"/>
      <w:numFmt w:val="decimal"/>
      <w:lvlText w:val="(%1)"/>
      <w:lvlJc w:val="left"/>
      <w:pPr>
        <w:ind w:left="1800" w:hanging="360"/>
      </w:pPr>
      <w:rPr>
        <w:rFonts w:ascii="Book Antiqua" w:hAnsi="Book Antiqua"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7ACB1666"/>
    <w:multiLevelType w:val="multilevel"/>
    <w:tmpl w:val="E1D4240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3"/>
    <w:rsid w:val="00000621"/>
    <w:rsid w:val="000036C2"/>
    <w:rsid w:val="00006854"/>
    <w:rsid w:val="00013A0C"/>
    <w:rsid w:val="00016C1A"/>
    <w:rsid w:val="00033588"/>
    <w:rsid w:val="00033D3D"/>
    <w:rsid w:val="00040419"/>
    <w:rsid w:val="0004776F"/>
    <w:rsid w:val="00052895"/>
    <w:rsid w:val="00062F02"/>
    <w:rsid w:val="00065A5E"/>
    <w:rsid w:val="00071A7E"/>
    <w:rsid w:val="000746C0"/>
    <w:rsid w:val="00074D1D"/>
    <w:rsid w:val="00082998"/>
    <w:rsid w:val="00092580"/>
    <w:rsid w:val="00093D4D"/>
    <w:rsid w:val="000A0743"/>
    <w:rsid w:val="000A0B1F"/>
    <w:rsid w:val="000C7C92"/>
    <w:rsid w:val="000D5D94"/>
    <w:rsid w:val="000D7B21"/>
    <w:rsid w:val="000E5D77"/>
    <w:rsid w:val="000F1A0E"/>
    <w:rsid w:val="000F21F1"/>
    <w:rsid w:val="000F7D0C"/>
    <w:rsid w:val="00104613"/>
    <w:rsid w:val="001165A7"/>
    <w:rsid w:val="00117FC6"/>
    <w:rsid w:val="00136829"/>
    <w:rsid w:val="00142E10"/>
    <w:rsid w:val="0016508E"/>
    <w:rsid w:val="00167D3A"/>
    <w:rsid w:val="00173F50"/>
    <w:rsid w:val="00185986"/>
    <w:rsid w:val="001864DF"/>
    <w:rsid w:val="0019475D"/>
    <w:rsid w:val="001A05EC"/>
    <w:rsid w:val="001A3082"/>
    <w:rsid w:val="001A53AD"/>
    <w:rsid w:val="001A73A4"/>
    <w:rsid w:val="001B186A"/>
    <w:rsid w:val="001B2F75"/>
    <w:rsid w:val="001C6F5F"/>
    <w:rsid w:val="001D6167"/>
    <w:rsid w:val="001F2716"/>
    <w:rsid w:val="001F3AC0"/>
    <w:rsid w:val="001F54D0"/>
    <w:rsid w:val="00206077"/>
    <w:rsid w:val="00207617"/>
    <w:rsid w:val="0021180D"/>
    <w:rsid w:val="00213E7C"/>
    <w:rsid w:val="00216B65"/>
    <w:rsid w:val="00217FF7"/>
    <w:rsid w:val="0023134B"/>
    <w:rsid w:val="00271CCE"/>
    <w:rsid w:val="00272C66"/>
    <w:rsid w:val="00283257"/>
    <w:rsid w:val="00283659"/>
    <w:rsid w:val="0029725D"/>
    <w:rsid w:val="002B1DA3"/>
    <w:rsid w:val="002B3DE1"/>
    <w:rsid w:val="002B574F"/>
    <w:rsid w:val="002C6BD4"/>
    <w:rsid w:val="002C6BE3"/>
    <w:rsid w:val="002C6E9D"/>
    <w:rsid w:val="002D0C50"/>
    <w:rsid w:val="002D2702"/>
    <w:rsid w:val="002D68BF"/>
    <w:rsid w:val="002E4290"/>
    <w:rsid w:val="002E4541"/>
    <w:rsid w:val="002F3968"/>
    <w:rsid w:val="002F3F3F"/>
    <w:rsid w:val="002F6B98"/>
    <w:rsid w:val="0031410B"/>
    <w:rsid w:val="00324B5E"/>
    <w:rsid w:val="00336CBF"/>
    <w:rsid w:val="0034188C"/>
    <w:rsid w:val="00343FE3"/>
    <w:rsid w:val="003546C8"/>
    <w:rsid w:val="0035496A"/>
    <w:rsid w:val="003704A6"/>
    <w:rsid w:val="00373670"/>
    <w:rsid w:val="003825D4"/>
    <w:rsid w:val="00393C92"/>
    <w:rsid w:val="003A7CF2"/>
    <w:rsid w:val="003B7D6D"/>
    <w:rsid w:val="003C5CE5"/>
    <w:rsid w:val="003D3111"/>
    <w:rsid w:val="003D6A80"/>
    <w:rsid w:val="003D6FAD"/>
    <w:rsid w:val="003E267B"/>
    <w:rsid w:val="003E7CD1"/>
    <w:rsid w:val="00402B9E"/>
    <w:rsid w:val="0041345B"/>
    <w:rsid w:val="004249CB"/>
    <w:rsid w:val="00424B4A"/>
    <w:rsid w:val="0044127D"/>
    <w:rsid w:val="004448DB"/>
    <w:rsid w:val="00446C9A"/>
    <w:rsid w:val="004503DB"/>
    <w:rsid w:val="00450CAF"/>
    <w:rsid w:val="00452F2B"/>
    <w:rsid w:val="00462BBF"/>
    <w:rsid w:val="004649F5"/>
    <w:rsid w:val="0047507E"/>
    <w:rsid w:val="00477193"/>
    <w:rsid w:val="00480C4E"/>
    <w:rsid w:val="00492E0F"/>
    <w:rsid w:val="00493751"/>
    <w:rsid w:val="004A1848"/>
    <w:rsid w:val="004A278D"/>
    <w:rsid w:val="004A2D15"/>
    <w:rsid w:val="004A534C"/>
    <w:rsid w:val="004A6F4A"/>
    <w:rsid w:val="004B70D7"/>
    <w:rsid w:val="004C795F"/>
    <w:rsid w:val="004D6B45"/>
    <w:rsid w:val="004E4717"/>
    <w:rsid w:val="004F2A45"/>
    <w:rsid w:val="0050028D"/>
    <w:rsid w:val="00507FEC"/>
    <w:rsid w:val="00510F0E"/>
    <w:rsid w:val="00523179"/>
    <w:rsid w:val="005312E6"/>
    <w:rsid w:val="00533B6D"/>
    <w:rsid w:val="005479E1"/>
    <w:rsid w:val="00553028"/>
    <w:rsid w:val="00553E0A"/>
    <w:rsid w:val="005570FD"/>
    <w:rsid w:val="005575EA"/>
    <w:rsid w:val="00564DA7"/>
    <w:rsid w:val="00566471"/>
    <w:rsid w:val="005723BB"/>
    <w:rsid w:val="0057790C"/>
    <w:rsid w:val="00584A3F"/>
    <w:rsid w:val="00585666"/>
    <w:rsid w:val="00591E8A"/>
    <w:rsid w:val="00593795"/>
    <w:rsid w:val="005A75FF"/>
    <w:rsid w:val="005D10AB"/>
    <w:rsid w:val="005D2831"/>
    <w:rsid w:val="005D5BC6"/>
    <w:rsid w:val="005E51EE"/>
    <w:rsid w:val="00601D8F"/>
    <w:rsid w:val="00605582"/>
    <w:rsid w:val="00606A60"/>
    <w:rsid w:val="00611F34"/>
    <w:rsid w:val="006203B4"/>
    <w:rsid w:val="00621FE8"/>
    <w:rsid w:val="006434B6"/>
    <w:rsid w:val="00647547"/>
    <w:rsid w:val="00653E97"/>
    <w:rsid w:val="0065403E"/>
    <w:rsid w:val="006667DB"/>
    <w:rsid w:val="00667210"/>
    <w:rsid w:val="006703CC"/>
    <w:rsid w:val="00684A74"/>
    <w:rsid w:val="00684FE7"/>
    <w:rsid w:val="0068620A"/>
    <w:rsid w:val="0069040D"/>
    <w:rsid w:val="00690B8A"/>
    <w:rsid w:val="006A69A3"/>
    <w:rsid w:val="006B53B8"/>
    <w:rsid w:val="006C6618"/>
    <w:rsid w:val="006C76E0"/>
    <w:rsid w:val="006F2CF1"/>
    <w:rsid w:val="00700C49"/>
    <w:rsid w:val="007038ED"/>
    <w:rsid w:val="00703BC3"/>
    <w:rsid w:val="00704B61"/>
    <w:rsid w:val="00706104"/>
    <w:rsid w:val="00714B7B"/>
    <w:rsid w:val="00715A64"/>
    <w:rsid w:val="00715CF2"/>
    <w:rsid w:val="00717DC0"/>
    <w:rsid w:val="0072026B"/>
    <w:rsid w:val="00737CCB"/>
    <w:rsid w:val="00740C1F"/>
    <w:rsid w:val="0075228D"/>
    <w:rsid w:val="007552A9"/>
    <w:rsid w:val="0075658A"/>
    <w:rsid w:val="00761858"/>
    <w:rsid w:val="00761ED4"/>
    <w:rsid w:val="00767D59"/>
    <w:rsid w:val="00776E97"/>
    <w:rsid w:val="00780F86"/>
    <w:rsid w:val="007912AD"/>
    <w:rsid w:val="007A60F6"/>
    <w:rsid w:val="007B0824"/>
    <w:rsid w:val="007B5D3C"/>
    <w:rsid w:val="007D2A2D"/>
    <w:rsid w:val="007F4C8F"/>
    <w:rsid w:val="00815011"/>
    <w:rsid w:val="00821B72"/>
    <w:rsid w:val="00823EF2"/>
    <w:rsid w:val="008303B8"/>
    <w:rsid w:val="00833373"/>
    <w:rsid w:val="00833DCE"/>
    <w:rsid w:val="00833E86"/>
    <w:rsid w:val="00834E20"/>
    <w:rsid w:val="008366A6"/>
    <w:rsid w:val="00842842"/>
    <w:rsid w:val="00843E1F"/>
    <w:rsid w:val="00846926"/>
    <w:rsid w:val="0085289D"/>
    <w:rsid w:val="00855865"/>
    <w:rsid w:val="00866109"/>
    <w:rsid w:val="00871D34"/>
    <w:rsid w:val="00877033"/>
    <w:rsid w:val="00882C1A"/>
    <w:rsid w:val="008879A0"/>
    <w:rsid w:val="00897BD7"/>
    <w:rsid w:val="008A25EC"/>
    <w:rsid w:val="008A4627"/>
    <w:rsid w:val="008A5BF3"/>
    <w:rsid w:val="008A6059"/>
    <w:rsid w:val="008A70EC"/>
    <w:rsid w:val="008B270C"/>
    <w:rsid w:val="008B5078"/>
    <w:rsid w:val="008B7288"/>
    <w:rsid w:val="008C3D3D"/>
    <w:rsid w:val="008D4131"/>
    <w:rsid w:val="008F1932"/>
    <w:rsid w:val="0090151B"/>
    <w:rsid w:val="009042A9"/>
    <w:rsid w:val="00921062"/>
    <w:rsid w:val="00941C7A"/>
    <w:rsid w:val="00964821"/>
    <w:rsid w:val="009669C6"/>
    <w:rsid w:val="009722BC"/>
    <w:rsid w:val="009724F9"/>
    <w:rsid w:val="009727A3"/>
    <w:rsid w:val="00981899"/>
    <w:rsid w:val="00984C13"/>
    <w:rsid w:val="0098687D"/>
    <w:rsid w:val="00987774"/>
    <w:rsid w:val="009A11E8"/>
    <w:rsid w:val="009A4ADC"/>
    <w:rsid w:val="009B582F"/>
    <w:rsid w:val="009B7433"/>
    <w:rsid w:val="009C57C8"/>
    <w:rsid w:val="009D2F61"/>
    <w:rsid w:val="009D4A04"/>
    <w:rsid w:val="009D4FCB"/>
    <w:rsid w:val="009E71D9"/>
    <w:rsid w:val="009F028B"/>
    <w:rsid w:val="009F0431"/>
    <w:rsid w:val="009F2772"/>
    <w:rsid w:val="009F51BF"/>
    <w:rsid w:val="009F5220"/>
    <w:rsid w:val="00A02891"/>
    <w:rsid w:val="00A07919"/>
    <w:rsid w:val="00A15234"/>
    <w:rsid w:val="00A172F5"/>
    <w:rsid w:val="00A201AB"/>
    <w:rsid w:val="00A26A17"/>
    <w:rsid w:val="00A272CE"/>
    <w:rsid w:val="00A27EAF"/>
    <w:rsid w:val="00A3013F"/>
    <w:rsid w:val="00A31C8B"/>
    <w:rsid w:val="00A44490"/>
    <w:rsid w:val="00A477ED"/>
    <w:rsid w:val="00A509FA"/>
    <w:rsid w:val="00A619AE"/>
    <w:rsid w:val="00A669FF"/>
    <w:rsid w:val="00A748B7"/>
    <w:rsid w:val="00A77636"/>
    <w:rsid w:val="00A845DC"/>
    <w:rsid w:val="00A92FD0"/>
    <w:rsid w:val="00AC0FA0"/>
    <w:rsid w:val="00AE028B"/>
    <w:rsid w:val="00AE5E65"/>
    <w:rsid w:val="00AE6FC5"/>
    <w:rsid w:val="00AF3060"/>
    <w:rsid w:val="00AF3404"/>
    <w:rsid w:val="00AF4AFD"/>
    <w:rsid w:val="00B11239"/>
    <w:rsid w:val="00B13C74"/>
    <w:rsid w:val="00B26AA2"/>
    <w:rsid w:val="00B34BD2"/>
    <w:rsid w:val="00B3524D"/>
    <w:rsid w:val="00B40F69"/>
    <w:rsid w:val="00B46616"/>
    <w:rsid w:val="00B47B0C"/>
    <w:rsid w:val="00B528BB"/>
    <w:rsid w:val="00B61DE6"/>
    <w:rsid w:val="00B7040A"/>
    <w:rsid w:val="00B70FBC"/>
    <w:rsid w:val="00B83391"/>
    <w:rsid w:val="00B95326"/>
    <w:rsid w:val="00B95EA5"/>
    <w:rsid w:val="00BA17D8"/>
    <w:rsid w:val="00BA1DA2"/>
    <w:rsid w:val="00BB2043"/>
    <w:rsid w:val="00BC5A1A"/>
    <w:rsid w:val="00BD4196"/>
    <w:rsid w:val="00BF22CA"/>
    <w:rsid w:val="00BF23BB"/>
    <w:rsid w:val="00BF6087"/>
    <w:rsid w:val="00BF65A6"/>
    <w:rsid w:val="00C152F7"/>
    <w:rsid w:val="00C218DC"/>
    <w:rsid w:val="00C23DFC"/>
    <w:rsid w:val="00C26032"/>
    <w:rsid w:val="00C345E1"/>
    <w:rsid w:val="00C43BFD"/>
    <w:rsid w:val="00C6048A"/>
    <w:rsid w:val="00C649D0"/>
    <w:rsid w:val="00C97CEE"/>
    <w:rsid w:val="00CA12ED"/>
    <w:rsid w:val="00CB31DE"/>
    <w:rsid w:val="00CB6E35"/>
    <w:rsid w:val="00CC4E6B"/>
    <w:rsid w:val="00CD1691"/>
    <w:rsid w:val="00CD21D8"/>
    <w:rsid w:val="00CD4AFE"/>
    <w:rsid w:val="00CE09B1"/>
    <w:rsid w:val="00CE1A46"/>
    <w:rsid w:val="00CF2E7B"/>
    <w:rsid w:val="00CF6EBD"/>
    <w:rsid w:val="00D003EE"/>
    <w:rsid w:val="00D05EA6"/>
    <w:rsid w:val="00D15920"/>
    <w:rsid w:val="00D20757"/>
    <w:rsid w:val="00D22636"/>
    <w:rsid w:val="00D22AAD"/>
    <w:rsid w:val="00D27CF5"/>
    <w:rsid w:val="00D40FD9"/>
    <w:rsid w:val="00D46372"/>
    <w:rsid w:val="00D53769"/>
    <w:rsid w:val="00D57009"/>
    <w:rsid w:val="00D606FA"/>
    <w:rsid w:val="00D6602D"/>
    <w:rsid w:val="00D73A36"/>
    <w:rsid w:val="00D85C13"/>
    <w:rsid w:val="00D9111A"/>
    <w:rsid w:val="00D91BE3"/>
    <w:rsid w:val="00D949B7"/>
    <w:rsid w:val="00D94AFC"/>
    <w:rsid w:val="00DB70AE"/>
    <w:rsid w:val="00DD5071"/>
    <w:rsid w:val="00DD5C39"/>
    <w:rsid w:val="00DE5CD4"/>
    <w:rsid w:val="00DE7DB7"/>
    <w:rsid w:val="00DF6A8F"/>
    <w:rsid w:val="00E00A0A"/>
    <w:rsid w:val="00E0604D"/>
    <w:rsid w:val="00E066DE"/>
    <w:rsid w:val="00E07F57"/>
    <w:rsid w:val="00E119E6"/>
    <w:rsid w:val="00E30683"/>
    <w:rsid w:val="00E33BC3"/>
    <w:rsid w:val="00E403E4"/>
    <w:rsid w:val="00E42107"/>
    <w:rsid w:val="00E453D8"/>
    <w:rsid w:val="00E50BCE"/>
    <w:rsid w:val="00E55D78"/>
    <w:rsid w:val="00E574BF"/>
    <w:rsid w:val="00E61292"/>
    <w:rsid w:val="00E6478E"/>
    <w:rsid w:val="00E76177"/>
    <w:rsid w:val="00E77C4D"/>
    <w:rsid w:val="00E80947"/>
    <w:rsid w:val="00E81D01"/>
    <w:rsid w:val="00E844A3"/>
    <w:rsid w:val="00E94009"/>
    <w:rsid w:val="00EA20DA"/>
    <w:rsid w:val="00EA57C7"/>
    <w:rsid w:val="00EA5BBD"/>
    <w:rsid w:val="00EA79AF"/>
    <w:rsid w:val="00EB485A"/>
    <w:rsid w:val="00EC1475"/>
    <w:rsid w:val="00EC2828"/>
    <w:rsid w:val="00EC5AC8"/>
    <w:rsid w:val="00EE45D8"/>
    <w:rsid w:val="00EF49A2"/>
    <w:rsid w:val="00F13CCF"/>
    <w:rsid w:val="00F17538"/>
    <w:rsid w:val="00F22EDA"/>
    <w:rsid w:val="00F241E2"/>
    <w:rsid w:val="00F33FF2"/>
    <w:rsid w:val="00F470D6"/>
    <w:rsid w:val="00F5589A"/>
    <w:rsid w:val="00F65550"/>
    <w:rsid w:val="00F8014E"/>
    <w:rsid w:val="00F87916"/>
    <w:rsid w:val="00FC40FA"/>
    <w:rsid w:val="00FD5AB5"/>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7B403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Normal1">
    <w:name w:val="Normal1"/>
    <w:basedOn w:val="Normal"/>
    <w:rsid w:val="004F2A45"/>
    <w:pPr>
      <w:spacing w:before="100" w:beforeAutospacing="1" w:after="100" w:afterAutospacing="1"/>
    </w:pPr>
  </w:style>
  <w:style w:type="character" w:customStyle="1" w:styleId="italic">
    <w:name w:val="italic"/>
    <w:basedOn w:val="DefaultParagraphFont"/>
    <w:rsid w:val="004F2A45"/>
  </w:style>
  <w:style w:type="paragraph" w:customStyle="1" w:styleId="count">
    <w:name w:val="count"/>
    <w:basedOn w:val="Normal"/>
    <w:rsid w:val="004F2A45"/>
    <w:pPr>
      <w:spacing w:before="100" w:beforeAutospacing="1" w:after="100" w:afterAutospacing="1"/>
    </w:pPr>
  </w:style>
  <w:style w:type="paragraph" w:styleId="ListParagraph">
    <w:name w:val="List Paragraph"/>
    <w:basedOn w:val="Normal"/>
    <w:uiPriority w:val="34"/>
    <w:qFormat/>
    <w:rsid w:val="001864DF"/>
    <w:pPr>
      <w:ind w:left="720"/>
      <w:contextualSpacing/>
    </w:pPr>
  </w:style>
  <w:style w:type="paragraph" w:customStyle="1" w:styleId="Default">
    <w:name w:val="Default"/>
    <w:rsid w:val="006A69A3"/>
    <w:pPr>
      <w:autoSpaceDE w:val="0"/>
      <w:autoSpaceDN w:val="0"/>
      <w:adjustRightInd w:val="0"/>
    </w:pPr>
    <w:rPr>
      <w:rFonts w:ascii="Arial" w:hAnsi="Arial" w:cs="Arial"/>
      <w:color w:val="000000"/>
      <w:sz w:val="24"/>
      <w:szCs w:val="24"/>
    </w:rPr>
  </w:style>
  <w:style w:type="paragraph" w:styleId="NormalWeb">
    <w:name w:val="Normal (Web)"/>
    <w:basedOn w:val="Normal"/>
    <w:uiPriority w:val="99"/>
    <w:rsid w:val="006A69A3"/>
    <w:pPr>
      <w:spacing w:beforeLines="1" w:afterLines="1"/>
    </w:pPr>
    <w:rPr>
      <w:rFonts w:ascii="Times" w:eastAsia="Cambria" w:hAnsi="Times"/>
      <w:sz w:val="20"/>
      <w:szCs w:val="20"/>
      <w:lang w:eastAsia="en-US"/>
    </w:rPr>
  </w:style>
  <w:style w:type="character" w:styleId="UnresolvedMention">
    <w:name w:val="Unresolved Mention"/>
    <w:basedOn w:val="DefaultParagraphFont"/>
    <w:uiPriority w:val="99"/>
    <w:semiHidden/>
    <w:unhideWhenUsed/>
    <w:rsid w:val="00B11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0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8C0C-E7A3-45BE-B604-5B44A12E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6101</Characters>
  <Application>Microsoft Office Word</Application>
  <DocSecurity>0</DocSecurity>
  <Lines>50</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2018-10-08T15:07:00Z</dcterms:created>
  <dcterms:modified xsi:type="dcterms:W3CDTF">2018-10-08T15:07:00Z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