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E55" w:rsidRDefault="00722E55" w:rsidP="0050388A">
      <w:pPr>
        <w:jc w:val="center"/>
        <w:rPr>
          <w:caps/>
          <w:color w:val="000000"/>
        </w:rPr>
      </w:pPr>
    </w:p>
    <w:p w:rsidR="003257CA" w:rsidRPr="00722E55" w:rsidRDefault="00A53185" w:rsidP="0050388A">
      <w:pPr>
        <w:jc w:val="center"/>
        <w:rPr>
          <w:caps/>
          <w:color w:val="000000"/>
        </w:rPr>
      </w:pPr>
      <w:r w:rsidRPr="00722E55">
        <w:rPr>
          <w:noProof/>
        </w:rPr>
        <w:drawing>
          <wp:inline distT="0" distB="0" distL="0" distR="0" wp14:anchorId="0F3FEC25" wp14:editId="2253070F">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722E55" w:rsidRDefault="003257CA" w:rsidP="002630D9">
      <w:pPr>
        <w:tabs>
          <w:tab w:val="right" w:pos="9720"/>
        </w:tabs>
        <w:spacing w:line="360" w:lineRule="auto"/>
        <w:ind w:right="-82"/>
        <w:rPr>
          <w:b/>
          <w:color w:val="000000"/>
        </w:rPr>
      </w:pPr>
      <w:r w:rsidRPr="00722E55">
        <w:rPr>
          <w:b/>
          <w:color w:val="000000"/>
        </w:rPr>
        <w:t xml:space="preserve">Upper Tribunal </w:t>
      </w:r>
    </w:p>
    <w:p w:rsidR="003257CA" w:rsidRPr="00722E55" w:rsidRDefault="003257CA" w:rsidP="002630D9">
      <w:pPr>
        <w:tabs>
          <w:tab w:val="right" w:pos="9720"/>
        </w:tabs>
        <w:spacing w:line="360" w:lineRule="auto"/>
        <w:ind w:right="-82"/>
        <w:rPr>
          <w:b/>
          <w:color w:val="000000"/>
        </w:rPr>
      </w:pPr>
      <w:r w:rsidRPr="00722E55">
        <w:rPr>
          <w:b/>
          <w:color w:val="000000"/>
        </w:rPr>
        <w:t>(</w:t>
      </w:r>
      <w:r w:rsidR="00722E55" w:rsidRPr="00722E55">
        <w:rPr>
          <w:b/>
          <w:color w:val="000000"/>
        </w:rPr>
        <w:t xml:space="preserve">Immigration and Asylum </w:t>
      </w:r>
      <w:proofErr w:type="gramStart"/>
      <w:r w:rsidR="00722E55" w:rsidRPr="00722E55">
        <w:rPr>
          <w:b/>
          <w:color w:val="000000"/>
        </w:rPr>
        <w:t xml:space="preserve">Chamber)   </w:t>
      </w:r>
      <w:proofErr w:type="gramEnd"/>
      <w:r w:rsidR="00722E55" w:rsidRPr="00722E55">
        <w:rPr>
          <w:b/>
          <w:color w:val="000000"/>
        </w:rPr>
        <w:t xml:space="preserve">                     </w:t>
      </w:r>
      <w:r w:rsidRPr="00722E55">
        <w:rPr>
          <w:b/>
          <w:color w:val="000000"/>
        </w:rPr>
        <w:t xml:space="preserve">Appeal Number: </w:t>
      </w:r>
      <w:r w:rsidR="007B3613" w:rsidRPr="00722E55">
        <w:rPr>
          <w:b/>
          <w:color w:val="000000"/>
        </w:rPr>
        <w:t>HU/0</w:t>
      </w:r>
      <w:r w:rsidR="00F75148" w:rsidRPr="00722E55">
        <w:rPr>
          <w:b/>
          <w:color w:val="000000"/>
        </w:rPr>
        <w:t>0209</w:t>
      </w:r>
      <w:r w:rsidR="007B3613" w:rsidRPr="00722E55">
        <w:rPr>
          <w:b/>
          <w:color w:val="000000"/>
        </w:rPr>
        <w:t>/201</w:t>
      </w:r>
      <w:r w:rsidR="00F75148" w:rsidRPr="00722E55">
        <w:rPr>
          <w:b/>
          <w:color w:val="000000"/>
        </w:rPr>
        <w:t>7</w:t>
      </w:r>
    </w:p>
    <w:p w:rsidR="00BA5867" w:rsidRPr="00722E55" w:rsidRDefault="00CB6CFF" w:rsidP="00722E55">
      <w:pPr>
        <w:tabs>
          <w:tab w:val="right" w:pos="9720"/>
        </w:tabs>
        <w:ind w:right="-79"/>
        <w:rPr>
          <w:b/>
          <w:color w:val="000000"/>
        </w:rPr>
      </w:pPr>
      <w:r w:rsidRPr="00722E55">
        <w:rPr>
          <w:b/>
          <w:color w:val="000000"/>
        </w:rPr>
        <w:t xml:space="preserve">                                                                                                                 </w:t>
      </w:r>
    </w:p>
    <w:p w:rsidR="003257CA" w:rsidRPr="00722E55" w:rsidRDefault="003257CA" w:rsidP="002630D9">
      <w:pPr>
        <w:spacing w:line="360" w:lineRule="auto"/>
        <w:jc w:val="center"/>
        <w:rPr>
          <w:b/>
          <w:color w:val="000000"/>
          <w:u w:val="single"/>
        </w:rPr>
      </w:pPr>
      <w:r w:rsidRPr="00722E55">
        <w:rPr>
          <w:b/>
          <w:color w:val="000000"/>
          <w:u w:val="single"/>
        </w:rPr>
        <w:t>THE IMMIGRATION ACTS</w:t>
      </w:r>
    </w:p>
    <w:p w:rsidR="00BA5867" w:rsidRPr="00722E55" w:rsidRDefault="00BA5867" w:rsidP="00722E55">
      <w:pPr>
        <w:jc w:val="center"/>
        <w:rPr>
          <w:b/>
          <w:color w:val="000000"/>
          <w:u w:val="single"/>
        </w:rPr>
      </w:pPr>
    </w:p>
    <w:tbl>
      <w:tblPr>
        <w:tblW w:w="0" w:type="auto"/>
        <w:tblLook w:val="01E0" w:firstRow="1" w:lastRow="1" w:firstColumn="1" w:lastColumn="1" w:noHBand="0" w:noVBand="0"/>
      </w:tblPr>
      <w:tblGrid>
        <w:gridCol w:w="5103"/>
        <w:gridCol w:w="596"/>
        <w:gridCol w:w="3939"/>
      </w:tblGrid>
      <w:tr w:rsidR="003257CA" w:rsidRPr="00722E55" w:rsidTr="00722E55">
        <w:tc>
          <w:tcPr>
            <w:tcW w:w="5103" w:type="dxa"/>
          </w:tcPr>
          <w:p w:rsidR="003257CA" w:rsidRPr="00722E55" w:rsidRDefault="003257CA" w:rsidP="002630D9">
            <w:pPr>
              <w:spacing w:line="360" w:lineRule="auto"/>
              <w:jc w:val="both"/>
              <w:rPr>
                <w:b/>
              </w:rPr>
            </w:pPr>
            <w:r w:rsidRPr="00722E55">
              <w:rPr>
                <w:b/>
              </w:rPr>
              <w:t xml:space="preserve">Heard at </w:t>
            </w:r>
            <w:r w:rsidR="003A447D" w:rsidRPr="00722E55">
              <w:rPr>
                <w:b/>
              </w:rPr>
              <w:t>Royal Courts of Justice</w:t>
            </w:r>
          </w:p>
        </w:tc>
        <w:tc>
          <w:tcPr>
            <w:tcW w:w="4535" w:type="dxa"/>
            <w:gridSpan w:val="2"/>
          </w:tcPr>
          <w:p w:rsidR="003257CA" w:rsidRPr="00722E55" w:rsidRDefault="003257CA" w:rsidP="002630D9">
            <w:pPr>
              <w:spacing w:line="360" w:lineRule="auto"/>
              <w:jc w:val="both"/>
              <w:rPr>
                <w:b/>
                <w:color w:val="000000"/>
              </w:rPr>
            </w:pPr>
            <w:r w:rsidRPr="00722E55">
              <w:rPr>
                <w:b/>
                <w:color w:val="000000"/>
              </w:rPr>
              <w:t>Decision &amp; Reasons Promulgated</w:t>
            </w:r>
          </w:p>
        </w:tc>
      </w:tr>
      <w:tr w:rsidR="003257CA" w:rsidRPr="00722E55" w:rsidTr="00722E55">
        <w:tc>
          <w:tcPr>
            <w:tcW w:w="5103" w:type="dxa"/>
          </w:tcPr>
          <w:p w:rsidR="003257CA" w:rsidRPr="00722E55" w:rsidRDefault="003257CA" w:rsidP="002630D9">
            <w:pPr>
              <w:spacing w:line="360" w:lineRule="auto"/>
              <w:jc w:val="both"/>
              <w:rPr>
                <w:b/>
              </w:rPr>
            </w:pPr>
            <w:r w:rsidRPr="00722E55">
              <w:rPr>
                <w:b/>
              </w:rPr>
              <w:t xml:space="preserve">On </w:t>
            </w:r>
            <w:r w:rsidR="00F75148" w:rsidRPr="00722E55">
              <w:rPr>
                <w:b/>
              </w:rPr>
              <w:t>6 August</w:t>
            </w:r>
            <w:r w:rsidRPr="00722E55">
              <w:rPr>
                <w:b/>
              </w:rPr>
              <w:t xml:space="preserve"> 2018</w:t>
            </w:r>
          </w:p>
        </w:tc>
        <w:tc>
          <w:tcPr>
            <w:tcW w:w="4535" w:type="dxa"/>
            <w:gridSpan w:val="2"/>
          </w:tcPr>
          <w:p w:rsidR="003257CA" w:rsidRPr="00722E55" w:rsidRDefault="005D5116" w:rsidP="002630D9">
            <w:pPr>
              <w:spacing w:line="360" w:lineRule="auto"/>
              <w:jc w:val="both"/>
              <w:rPr>
                <w:b/>
              </w:rPr>
            </w:pPr>
            <w:r w:rsidRPr="00722E55">
              <w:rPr>
                <w:b/>
              </w:rPr>
              <w:t>On 20 August 2018</w:t>
            </w:r>
          </w:p>
        </w:tc>
      </w:tr>
      <w:tr w:rsidR="003257CA" w:rsidRPr="00722E55" w:rsidTr="007B3613">
        <w:tc>
          <w:tcPr>
            <w:tcW w:w="5699" w:type="dxa"/>
            <w:gridSpan w:val="2"/>
          </w:tcPr>
          <w:p w:rsidR="003257CA" w:rsidRPr="00722E55" w:rsidRDefault="003257CA" w:rsidP="002630D9">
            <w:pPr>
              <w:spacing w:line="360" w:lineRule="auto"/>
              <w:jc w:val="both"/>
              <w:rPr>
                <w:b/>
              </w:rPr>
            </w:pPr>
          </w:p>
        </w:tc>
        <w:tc>
          <w:tcPr>
            <w:tcW w:w="3939" w:type="dxa"/>
          </w:tcPr>
          <w:p w:rsidR="003257CA" w:rsidRPr="00722E55" w:rsidRDefault="003257CA" w:rsidP="002630D9">
            <w:pPr>
              <w:spacing w:line="360" w:lineRule="auto"/>
              <w:jc w:val="both"/>
              <w:rPr>
                <w:b/>
              </w:rPr>
            </w:pPr>
          </w:p>
        </w:tc>
      </w:tr>
    </w:tbl>
    <w:p w:rsidR="003257CA" w:rsidRPr="00722E55" w:rsidRDefault="003257CA" w:rsidP="002630D9">
      <w:pPr>
        <w:spacing w:line="360" w:lineRule="auto"/>
        <w:jc w:val="center"/>
        <w:rPr>
          <w:b/>
        </w:rPr>
      </w:pPr>
      <w:r w:rsidRPr="00722E55">
        <w:rPr>
          <w:b/>
        </w:rPr>
        <w:t>Before</w:t>
      </w:r>
    </w:p>
    <w:p w:rsidR="00722E55" w:rsidRPr="00722E55" w:rsidRDefault="00722E55" w:rsidP="00722E55">
      <w:pPr>
        <w:jc w:val="center"/>
        <w:rPr>
          <w:b/>
        </w:rPr>
      </w:pPr>
    </w:p>
    <w:p w:rsidR="003257CA" w:rsidRPr="00722E55" w:rsidRDefault="003257CA" w:rsidP="002630D9">
      <w:pPr>
        <w:spacing w:line="360" w:lineRule="auto"/>
        <w:jc w:val="center"/>
        <w:rPr>
          <w:b/>
          <w:color w:val="000000"/>
        </w:rPr>
      </w:pPr>
      <w:r w:rsidRPr="00722E55">
        <w:rPr>
          <w:b/>
          <w:color w:val="000000"/>
        </w:rPr>
        <w:t>UPPER TRIBUNAL JUDGE FINCH</w:t>
      </w:r>
    </w:p>
    <w:p w:rsidR="00BA5867" w:rsidRPr="00722E55" w:rsidRDefault="00BA5867" w:rsidP="00722E55">
      <w:pPr>
        <w:jc w:val="center"/>
        <w:rPr>
          <w:b/>
        </w:rPr>
      </w:pPr>
    </w:p>
    <w:p w:rsidR="003257CA" w:rsidRPr="00722E55" w:rsidRDefault="003257CA" w:rsidP="002630D9">
      <w:pPr>
        <w:spacing w:line="360" w:lineRule="auto"/>
        <w:jc w:val="center"/>
        <w:rPr>
          <w:b/>
        </w:rPr>
      </w:pPr>
      <w:r w:rsidRPr="00722E55">
        <w:rPr>
          <w:b/>
        </w:rPr>
        <w:t>Between</w:t>
      </w:r>
    </w:p>
    <w:p w:rsidR="00722E55" w:rsidRPr="00722E55" w:rsidRDefault="00722E55" w:rsidP="00722E55">
      <w:pPr>
        <w:jc w:val="center"/>
        <w:rPr>
          <w:b/>
        </w:rPr>
      </w:pPr>
    </w:p>
    <w:p w:rsidR="00F75148" w:rsidRPr="00722E55" w:rsidRDefault="00F75148" w:rsidP="002630D9">
      <w:pPr>
        <w:spacing w:line="360" w:lineRule="auto"/>
        <w:jc w:val="center"/>
        <w:rPr>
          <w:b/>
        </w:rPr>
      </w:pPr>
      <w:r w:rsidRPr="00722E55">
        <w:rPr>
          <w:b/>
        </w:rPr>
        <w:t>RUBINA A</w:t>
      </w:r>
      <w:r w:rsidR="0029496D" w:rsidRPr="00722E55">
        <w:rPr>
          <w:b/>
        </w:rPr>
        <w:t>F</w:t>
      </w:r>
      <w:r w:rsidRPr="00722E55">
        <w:rPr>
          <w:b/>
        </w:rPr>
        <w:t>TAB</w:t>
      </w:r>
    </w:p>
    <w:p w:rsidR="00DD4868" w:rsidRPr="00722E55" w:rsidRDefault="00DD4868" w:rsidP="002630D9">
      <w:pPr>
        <w:spacing w:line="360" w:lineRule="auto"/>
        <w:jc w:val="center"/>
        <w:rPr>
          <w:u w:val="single"/>
        </w:rPr>
      </w:pPr>
      <w:r w:rsidRPr="00722E55">
        <w:rPr>
          <w:b/>
        </w:rPr>
        <w:t xml:space="preserve">                                                                                                                                      </w:t>
      </w:r>
      <w:r w:rsidRPr="00722E55">
        <w:rPr>
          <w:u w:val="single"/>
        </w:rPr>
        <w:t xml:space="preserve">Appellant </w:t>
      </w:r>
    </w:p>
    <w:p w:rsidR="00DD4868" w:rsidRPr="00722E55" w:rsidRDefault="007B3613" w:rsidP="002630D9">
      <w:pPr>
        <w:spacing w:line="360" w:lineRule="auto"/>
        <w:jc w:val="center"/>
        <w:rPr>
          <w:b/>
        </w:rPr>
      </w:pPr>
      <w:r w:rsidRPr="00722E55">
        <w:rPr>
          <w:b/>
        </w:rPr>
        <w:t>a</w:t>
      </w:r>
      <w:r w:rsidR="00DD4868" w:rsidRPr="00722E55">
        <w:rPr>
          <w:b/>
        </w:rPr>
        <w:t>nd</w:t>
      </w:r>
    </w:p>
    <w:p w:rsidR="007B3613" w:rsidRPr="00722E55" w:rsidRDefault="00F75148" w:rsidP="002630D9">
      <w:pPr>
        <w:spacing w:line="360" w:lineRule="auto"/>
        <w:jc w:val="center"/>
        <w:rPr>
          <w:b/>
        </w:rPr>
      </w:pPr>
      <w:r w:rsidRPr="00722E55">
        <w:rPr>
          <w:b/>
        </w:rPr>
        <w:t xml:space="preserve">THE SECRETARY OF STATE FOR THE HOME DEPARTMENT </w:t>
      </w:r>
    </w:p>
    <w:p w:rsidR="00DD4868" w:rsidRPr="00722E55" w:rsidRDefault="00DD4868" w:rsidP="002630D9">
      <w:pPr>
        <w:spacing w:line="360" w:lineRule="auto"/>
        <w:jc w:val="center"/>
        <w:rPr>
          <w:u w:val="single"/>
        </w:rPr>
      </w:pPr>
      <w:r w:rsidRPr="00722E55">
        <w:rPr>
          <w:b/>
        </w:rPr>
        <w:t xml:space="preserve">                                       </w:t>
      </w:r>
      <w:r w:rsidRPr="00722E55">
        <w:rPr>
          <w:b/>
        </w:rPr>
        <w:tab/>
      </w:r>
      <w:r w:rsidRPr="00722E55">
        <w:rPr>
          <w:b/>
        </w:rPr>
        <w:tab/>
      </w:r>
      <w:r w:rsidRPr="00722E55">
        <w:rPr>
          <w:b/>
        </w:rPr>
        <w:tab/>
      </w:r>
      <w:r w:rsidRPr="00722E55">
        <w:rPr>
          <w:b/>
        </w:rPr>
        <w:tab/>
      </w:r>
      <w:r w:rsidRPr="00722E55">
        <w:rPr>
          <w:b/>
        </w:rPr>
        <w:tab/>
      </w:r>
      <w:r w:rsidRPr="00722E55">
        <w:rPr>
          <w:b/>
        </w:rPr>
        <w:tab/>
      </w:r>
      <w:r w:rsidRPr="00722E55">
        <w:rPr>
          <w:b/>
        </w:rPr>
        <w:tab/>
      </w:r>
      <w:r w:rsidRPr="00722E55">
        <w:rPr>
          <w:b/>
        </w:rPr>
        <w:tab/>
      </w:r>
      <w:r w:rsidRPr="00722E55">
        <w:rPr>
          <w:b/>
        </w:rPr>
        <w:tab/>
      </w:r>
      <w:r w:rsidRPr="00722E55">
        <w:rPr>
          <w:b/>
        </w:rPr>
        <w:tab/>
        <w:t xml:space="preserve">  </w:t>
      </w:r>
      <w:r w:rsidRPr="00722E55">
        <w:rPr>
          <w:u w:val="single"/>
        </w:rPr>
        <w:t xml:space="preserve">Respondent </w:t>
      </w:r>
    </w:p>
    <w:p w:rsidR="003257CA" w:rsidRPr="00722E55" w:rsidRDefault="003257CA" w:rsidP="002630D9">
      <w:pPr>
        <w:spacing w:line="360" w:lineRule="auto"/>
      </w:pPr>
      <w:r w:rsidRPr="00722E55">
        <w:rPr>
          <w:b/>
          <w:u w:val="single"/>
        </w:rPr>
        <w:t>Representation</w:t>
      </w:r>
      <w:r w:rsidRPr="00722E55">
        <w:rPr>
          <w:b/>
        </w:rPr>
        <w:t xml:space="preserve">: </w:t>
      </w:r>
    </w:p>
    <w:p w:rsidR="005D603D" w:rsidRPr="00722E55" w:rsidRDefault="003257CA" w:rsidP="005D603D">
      <w:pPr>
        <w:tabs>
          <w:tab w:val="left" w:pos="2520"/>
        </w:tabs>
        <w:spacing w:line="360" w:lineRule="auto"/>
      </w:pPr>
      <w:r w:rsidRPr="00722E55">
        <w:t>For the Appellant:</w:t>
      </w:r>
      <w:r w:rsidRPr="00722E55">
        <w:tab/>
      </w:r>
      <w:r w:rsidR="0029496D" w:rsidRPr="00722E55">
        <w:t>Mr. A. Eaton of counsel, instructed by Shah Jalal Solicitors</w:t>
      </w:r>
      <w:r w:rsidRPr="00722E55">
        <w:tab/>
      </w:r>
      <w:r w:rsidRPr="00722E55">
        <w:tab/>
      </w:r>
    </w:p>
    <w:p w:rsidR="005D603D" w:rsidRPr="00722E55" w:rsidRDefault="003257CA" w:rsidP="005D603D">
      <w:pPr>
        <w:tabs>
          <w:tab w:val="left" w:pos="2520"/>
        </w:tabs>
        <w:spacing w:line="360" w:lineRule="auto"/>
      </w:pPr>
      <w:r w:rsidRPr="00722E55">
        <w:t>For the Respondent:</w:t>
      </w:r>
      <w:r w:rsidRPr="00722E55">
        <w:tab/>
      </w:r>
      <w:r w:rsidR="0029496D" w:rsidRPr="00722E55">
        <w:t>Mr. T. Melvin, Home Office Presenting Officer</w:t>
      </w:r>
      <w:r w:rsidRPr="00722E55">
        <w:t xml:space="preserve">              </w:t>
      </w:r>
    </w:p>
    <w:p w:rsidR="003257CA" w:rsidRPr="00722E55" w:rsidRDefault="003257CA" w:rsidP="002630D9">
      <w:pPr>
        <w:spacing w:line="360" w:lineRule="auto"/>
        <w:jc w:val="center"/>
        <w:rPr>
          <w:b/>
          <w:u w:val="single"/>
        </w:rPr>
      </w:pPr>
      <w:r w:rsidRPr="00722E55">
        <w:rPr>
          <w:b/>
          <w:u w:val="single"/>
        </w:rPr>
        <w:t>DECISION AND REASONS</w:t>
      </w:r>
    </w:p>
    <w:p w:rsidR="003257CA" w:rsidRPr="00722E55" w:rsidRDefault="003257CA" w:rsidP="002630D9">
      <w:pPr>
        <w:spacing w:line="360" w:lineRule="auto"/>
        <w:jc w:val="both"/>
        <w:rPr>
          <w:b/>
        </w:rPr>
      </w:pPr>
      <w:r w:rsidRPr="00722E55">
        <w:rPr>
          <w:b/>
        </w:rPr>
        <w:t xml:space="preserve">                                                                                                                                                                                                                                                                                                                                                                                                                                                            </w:t>
      </w:r>
    </w:p>
    <w:p w:rsidR="003257CA" w:rsidRPr="00722E55" w:rsidRDefault="003257CA" w:rsidP="002630D9">
      <w:pPr>
        <w:spacing w:line="360" w:lineRule="auto"/>
        <w:jc w:val="both"/>
        <w:rPr>
          <w:b/>
        </w:rPr>
      </w:pPr>
      <w:r w:rsidRPr="00722E55">
        <w:rPr>
          <w:b/>
        </w:rPr>
        <w:t xml:space="preserve">BACKGROUND TO THE APPEAL </w:t>
      </w:r>
    </w:p>
    <w:p w:rsidR="00D56507" w:rsidRPr="00722E55" w:rsidRDefault="00D56507" w:rsidP="002630D9">
      <w:pPr>
        <w:spacing w:line="360" w:lineRule="auto"/>
        <w:jc w:val="both"/>
        <w:rPr>
          <w:b/>
        </w:rPr>
      </w:pPr>
    </w:p>
    <w:p w:rsidR="003257CA" w:rsidRPr="00722E55" w:rsidRDefault="003257CA" w:rsidP="002630D9">
      <w:pPr>
        <w:spacing w:line="360" w:lineRule="auto"/>
        <w:ind w:left="567" w:hanging="567"/>
        <w:jc w:val="both"/>
      </w:pPr>
      <w:r w:rsidRPr="00722E55">
        <w:t>1.</w:t>
      </w:r>
      <w:r w:rsidRPr="00722E55">
        <w:tab/>
        <w:t xml:space="preserve">The </w:t>
      </w:r>
      <w:r w:rsidR="006B2C82" w:rsidRPr="00722E55">
        <w:t>Respondent</w:t>
      </w:r>
      <w:r w:rsidR="008130CE" w:rsidRPr="00722E55">
        <w:t xml:space="preserve"> </w:t>
      </w:r>
      <w:r w:rsidR="007B3613" w:rsidRPr="00722E55">
        <w:t xml:space="preserve">is a national of </w:t>
      </w:r>
      <w:r w:rsidR="00F75148" w:rsidRPr="00722E55">
        <w:t>Bangladesh</w:t>
      </w:r>
      <w:r w:rsidR="007B3613" w:rsidRPr="00722E55">
        <w:t xml:space="preserve">. </w:t>
      </w:r>
      <w:r w:rsidR="00F75148" w:rsidRPr="00722E55">
        <w:t xml:space="preserve">On 10 October 2016 she applied for entry clearance </w:t>
      </w:r>
      <w:proofErr w:type="gramStart"/>
      <w:r w:rsidR="00F75148" w:rsidRPr="00722E55">
        <w:t>in order to</w:t>
      </w:r>
      <w:proofErr w:type="gramEnd"/>
      <w:r w:rsidR="00F75148" w:rsidRPr="00722E55">
        <w:t xml:space="preserve"> join her husband in the United Kingdom. Her</w:t>
      </w:r>
      <w:r w:rsidR="007B3613" w:rsidRPr="00722E55">
        <w:t xml:space="preserve"> application was refused on </w:t>
      </w:r>
      <w:r w:rsidR="00F75148" w:rsidRPr="00722E55">
        <w:t>5</w:t>
      </w:r>
      <w:r w:rsidR="007B3613" w:rsidRPr="00722E55">
        <w:t xml:space="preserve"> Decembe</w:t>
      </w:r>
      <w:r w:rsidR="00F75148" w:rsidRPr="00722E55">
        <w:t xml:space="preserve">r 2016 and she </w:t>
      </w:r>
      <w:r w:rsidR="007B3613" w:rsidRPr="00722E55">
        <w:t>appeal</w:t>
      </w:r>
      <w:r w:rsidR="00F75148" w:rsidRPr="00722E55">
        <w:t>ed</w:t>
      </w:r>
      <w:r w:rsidR="007B3613" w:rsidRPr="00722E55">
        <w:t xml:space="preserve"> against this decision.</w:t>
      </w:r>
      <w:r w:rsidRPr="00722E55">
        <w:t xml:space="preserve"> </w:t>
      </w:r>
    </w:p>
    <w:p w:rsidR="003257CA" w:rsidRPr="00722E55" w:rsidRDefault="003257CA" w:rsidP="002630D9">
      <w:pPr>
        <w:spacing w:line="360" w:lineRule="auto"/>
        <w:ind w:left="567" w:hanging="567"/>
        <w:jc w:val="both"/>
      </w:pPr>
    </w:p>
    <w:p w:rsidR="003257CA" w:rsidRPr="00722E55" w:rsidRDefault="003257CA" w:rsidP="002630D9">
      <w:pPr>
        <w:spacing w:line="360" w:lineRule="auto"/>
        <w:ind w:left="567" w:hanging="567"/>
        <w:jc w:val="both"/>
      </w:pPr>
      <w:r w:rsidRPr="00722E55">
        <w:t>2.</w:t>
      </w:r>
      <w:r w:rsidRPr="00722E55">
        <w:tab/>
      </w:r>
      <w:r w:rsidR="00F75148" w:rsidRPr="00722E55">
        <w:t>O</w:t>
      </w:r>
      <w:r w:rsidR="008130CE" w:rsidRPr="00722E55">
        <w:t xml:space="preserve">n </w:t>
      </w:r>
      <w:r w:rsidR="00F75148" w:rsidRPr="00722E55">
        <w:t>6 November 2017</w:t>
      </w:r>
      <w:r w:rsidR="008130CE" w:rsidRPr="00722E55">
        <w:t xml:space="preserve"> First-tier Tribunal Judge </w:t>
      </w:r>
      <w:proofErr w:type="spellStart"/>
      <w:r w:rsidR="00F75148" w:rsidRPr="00722E55">
        <w:t>Wilsher</w:t>
      </w:r>
      <w:proofErr w:type="spellEnd"/>
      <w:r w:rsidR="00F75148" w:rsidRPr="00722E55">
        <w:t xml:space="preserve"> dismissed her</w:t>
      </w:r>
      <w:r w:rsidR="00E63C44" w:rsidRPr="00722E55">
        <w:t xml:space="preserve"> </w:t>
      </w:r>
      <w:r w:rsidR="008130CE" w:rsidRPr="00722E55">
        <w:t>appeal</w:t>
      </w:r>
      <w:r w:rsidR="00F75148" w:rsidRPr="00722E55">
        <w:t xml:space="preserve"> on human rights grounds</w:t>
      </w:r>
      <w:r w:rsidR="008130CE" w:rsidRPr="00722E55">
        <w:t xml:space="preserve">. The </w:t>
      </w:r>
      <w:r w:rsidR="006B2C82" w:rsidRPr="00722E55">
        <w:t>Appellant</w:t>
      </w:r>
      <w:r w:rsidR="008130CE" w:rsidRPr="00722E55">
        <w:t xml:space="preserve"> </w:t>
      </w:r>
      <w:r w:rsidR="00E63C44" w:rsidRPr="00722E55">
        <w:t xml:space="preserve">sought permission to </w:t>
      </w:r>
      <w:r w:rsidR="008130CE" w:rsidRPr="00722E55">
        <w:t xml:space="preserve">appeal and </w:t>
      </w:r>
      <w:r w:rsidR="00F75148" w:rsidRPr="00722E55">
        <w:t xml:space="preserve">Upper </w:t>
      </w:r>
      <w:r w:rsidR="008130CE" w:rsidRPr="00722E55">
        <w:t xml:space="preserve">Tribunal Judge </w:t>
      </w:r>
      <w:r w:rsidR="00F75148" w:rsidRPr="00722E55">
        <w:t xml:space="preserve">Plimmer </w:t>
      </w:r>
      <w:r w:rsidR="008130CE" w:rsidRPr="00722E55">
        <w:t>granted h</w:t>
      </w:r>
      <w:r w:rsidR="00F75148" w:rsidRPr="00722E55">
        <w:t>er</w:t>
      </w:r>
      <w:r w:rsidR="008130CE" w:rsidRPr="00722E55">
        <w:t xml:space="preserve"> permission to appeal on </w:t>
      </w:r>
      <w:r w:rsidR="00F75148" w:rsidRPr="00722E55">
        <w:t>21 June</w:t>
      </w:r>
      <w:r w:rsidR="00E63C44" w:rsidRPr="00722E55">
        <w:t xml:space="preserve"> 2018</w:t>
      </w:r>
      <w:r w:rsidR="008130CE" w:rsidRPr="00722E55">
        <w:t xml:space="preserve">. </w:t>
      </w:r>
    </w:p>
    <w:p w:rsidR="003257CA" w:rsidRPr="00722E55" w:rsidRDefault="003257CA" w:rsidP="002630D9">
      <w:pPr>
        <w:spacing w:line="360" w:lineRule="auto"/>
        <w:ind w:left="567" w:hanging="567"/>
        <w:jc w:val="both"/>
      </w:pPr>
      <w:r w:rsidRPr="00722E55">
        <w:lastRenderedPageBreak/>
        <w:t xml:space="preserve">                                                                                                                                                                                                                                                                                   </w:t>
      </w:r>
    </w:p>
    <w:p w:rsidR="003257CA" w:rsidRPr="00722E55" w:rsidRDefault="003257CA" w:rsidP="002630D9">
      <w:pPr>
        <w:spacing w:line="360" w:lineRule="auto"/>
        <w:ind w:left="567" w:hanging="567"/>
        <w:jc w:val="both"/>
        <w:rPr>
          <w:b/>
        </w:rPr>
      </w:pPr>
      <w:r w:rsidRPr="00722E55">
        <w:rPr>
          <w:b/>
        </w:rPr>
        <w:t xml:space="preserve">ERROR OF LAW HEARING </w:t>
      </w:r>
    </w:p>
    <w:p w:rsidR="003257CA" w:rsidRPr="00722E55" w:rsidRDefault="003257CA" w:rsidP="002630D9">
      <w:pPr>
        <w:spacing w:line="360" w:lineRule="auto"/>
        <w:ind w:left="567" w:hanging="567"/>
        <w:jc w:val="both"/>
      </w:pPr>
    </w:p>
    <w:p w:rsidR="003257CA" w:rsidRPr="00722E55" w:rsidRDefault="0029496D" w:rsidP="002630D9">
      <w:pPr>
        <w:spacing w:line="360" w:lineRule="auto"/>
        <w:ind w:left="567" w:hanging="567"/>
        <w:jc w:val="both"/>
      </w:pPr>
      <w:r w:rsidRPr="00722E55">
        <w:t>3</w:t>
      </w:r>
      <w:r w:rsidR="003257CA" w:rsidRPr="00722E55">
        <w:t>.</w:t>
      </w:r>
      <w:r w:rsidR="003257CA" w:rsidRPr="00722E55">
        <w:tab/>
      </w:r>
      <w:r w:rsidR="00845B37" w:rsidRPr="00722E55">
        <w:t xml:space="preserve">Counsel for the </w:t>
      </w:r>
      <w:r w:rsidR="00F75148" w:rsidRPr="00722E55">
        <w:t xml:space="preserve">Appellant and </w:t>
      </w:r>
      <w:r w:rsidRPr="00722E55">
        <w:t xml:space="preserve">the Home Office Presenting Officer </w:t>
      </w:r>
      <w:r w:rsidR="00F75148" w:rsidRPr="00722E55">
        <w:t>both made oral submission</w:t>
      </w:r>
      <w:r w:rsidR="00352151" w:rsidRPr="00722E55">
        <w:t>s</w:t>
      </w:r>
      <w:r w:rsidR="00F75148" w:rsidRPr="00722E55">
        <w:t xml:space="preserve"> and I</w:t>
      </w:r>
      <w:r w:rsidR="003257CA" w:rsidRPr="00722E55">
        <w:t xml:space="preserve"> have referred to the content of these submissions, where relevant, in my decision below.   </w:t>
      </w:r>
    </w:p>
    <w:p w:rsidR="003257CA" w:rsidRPr="00722E55" w:rsidRDefault="003257CA" w:rsidP="00590558">
      <w:pPr>
        <w:spacing w:line="360" w:lineRule="auto"/>
        <w:ind w:left="567" w:hanging="567"/>
        <w:jc w:val="both"/>
        <w:rPr>
          <w:b/>
        </w:rPr>
      </w:pPr>
    </w:p>
    <w:p w:rsidR="003257CA" w:rsidRPr="00722E55" w:rsidRDefault="003257CA" w:rsidP="00590558">
      <w:pPr>
        <w:spacing w:line="360" w:lineRule="auto"/>
        <w:ind w:left="567" w:hanging="567"/>
        <w:jc w:val="both"/>
        <w:rPr>
          <w:b/>
        </w:rPr>
      </w:pPr>
      <w:r w:rsidRPr="00722E55">
        <w:rPr>
          <w:b/>
        </w:rPr>
        <w:t xml:space="preserve">ERROR OF LAW DECISION </w:t>
      </w:r>
    </w:p>
    <w:p w:rsidR="003257CA" w:rsidRPr="00722E55" w:rsidRDefault="003257CA" w:rsidP="00590558">
      <w:pPr>
        <w:spacing w:line="360" w:lineRule="auto"/>
        <w:ind w:left="567" w:hanging="567"/>
        <w:jc w:val="both"/>
        <w:rPr>
          <w:b/>
        </w:rPr>
      </w:pPr>
    </w:p>
    <w:p w:rsidR="00F75148" w:rsidRPr="00722E55" w:rsidRDefault="0029496D" w:rsidP="002D56FD">
      <w:pPr>
        <w:spacing w:line="360" w:lineRule="auto"/>
        <w:ind w:left="567" w:hanging="567"/>
        <w:jc w:val="both"/>
      </w:pPr>
      <w:r w:rsidRPr="00722E55">
        <w:t>4</w:t>
      </w:r>
      <w:r w:rsidR="006B2C82" w:rsidRPr="00722E55">
        <w:t>.</w:t>
      </w:r>
      <w:r w:rsidR="006B2C82" w:rsidRPr="00722E55">
        <w:tab/>
      </w:r>
      <w:r w:rsidR="00F75148" w:rsidRPr="00722E55">
        <w:t xml:space="preserve">In his decision First-tier Tribunal Judge </w:t>
      </w:r>
      <w:proofErr w:type="spellStart"/>
      <w:r w:rsidR="00F75148" w:rsidRPr="00722E55">
        <w:t>Wilsher</w:t>
      </w:r>
      <w:proofErr w:type="spellEnd"/>
      <w:r w:rsidR="00F75148" w:rsidRPr="00722E55">
        <w:t xml:space="preserve"> found that the Appellant and her husband were </w:t>
      </w:r>
      <w:r w:rsidR="009C4AE6" w:rsidRPr="00722E55">
        <w:t xml:space="preserve">in a genuine and subsisting relationship and that they intended to live together as husband and wife if she were granted entry clearance. There is no cross-appeal in relation to this finding. </w:t>
      </w:r>
    </w:p>
    <w:p w:rsidR="003A447D" w:rsidRPr="00722E55" w:rsidRDefault="003A447D" w:rsidP="002D56FD">
      <w:pPr>
        <w:spacing w:line="360" w:lineRule="auto"/>
        <w:ind w:left="567" w:hanging="567"/>
        <w:jc w:val="both"/>
      </w:pPr>
    </w:p>
    <w:p w:rsidR="003A447D" w:rsidRPr="00722E55" w:rsidRDefault="0029496D" w:rsidP="002D56FD">
      <w:pPr>
        <w:spacing w:line="360" w:lineRule="auto"/>
        <w:ind w:left="567" w:hanging="567"/>
        <w:jc w:val="both"/>
      </w:pPr>
      <w:r w:rsidRPr="00722E55">
        <w:t>5</w:t>
      </w:r>
      <w:r w:rsidR="003A447D" w:rsidRPr="00722E55">
        <w:t>.</w:t>
      </w:r>
      <w:r w:rsidR="003A447D" w:rsidRPr="00722E55">
        <w:tab/>
        <w:t xml:space="preserve">However, First-tier Tribunal Judge </w:t>
      </w:r>
      <w:proofErr w:type="spellStart"/>
      <w:r w:rsidR="003A447D" w:rsidRPr="00722E55">
        <w:t>Wilsher</w:t>
      </w:r>
      <w:proofErr w:type="spellEnd"/>
      <w:r w:rsidR="003A447D" w:rsidRPr="00722E55">
        <w:t xml:space="preserve"> found that the Appellant could not meet the financial requirements of Appendix FM to the Immigration Rules as in the relevant period her sponsor had only earned £17,000.</w:t>
      </w:r>
      <w:r w:rsidRPr="00722E55">
        <w:t xml:space="preserve"> He based this on a P60 and a letter from HMRC which were before him. </w:t>
      </w:r>
    </w:p>
    <w:p w:rsidR="003A447D" w:rsidRPr="00722E55" w:rsidRDefault="003A447D" w:rsidP="002D56FD">
      <w:pPr>
        <w:spacing w:line="360" w:lineRule="auto"/>
        <w:ind w:left="567" w:hanging="567"/>
        <w:jc w:val="both"/>
      </w:pPr>
    </w:p>
    <w:p w:rsidR="003A447D" w:rsidRPr="00722E55" w:rsidRDefault="0029496D" w:rsidP="002D56FD">
      <w:pPr>
        <w:spacing w:line="360" w:lineRule="auto"/>
        <w:ind w:left="567" w:hanging="567"/>
        <w:jc w:val="both"/>
      </w:pPr>
      <w:r w:rsidRPr="00722E55">
        <w:t>6</w:t>
      </w:r>
      <w:r w:rsidR="003A447D" w:rsidRPr="00722E55">
        <w:t>.</w:t>
      </w:r>
      <w:r w:rsidR="003A447D" w:rsidRPr="00722E55">
        <w:tab/>
        <w:t>Paragraph E-ECP.3.1. of Appendix FM states that:</w:t>
      </w:r>
    </w:p>
    <w:p w:rsidR="003A447D" w:rsidRPr="00722E55" w:rsidRDefault="003A447D" w:rsidP="002D56FD">
      <w:pPr>
        <w:spacing w:line="360" w:lineRule="auto"/>
        <w:ind w:left="567" w:hanging="567"/>
        <w:jc w:val="both"/>
      </w:pPr>
    </w:p>
    <w:p w:rsidR="003A447D" w:rsidRPr="00722E55" w:rsidRDefault="003A447D" w:rsidP="002D56FD">
      <w:pPr>
        <w:spacing w:line="360" w:lineRule="auto"/>
        <w:ind w:left="567" w:hanging="567"/>
        <w:jc w:val="both"/>
      </w:pPr>
      <w:r w:rsidRPr="00722E55">
        <w:tab/>
        <w:t>“The applicant must provide specified evidence, from sources listed in paragraph E-ECP.3.2. of-</w:t>
      </w:r>
    </w:p>
    <w:p w:rsidR="003A447D" w:rsidRPr="00722E55" w:rsidRDefault="003A447D" w:rsidP="002D56FD">
      <w:pPr>
        <w:spacing w:line="360" w:lineRule="auto"/>
        <w:ind w:left="567" w:hanging="567"/>
        <w:jc w:val="both"/>
      </w:pPr>
      <w:r w:rsidRPr="00722E55">
        <w:tab/>
        <w:t>(a)</w:t>
      </w:r>
      <w:r w:rsidRPr="00722E55">
        <w:tab/>
        <w:t>a specified gross annual income of at le</w:t>
      </w:r>
      <w:r w:rsidR="004A39D5" w:rsidRPr="00722E55">
        <w:t>a</w:t>
      </w:r>
      <w:r w:rsidRPr="00722E55">
        <w:t>st-</w:t>
      </w:r>
    </w:p>
    <w:p w:rsidR="003A447D" w:rsidRPr="00722E55" w:rsidRDefault="003A447D" w:rsidP="002D56FD">
      <w:pPr>
        <w:spacing w:line="360" w:lineRule="auto"/>
        <w:ind w:left="567" w:hanging="567"/>
        <w:jc w:val="both"/>
      </w:pPr>
      <w:r w:rsidRPr="00722E55">
        <w:tab/>
      </w:r>
      <w:r w:rsidRPr="00722E55">
        <w:tab/>
        <w:t>(</w:t>
      </w:r>
      <w:proofErr w:type="spellStart"/>
      <w:r w:rsidRPr="00722E55">
        <w:t>i</w:t>
      </w:r>
      <w:proofErr w:type="spellEnd"/>
      <w:r w:rsidRPr="00722E55">
        <w:t>)</w:t>
      </w:r>
      <w:r w:rsidRPr="00722E55">
        <w:tab/>
        <w:t>£18,600…”</w:t>
      </w:r>
    </w:p>
    <w:p w:rsidR="003A447D" w:rsidRPr="00722E55" w:rsidRDefault="003A447D" w:rsidP="002D56FD">
      <w:pPr>
        <w:spacing w:line="360" w:lineRule="auto"/>
        <w:ind w:left="567" w:hanging="567"/>
        <w:jc w:val="both"/>
      </w:pPr>
    </w:p>
    <w:p w:rsidR="003A447D" w:rsidRPr="00722E55" w:rsidRDefault="0029496D" w:rsidP="002D56FD">
      <w:pPr>
        <w:spacing w:line="360" w:lineRule="auto"/>
        <w:ind w:left="567" w:hanging="567"/>
        <w:jc w:val="both"/>
      </w:pPr>
      <w:r w:rsidRPr="00722E55">
        <w:t>7</w:t>
      </w:r>
      <w:r w:rsidR="003A447D" w:rsidRPr="00722E55">
        <w:t>.</w:t>
      </w:r>
      <w:r w:rsidR="003A447D" w:rsidRPr="00722E55">
        <w:tab/>
        <w:t>Paragraph E-ECP.</w:t>
      </w:r>
      <w:r w:rsidR="004A39D5" w:rsidRPr="00722E55">
        <w:t xml:space="preserve">3.2. </w:t>
      </w:r>
      <w:r w:rsidRPr="00722E55">
        <w:t xml:space="preserve">also </w:t>
      </w:r>
      <w:r w:rsidR="004A39D5" w:rsidRPr="00722E55">
        <w:t>states that:</w:t>
      </w:r>
    </w:p>
    <w:p w:rsidR="004A39D5" w:rsidRPr="00722E55" w:rsidRDefault="004A39D5" w:rsidP="002D56FD">
      <w:pPr>
        <w:spacing w:line="360" w:lineRule="auto"/>
        <w:ind w:left="567" w:hanging="567"/>
        <w:jc w:val="both"/>
      </w:pPr>
    </w:p>
    <w:p w:rsidR="004A39D5" w:rsidRPr="00722E55" w:rsidRDefault="004A39D5" w:rsidP="002D56FD">
      <w:pPr>
        <w:spacing w:line="360" w:lineRule="auto"/>
        <w:ind w:left="567" w:hanging="567"/>
        <w:jc w:val="both"/>
      </w:pPr>
      <w:r w:rsidRPr="00722E55">
        <w:tab/>
        <w:t>“When determining the financial requirement in paragraph E-ECP.3.1. is met only the following sources will be taken into account-</w:t>
      </w:r>
    </w:p>
    <w:p w:rsidR="004A39D5" w:rsidRPr="00722E55" w:rsidRDefault="004A39D5" w:rsidP="002D56FD">
      <w:pPr>
        <w:spacing w:line="360" w:lineRule="auto"/>
        <w:ind w:left="567" w:hanging="567"/>
        <w:jc w:val="both"/>
      </w:pPr>
      <w:r w:rsidRPr="00722E55">
        <w:tab/>
        <w:t>(a)</w:t>
      </w:r>
      <w:r w:rsidRPr="00722E55">
        <w:tab/>
        <w:t>income of the partner from specified employment…”</w:t>
      </w:r>
    </w:p>
    <w:p w:rsidR="004A39D5" w:rsidRPr="00722E55" w:rsidRDefault="004A39D5" w:rsidP="002D56FD">
      <w:pPr>
        <w:spacing w:line="360" w:lineRule="auto"/>
        <w:ind w:left="567" w:hanging="567"/>
        <w:jc w:val="both"/>
      </w:pPr>
    </w:p>
    <w:p w:rsidR="004A39D5" w:rsidRPr="00722E55" w:rsidRDefault="0029496D" w:rsidP="002D56FD">
      <w:pPr>
        <w:spacing w:line="360" w:lineRule="auto"/>
        <w:ind w:left="567" w:hanging="567"/>
        <w:jc w:val="both"/>
      </w:pPr>
      <w:r w:rsidRPr="00722E55">
        <w:t>8</w:t>
      </w:r>
      <w:r w:rsidR="004A39D5" w:rsidRPr="00722E55">
        <w:t>.</w:t>
      </w:r>
      <w:r w:rsidR="004A39D5" w:rsidRPr="00722E55">
        <w:tab/>
      </w:r>
      <w:r w:rsidRPr="00722E55">
        <w:t>However, Appendix FM addresses the evidence needed to show compliance with Appendix FM and p</w:t>
      </w:r>
      <w:r w:rsidR="004A39D5" w:rsidRPr="00722E55">
        <w:t>aragraph A1. of Appendix FM-SE states that:</w:t>
      </w:r>
    </w:p>
    <w:p w:rsidR="004A39D5" w:rsidRPr="00722E55" w:rsidRDefault="004A39D5" w:rsidP="002D56FD">
      <w:pPr>
        <w:spacing w:line="360" w:lineRule="auto"/>
        <w:ind w:left="567" w:hanging="567"/>
        <w:jc w:val="both"/>
      </w:pPr>
    </w:p>
    <w:p w:rsidR="004A39D5" w:rsidRPr="00722E55" w:rsidRDefault="004A39D5" w:rsidP="002D56FD">
      <w:pPr>
        <w:spacing w:line="360" w:lineRule="auto"/>
        <w:ind w:left="567" w:hanging="567"/>
        <w:jc w:val="both"/>
      </w:pPr>
      <w:r w:rsidRPr="00722E55">
        <w:tab/>
        <w:t>“To meet the financial requirement under paragraph E-ECP.3.1…. the applicant must meet:</w:t>
      </w:r>
    </w:p>
    <w:p w:rsidR="004A39D5" w:rsidRPr="00722E55" w:rsidRDefault="004A39D5" w:rsidP="002D56FD">
      <w:pPr>
        <w:spacing w:line="360" w:lineRule="auto"/>
        <w:ind w:left="567" w:hanging="567"/>
        <w:jc w:val="both"/>
      </w:pPr>
      <w:r w:rsidRPr="00722E55">
        <w:lastRenderedPageBreak/>
        <w:tab/>
        <w:t>(a) the level of financial requirement applicable to the application under Appendix FM and</w:t>
      </w:r>
    </w:p>
    <w:p w:rsidR="004A39D5" w:rsidRPr="00722E55" w:rsidRDefault="004A39D5" w:rsidP="002D56FD">
      <w:pPr>
        <w:spacing w:line="360" w:lineRule="auto"/>
        <w:ind w:left="567" w:hanging="567"/>
        <w:jc w:val="both"/>
      </w:pPr>
      <w:r w:rsidRPr="00722E55">
        <w:tab/>
        <w:t>(b) The requirements specified in Appendix FM and this Appendix as to:</w:t>
      </w:r>
    </w:p>
    <w:p w:rsidR="004A39D5" w:rsidRPr="00722E55" w:rsidRDefault="004A39D5" w:rsidP="002D56FD">
      <w:pPr>
        <w:spacing w:line="360" w:lineRule="auto"/>
        <w:ind w:left="567" w:hanging="567"/>
        <w:jc w:val="both"/>
      </w:pPr>
    </w:p>
    <w:p w:rsidR="004A39D5" w:rsidRPr="00722E55" w:rsidRDefault="004A39D5" w:rsidP="002D56FD">
      <w:pPr>
        <w:spacing w:line="360" w:lineRule="auto"/>
        <w:ind w:left="567" w:hanging="567"/>
        <w:jc w:val="both"/>
      </w:pPr>
      <w:r w:rsidRPr="00722E55">
        <w:tab/>
      </w:r>
      <w:r w:rsidRPr="00722E55">
        <w:tab/>
        <w:t>(</w:t>
      </w:r>
      <w:proofErr w:type="spellStart"/>
      <w:r w:rsidRPr="00722E55">
        <w:t>i</w:t>
      </w:r>
      <w:proofErr w:type="spellEnd"/>
      <w:r w:rsidRPr="00722E55">
        <w:t>)</w:t>
      </w:r>
      <w:r w:rsidRPr="00722E55">
        <w:tab/>
        <w:t>the permitted sources of income and savings;</w:t>
      </w:r>
    </w:p>
    <w:p w:rsidR="004A39D5" w:rsidRPr="00722E55" w:rsidRDefault="004A39D5" w:rsidP="002D56FD">
      <w:pPr>
        <w:spacing w:line="360" w:lineRule="auto"/>
        <w:ind w:left="567" w:hanging="567"/>
        <w:jc w:val="both"/>
      </w:pPr>
      <w:r w:rsidRPr="00722E55">
        <w:tab/>
      </w:r>
      <w:r w:rsidRPr="00722E55">
        <w:tab/>
        <w:t>(ii)</w:t>
      </w:r>
      <w:r w:rsidRPr="00722E55">
        <w:tab/>
        <w:t xml:space="preserve">the time periods and permitted combinations of sources applicable to each permitted </w:t>
      </w:r>
      <w:r w:rsidRPr="00722E55">
        <w:tab/>
      </w:r>
      <w:r w:rsidR="0029496D" w:rsidRPr="00722E55">
        <w:tab/>
      </w:r>
      <w:r w:rsidRPr="00722E55">
        <w:t>source relied upon; and</w:t>
      </w:r>
    </w:p>
    <w:p w:rsidR="004A39D5" w:rsidRPr="00722E55" w:rsidRDefault="004A39D5" w:rsidP="002D56FD">
      <w:pPr>
        <w:spacing w:line="360" w:lineRule="auto"/>
        <w:ind w:left="567" w:hanging="567"/>
        <w:jc w:val="both"/>
      </w:pPr>
      <w:r w:rsidRPr="00722E55">
        <w:tab/>
      </w:r>
      <w:r w:rsidRPr="00722E55">
        <w:tab/>
        <w:t xml:space="preserve">(iii) </w:t>
      </w:r>
      <w:r w:rsidRPr="00722E55">
        <w:tab/>
        <w:t>the evidence required of each permitted source relied upon”.</w:t>
      </w:r>
    </w:p>
    <w:p w:rsidR="004A39D5" w:rsidRPr="00722E55" w:rsidRDefault="004A39D5" w:rsidP="002D56FD">
      <w:pPr>
        <w:spacing w:line="360" w:lineRule="auto"/>
        <w:ind w:left="567" w:hanging="567"/>
        <w:jc w:val="both"/>
      </w:pPr>
    </w:p>
    <w:p w:rsidR="004A39D5" w:rsidRPr="00722E55" w:rsidRDefault="004A39D5" w:rsidP="002D56FD">
      <w:pPr>
        <w:spacing w:line="360" w:lineRule="auto"/>
        <w:ind w:left="567" w:hanging="567"/>
        <w:jc w:val="both"/>
      </w:pPr>
      <w:r w:rsidRPr="00722E55">
        <w:tab/>
        <w:t>…</w:t>
      </w:r>
    </w:p>
    <w:p w:rsidR="004A39D5" w:rsidRPr="00722E55" w:rsidRDefault="004A39D5" w:rsidP="002D56FD">
      <w:pPr>
        <w:spacing w:line="360" w:lineRule="auto"/>
        <w:ind w:left="567" w:hanging="567"/>
        <w:jc w:val="both"/>
      </w:pPr>
      <w:r w:rsidRPr="00722E55">
        <w:tab/>
        <w:t xml:space="preserve">2. In respect of salaried employment in the UK… </w:t>
      </w:r>
      <w:proofErr w:type="gramStart"/>
      <w:r w:rsidRPr="00722E55">
        <w:t>all of</w:t>
      </w:r>
      <w:proofErr w:type="gramEnd"/>
      <w:r w:rsidRPr="00722E55">
        <w:t xml:space="preserve"> the following evidence must be provided:</w:t>
      </w:r>
    </w:p>
    <w:p w:rsidR="004A39D5" w:rsidRPr="00722E55" w:rsidRDefault="004A39D5" w:rsidP="002D56FD">
      <w:pPr>
        <w:spacing w:line="360" w:lineRule="auto"/>
        <w:ind w:left="567" w:hanging="567"/>
        <w:jc w:val="both"/>
      </w:pPr>
    </w:p>
    <w:p w:rsidR="004A39D5" w:rsidRPr="00722E55" w:rsidRDefault="004A39D5" w:rsidP="002D56FD">
      <w:pPr>
        <w:spacing w:line="360" w:lineRule="auto"/>
        <w:ind w:left="567" w:hanging="567"/>
        <w:jc w:val="both"/>
      </w:pPr>
      <w:r w:rsidRPr="00722E55">
        <w:tab/>
      </w:r>
      <w:r w:rsidRPr="00722E55">
        <w:tab/>
        <w:t>(a)</w:t>
      </w:r>
      <w:r w:rsidRPr="00722E55">
        <w:tab/>
        <w:t xml:space="preserve">payslips </w:t>
      </w:r>
      <w:r w:rsidR="00B57329" w:rsidRPr="00722E55">
        <w:t>covering:</w:t>
      </w:r>
    </w:p>
    <w:p w:rsidR="00B57329" w:rsidRPr="00722E55" w:rsidRDefault="00B57329" w:rsidP="002D56FD">
      <w:pPr>
        <w:spacing w:line="360" w:lineRule="auto"/>
        <w:ind w:left="567" w:hanging="567"/>
        <w:jc w:val="both"/>
      </w:pPr>
      <w:r w:rsidRPr="00722E55">
        <w:tab/>
      </w:r>
      <w:r w:rsidRPr="00722E55">
        <w:tab/>
      </w:r>
      <w:r w:rsidRPr="00722E55">
        <w:tab/>
        <w:t>(</w:t>
      </w:r>
      <w:proofErr w:type="spellStart"/>
      <w:r w:rsidRPr="00722E55">
        <w:t>i</w:t>
      </w:r>
      <w:proofErr w:type="spellEnd"/>
      <w:r w:rsidRPr="00722E55">
        <w:t>)</w:t>
      </w:r>
      <w:r w:rsidRPr="00722E55">
        <w:tab/>
        <w:t xml:space="preserve">a period of 6 months prior to the date of application if the person has been </w:t>
      </w:r>
      <w:r w:rsidRPr="00722E55">
        <w:tab/>
      </w:r>
      <w:r w:rsidRPr="00722E55">
        <w:tab/>
      </w:r>
      <w:r w:rsidRPr="00722E55">
        <w:tab/>
      </w:r>
      <w:r w:rsidRPr="00722E55">
        <w:tab/>
        <w:t xml:space="preserve">employed by their current employer for at least </w:t>
      </w:r>
      <w:r w:rsidR="0029496D" w:rsidRPr="00722E55">
        <w:t xml:space="preserve">6 </w:t>
      </w:r>
      <w:r w:rsidRPr="00722E55">
        <w:t>months…</w:t>
      </w:r>
    </w:p>
    <w:p w:rsidR="00B57329" w:rsidRPr="00722E55" w:rsidRDefault="00B57329" w:rsidP="002D56FD">
      <w:pPr>
        <w:spacing w:line="360" w:lineRule="auto"/>
        <w:ind w:left="567" w:hanging="567"/>
        <w:jc w:val="both"/>
      </w:pPr>
    </w:p>
    <w:p w:rsidR="00B57329" w:rsidRPr="00722E55" w:rsidRDefault="00B57329" w:rsidP="002D56FD">
      <w:pPr>
        <w:spacing w:line="360" w:lineRule="auto"/>
        <w:ind w:left="567" w:hanging="567"/>
        <w:jc w:val="both"/>
      </w:pPr>
      <w:r w:rsidRPr="00722E55">
        <w:tab/>
      </w:r>
      <w:r w:rsidRPr="00722E55">
        <w:tab/>
        <w:t>(b)</w:t>
      </w:r>
      <w:r w:rsidRPr="00722E55">
        <w:tab/>
        <w:t>a letter from the employer who issued the payslips at paragraph 2(a) confirming:</w:t>
      </w:r>
    </w:p>
    <w:p w:rsidR="00B57329" w:rsidRPr="00722E55" w:rsidRDefault="00B57329" w:rsidP="002D56FD">
      <w:pPr>
        <w:spacing w:line="360" w:lineRule="auto"/>
        <w:ind w:left="567" w:hanging="567"/>
        <w:jc w:val="both"/>
      </w:pPr>
    </w:p>
    <w:p w:rsidR="00B57329" w:rsidRPr="00722E55" w:rsidRDefault="00B57329" w:rsidP="002D56FD">
      <w:pPr>
        <w:spacing w:line="360" w:lineRule="auto"/>
        <w:ind w:left="567" w:hanging="567"/>
        <w:jc w:val="both"/>
      </w:pPr>
      <w:r w:rsidRPr="00722E55">
        <w:tab/>
      </w:r>
      <w:r w:rsidRPr="00722E55">
        <w:tab/>
      </w:r>
      <w:r w:rsidRPr="00722E55">
        <w:tab/>
        <w:t>(</w:t>
      </w:r>
      <w:proofErr w:type="spellStart"/>
      <w:r w:rsidRPr="00722E55">
        <w:t>i</w:t>
      </w:r>
      <w:proofErr w:type="spellEnd"/>
      <w:r w:rsidRPr="00722E55">
        <w:t>)</w:t>
      </w:r>
      <w:r w:rsidRPr="00722E55">
        <w:tab/>
        <w:t>the person’s employment and gross annual salary;</w:t>
      </w:r>
    </w:p>
    <w:p w:rsidR="00B57329" w:rsidRPr="00722E55" w:rsidRDefault="00B57329" w:rsidP="002D56FD">
      <w:pPr>
        <w:spacing w:line="360" w:lineRule="auto"/>
        <w:ind w:left="567" w:hanging="567"/>
        <w:jc w:val="both"/>
      </w:pPr>
      <w:r w:rsidRPr="00722E55">
        <w:tab/>
      </w:r>
      <w:r w:rsidRPr="00722E55">
        <w:tab/>
      </w:r>
      <w:r w:rsidRPr="00722E55">
        <w:tab/>
        <w:t>(ii)</w:t>
      </w:r>
      <w:r w:rsidRPr="00722E55">
        <w:tab/>
        <w:t>the length of their employment;</w:t>
      </w:r>
    </w:p>
    <w:p w:rsidR="00B57329" w:rsidRPr="00722E55" w:rsidRDefault="00B57329" w:rsidP="002D56FD">
      <w:pPr>
        <w:spacing w:line="360" w:lineRule="auto"/>
        <w:ind w:left="567" w:hanging="567"/>
        <w:jc w:val="both"/>
      </w:pPr>
      <w:r w:rsidRPr="00722E55">
        <w:tab/>
      </w:r>
      <w:r w:rsidRPr="00722E55">
        <w:tab/>
      </w:r>
      <w:r w:rsidRPr="00722E55">
        <w:tab/>
        <w:t>(iii)</w:t>
      </w:r>
      <w:r w:rsidRPr="00722E55">
        <w:tab/>
        <w:t xml:space="preserve">the period over which they have been or were paid the level of salary relied </w:t>
      </w:r>
      <w:r w:rsidRPr="00722E55">
        <w:tab/>
      </w:r>
      <w:r w:rsidRPr="00722E55">
        <w:tab/>
      </w:r>
      <w:r w:rsidRPr="00722E55">
        <w:tab/>
      </w:r>
      <w:r w:rsidRPr="00722E55">
        <w:tab/>
        <w:t>upon in the application; and</w:t>
      </w:r>
    </w:p>
    <w:p w:rsidR="00B57329" w:rsidRPr="00722E55" w:rsidRDefault="00B57329" w:rsidP="002D56FD">
      <w:pPr>
        <w:spacing w:line="360" w:lineRule="auto"/>
        <w:ind w:left="567" w:hanging="567"/>
        <w:jc w:val="both"/>
      </w:pPr>
      <w:r w:rsidRPr="00722E55">
        <w:tab/>
      </w:r>
      <w:r w:rsidRPr="00722E55">
        <w:tab/>
      </w:r>
      <w:r w:rsidRPr="00722E55">
        <w:tab/>
        <w:t>(iv)</w:t>
      </w:r>
      <w:r w:rsidRPr="00722E55">
        <w:tab/>
        <w:t>the type of employment (permanent, fixed-term contract or agency).</w:t>
      </w:r>
    </w:p>
    <w:p w:rsidR="009B5681" w:rsidRPr="00722E55" w:rsidRDefault="009B5681" w:rsidP="002D56FD">
      <w:pPr>
        <w:spacing w:line="360" w:lineRule="auto"/>
        <w:ind w:left="567" w:hanging="567"/>
        <w:jc w:val="both"/>
      </w:pPr>
    </w:p>
    <w:p w:rsidR="009B5681" w:rsidRPr="00722E55" w:rsidRDefault="009B5681" w:rsidP="009B5681">
      <w:pPr>
        <w:spacing w:line="360" w:lineRule="auto"/>
        <w:ind w:left="567" w:hanging="567"/>
        <w:jc w:val="both"/>
      </w:pPr>
      <w:r w:rsidRPr="00722E55">
        <w:tab/>
      </w:r>
      <w:r w:rsidRPr="00722E55">
        <w:tab/>
        <w:t>(c)</w:t>
      </w:r>
      <w:r w:rsidRPr="00722E55">
        <w:tab/>
        <w:t xml:space="preserve">Personal bank statements corresponding to the same period as the payslips at </w:t>
      </w:r>
      <w:r w:rsidRPr="00722E55">
        <w:tab/>
      </w:r>
      <w:r w:rsidRPr="00722E55">
        <w:tab/>
      </w:r>
      <w:r w:rsidRPr="00722E55">
        <w:tab/>
        <w:t xml:space="preserve">paragraph 2(a) showing that the salary has been paid into an account in the name of </w:t>
      </w:r>
      <w:r w:rsidRPr="00722E55">
        <w:tab/>
      </w:r>
      <w:r w:rsidRPr="00722E55">
        <w:tab/>
        <w:t>the person or in the name of the person and their partner jointly</w:t>
      </w:r>
    </w:p>
    <w:p w:rsidR="009B5681" w:rsidRPr="00722E55" w:rsidRDefault="009B5681" w:rsidP="002D56FD">
      <w:pPr>
        <w:spacing w:line="360" w:lineRule="auto"/>
        <w:ind w:left="567" w:hanging="567"/>
        <w:jc w:val="both"/>
      </w:pPr>
    </w:p>
    <w:p w:rsidR="009B5681" w:rsidRPr="00722E55" w:rsidRDefault="0029496D" w:rsidP="002D56FD">
      <w:pPr>
        <w:spacing w:line="360" w:lineRule="auto"/>
        <w:ind w:left="567" w:hanging="567"/>
        <w:jc w:val="both"/>
      </w:pPr>
      <w:r w:rsidRPr="00722E55">
        <w:t>9</w:t>
      </w:r>
      <w:r w:rsidR="009B5681" w:rsidRPr="00722E55">
        <w:t>.</w:t>
      </w:r>
      <w:r w:rsidR="009B5681" w:rsidRPr="00722E55">
        <w:tab/>
        <w:t xml:space="preserve">Paragraph 13 of Appendix FM-SE is entitled </w:t>
      </w:r>
      <w:r w:rsidR="009B5681" w:rsidRPr="00722E55">
        <w:rPr>
          <w:b/>
        </w:rPr>
        <w:t xml:space="preserve">Calculating Gross Annual Income under Appendix FM </w:t>
      </w:r>
      <w:r w:rsidR="009B5681" w:rsidRPr="00722E55">
        <w:t>and states that:</w:t>
      </w:r>
    </w:p>
    <w:p w:rsidR="009B5681" w:rsidRPr="00722E55" w:rsidRDefault="009B5681" w:rsidP="002D56FD">
      <w:pPr>
        <w:spacing w:line="360" w:lineRule="auto"/>
        <w:ind w:left="567" w:hanging="567"/>
        <w:jc w:val="both"/>
      </w:pPr>
    </w:p>
    <w:p w:rsidR="009B5681" w:rsidRPr="00722E55" w:rsidRDefault="009B5681" w:rsidP="002D56FD">
      <w:pPr>
        <w:spacing w:line="360" w:lineRule="auto"/>
        <w:ind w:left="567" w:hanging="567"/>
        <w:jc w:val="both"/>
      </w:pPr>
      <w:r w:rsidRPr="00722E55">
        <w:tab/>
        <w:t xml:space="preserve">“Based on evidence that meets the requirements of this Appendix, and can be </w:t>
      </w:r>
      <w:proofErr w:type="gramStart"/>
      <w:r w:rsidRPr="00722E55">
        <w:t>taken into account</w:t>
      </w:r>
      <w:proofErr w:type="gramEnd"/>
      <w:r w:rsidRPr="00722E55">
        <w:t xml:space="preserve"> with reference to the applicable provisions of Appendix FM, gross annual income under paragraph E-ECP.3.1… will be calculated in the following ways:</w:t>
      </w:r>
    </w:p>
    <w:p w:rsidR="009B5681" w:rsidRPr="00722E55" w:rsidRDefault="009B5681" w:rsidP="002D56FD">
      <w:pPr>
        <w:spacing w:line="360" w:lineRule="auto"/>
        <w:ind w:left="567" w:hanging="567"/>
        <w:jc w:val="both"/>
      </w:pPr>
      <w:bookmarkStart w:id="0" w:name="_GoBack"/>
      <w:bookmarkEnd w:id="0"/>
    </w:p>
    <w:p w:rsidR="009B5681" w:rsidRPr="00722E55" w:rsidRDefault="009B5681" w:rsidP="002D56FD">
      <w:pPr>
        <w:spacing w:line="360" w:lineRule="auto"/>
        <w:ind w:left="567" w:hanging="567"/>
        <w:jc w:val="both"/>
      </w:pPr>
      <w:r w:rsidRPr="00722E55">
        <w:tab/>
        <w:t>(a)</w:t>
      </w:r>
      <w:r w:rsidRPr="00722E55">
        <w:tab/>
        <w:t>Where the person is in salaried employment in the UK at the date of the application…has been employed by their current employer for at least 6 months and had been paid throughout the period of 6 months prior to the date of the application at a level of gross annual salary which equals or exceeds the level relied upon in paragraph 13(a)(</w:t>
      </w:r>
      <w:proofErr w:type="spellStart"/>
      <w:proofErr w:type="gramStart"/>
      <w:r w:rsidRPr="00722E55">
        <w:t>i</w:t>
      </w:r>
      <w:proofErr w:type="spellEnd"/>
      <w:r w:rsidRPr="00722E55">
        <w:t>)…</w:t>
      </w:r>
      <w:proofErr w:type="gramEnd"/>
    </w:p>
    <w:p w:rsidR="009B5681" w:rsidRPr="00722E55" w:rsidRDefault="009B5681" w:rsidP="002D56FD">
      <w:pPr>
        <w:spacing w:line="360" w:lineRule="auto"/>
        <w:ind w:left="567" w:hanging="567"/>
        <w:jc w:val="both"/>
      </w:pPr>
    </w:p>
    <w:p w:rsidR="009B5681" w:rsidRPr="00722E55" w:rsidRDefault="009B5681" w:rsidP="002D56FD">
      <w:pPr>
        <w:spacing w:line="360" w:lineRule="auto"/>
        <w:ind w:left="567" w:hanging="567"/>
        <w:jc w:val="both"/>
      </w:pPr>
      <w:r w:rsidRPr="00722E55">
        <w:tab/>
        <w:t>(</w:t>
      </w:r>
      <w:proofErr w:type="spellStart"/>
      <w:r w:rsidRPr="00722E55">
        <w:t>i</w:t>
      </w:r>
      <w:proofErr w:type="spellEnd"/>
      <w:r w:rsidRPr="00722E55">
        <w:t>)</w:t>
      </w:r>
      <w:r w:rsidRPr="00722E55">
        <w:tab/>
        <w:t>the level of gross annual salary relied upon in the application”</w:t>
      </w:r>
    </w:p>
    <w:p w:rsidR="00B57329" w:rsidRPr="00722E55" w:rsidRDefault="00B57329" w:rsidP="002D56FD">
      <w:pPr>
        <w:spacing w:line="360" w:lineRule="auto"/>
        <w:ind w:left="567" w:hanging="567"/>
        <w:jc w:val="both"/>
      </w:pPr>
    </w:p>
    <w:p w:rsidR="00335630" w:rsidRPr="00722E55" w:rsidRDefault="00335630" w:rsidP="002D56FD">
      <w:pPr>
        <w:spacing w:line="360" w:lineRule="auto"/>
        <w:ind w:left="567" w:hanging="567"/>
        <w:jc w:val="both"/>
      </w:pPr>
      <w:r w:rsidRPr="00722E55">
        <w:t>1</w:t>
      </w:r>
      <w:r w:rsidR="0029496D" w:rsidRPr="00722E55">
        <w:t>0</w:t>
      </w:r>
      <w:r w:rsidRPr="00722E55">
        <w:t>.</w:t>
      </w:r>
      <w:r w:rsidRPr="00722E55">
        <w:tab/>
      </w:r>
      <w:r w:rsidR="0029496D" w:rsidRPr="00722E55">
        <w:t>The annual gross salary relied upon in the application was £19,500 and i</w:t>
      </w:r>
      <w:r w:rsidRPr="00722E55">
        <w:t xml:space="preserve">t is arguable that </w:t>
      </w:r>
      <w:r w:rsidR="0029496D" w:rsidRPr="00722E55">
        <w:t xml:space="preserve">paragraph 13 </w:t>
      </w:r>
      <w:r w:rsidRPr="00722E55">
        <w:t xml:space="preserve">suggests </w:t>
      </w:r>
      <w:r w:rsidR="0029496D" w:rsidRPr="00722E55">
        <w:t xml:space="preserve">that, </w:t>
      </w:r>
      <w:r w:rsidRPr="00722E55">
        <w:t>when calculating gross income</w:t>
      </w:r>
      <w:r w:rsidR="0029496D" w:rsidRPr="00722E55">
        <w:t>,</w:t>
      </w:r>
      <w:r w:rsidRPr="00722E55">
        <w:t xml:space="preserve"> the Applicant was entitled to rely on the fact that at the date of her application the evidence indicated that her husband’s gross annual salary would be </w:t>
      </w:r>
      <w:r w:rsidR="0029496D" w:rsidRPr="00722E55">
        <w:t>£19,500</w:t>
      </w:r>
      <w:r w:rsidRPr="00722E55">
        <w:t>.</w:t>
      </w:r>
      <w:r w:rsidR="0029496D" w:rsidRPr="00722E55">
        <w:t xml:space="preserve"> In my view, this is the plain and ordinary interpretation of the provision s it would not be possible for the Appellant to provide the necessary evidence for the six months after her application and th</w:t>
      </w:r>
      <w:r w:rsidR="0002154E" w:rsidRPr="00722E55">
        <w:t xml:space="preserve">e Rules do not require her to provide evidence for the 12 months before her application. </w:t>
      </w:r>
    </w:p>
    <w:p w:rsidR="00335630" w:rsidRPr="00722E55" w:rsidRDefault="00335630" w:rsidP="002D56FD">
      <w:pPr>
        <w:spacing w:line="360" w:lineRule="auto"/>
        <w:ind w:left="567" w:hanging="567"/>
        <w:jc w:val="both"/>
      </w:pPr>
    </w:p>
    <w:p w:rsidR="00335630" w:rsidRPr="00722E55" w:rsidRDefault="00335630" w:rsidP="002D56FD">
      <w:pPr>
        <w:spacing w:line="360" w:lineRule="auto"/>
        <w:ind w:left="567" w:hanging="567"/>
        <w:jc w:val="both"/>
      </w:pPr>
      <w:r w:rsidRPr="00722E55">
        <w:t>1</w:t>
      </w:r>
      <w:r w:rsidR="0002154E" w:rsidRPr="00722E55">
        <w:t>1</w:t>
      </w:r>
      <w:r w:rsidRPr="00722E55">
        <w:t>.</w:t>
      </w:r>
      <w:r w:rsidRPr="00722E55">
        <w:tab/>
        <w:t>The</w:t>
      </w:r>
      <w:r w:rsidR="0002154E" w:rsidRPr="00722E55">
        <w:t>refore, the</w:t>
      </w:r>
      <w:r w:rsidRPr="00722E55">
        <w:t xml:space="preserve"> fact that her husband subsequently took one month’s unpaid leave </w:t>
      </w:r>
      <w:r w:rsidR="0002154E" w:rsidRPr="00722E55">
        <w:t>after the period for which she provided evidence d</w:t>
      </w:r>
      <w:r w:rsidR="009D768F" w:rsidRPr="00722E55">
        <w:t>id not mean</w:t>
      </w:r>
      <w:r w:rsidR="0002154E" w:rsidRPr="00722E55">
        <w:t xml:space="preserve"> that she c</w:t>
      </w:r>
      <w:r w:rsidR="009D768F" w:rsidRPr="00722E55">
        <w:t>ould not</w:t>
      </w:r>
      <w:r w:rsidR="0002154E" w:rsidRPr="00722E55">
        <w:t xml:space="preserve"> meet the requirements of the Immigration Rules. </w:t>
      </w:r>
    </w:p>
    <w:p w:rsidR="00335630" w:rsidRPr="00722E55" w:rsidRDefault="00335630" w:rsidP="002D56FD">
      <w:pPr>
        <w:spacing w:line="360" w:lineRule="auto"/>
        <w:ind w:left="567" w:hanging="567"/>
        <w:jc w:val="both"/>
      </w:pPr>
    </w:p>
    <w:p w:rsidR="00F75148" w:rsidRPr="00722E55" w:rsidRDefault="00335630" w:rsidP="002D56FD">
      <w:pPr>
        <w:spacing w:line="360" w:lineRule="auto"/>
        <w:ind w:left="567" w:hanging="567"/>
        <w:jc w:val="both"/>
      </w:pPr>
      <w:r w:rsidRPr="00722E55">
        <w:t>1</w:t>
      </w:r>
      <w:r w:rsidR="0002154E" w:rsidRPr="00722E55">
        <w:t>2</w:t>
      </w:r>
      <w:r w:rsidRPr="00722E55">
        <w:t>.</w:t>
      </w:r>
      <w:r w:rsidRPr="00722E55">
        <w:tab/>
        <w:t>In addition, there was no requirement in the Rules for the App</w:t>
      </w:r>
      <w:r w:rsidR="007B25C0" w:rsidRPr="00722E55">
        <w:t>ellant</w:t>
      </w:r>
      <w:r w:rsidRPr="00722E55">
        <w:t xml:space="preserve"> to produce any document from HMRC to confirm h</w:t>
      </w:r>
      <w:r w:rsidR="007B25C0" w:rsidRPr="00722E55">
        <w:t xml:space="preserve">er sponsor’s </w:t>
      </w:r>
      <w:r w:rsidRPr="00722E55">
        <w:t xml:space="preserve">income. </w:t>
      </w:r>
      <w:r w:rsidR="009D768F" w:rsidRPr="00722E55">
        <w:t xml:space="preserve">It was also the </w:t>
      </w:r>
      <w:r w:rsidR="007B25C0" w:rsidRPr="00722E55">
        <w:t xml:space="preserve">case </w:t>
      </w:r>
      <w:r w:rsidR="009D768F" w:rsidRPr="00722E55">
        <w:t xml:space="preserve">that the Appellant was relying on income that derived from two different tax years. </w:t>
      </w:r>
      <w:r w:rsidR="007B25C0" w:rsidRPr="00722E55">
        <w:t xml:space="preserve"> </w:t>
      </w:r>
    </w:p>
    <w:p w:rsidR="007B25C0" w:rsidRPr="00722E55" w:rsidRDefault="007B25C0" w:rsidP="002D56FD">
      <w:pPr>
        <w:spacing w:line="360" w:lineRule="auto"/>
        <w:ind w:left="567" w:hanging="567"/>
        <w:jc w:val="both"/>
      </w:pPr>
    </w:p>
    <w:p w:rsidR="007B25C0" w:rsidRPr="00722E55" w:rsidRDefault="007B25C0" w:rsidP="002D56FD">
      <w:pPr>
        <w:spacing w:line="360" w:lineRule="auto"/>
        <w:ind w:left="567" w:hanging="567"/>
        <w:jc w:val="both"/>
      </w:pPr>
      <w:r w:rsidRPr="00722E55">
        <w:t>1</w:t>
      </w:r>
      <w:r w:rsidR="0002154E" w:rsidRPr="00722E55">
        <w:t>3</w:t>
      </w:r>
      <w:r w:rsidRPr="00722E55">
        <w:t>.</w:t>
      </w:r>
      <w:r w:rsidRPr="00722E55">
        <w:tab/>
        <w:t xml:space="preserve">This </w:t>
      </w:r>
      <w:r w:rsidR="0002154E" w:rsidRPr="00722E55">
        <w:t xml:space="preserve">misinterpretation of the Immigration Rules was </w:t>
      </w:r>
      <w:r w:rsidRPr="00722E55">
        <w:t>fatal to the human rights decision reached by the First-tier Tribunal Judge</w:t>
      </w:r>
      <w:r w:rsidR="0002154E" w:rsidRPr="00722E55">
        <w:t>,</w:t>
      </w:r>
      <w:r w:rsidRPr="00722E55">
        <w:t xml:space="preserve"> as it deprived the Appellant of the positive value of having met the Immigration Rules </w:t>
      </w:r>
      <w:proofErr w:type="gramStart"/>
      <w:r w:rsidRPr="00722E55">
        <w:t>for the purpose of</w:t>
      </w:r>
      <w:proofErr w:type="gramEnd"/>
      <w:r w:rsidRPr="00722E55">
        <w:t xml:space="preserve"> the proportionality assessment under Article 8.2 of the ECHR.</w:t>
      </w:r>
    </w:p>
    <w:p w:rsidR="007B25C0" w:rsidRPr="00722E55" w:rsidRDefault="007B25C0" w:rsidP="002D56FD">
      <w:pPr>
        <w:spacing w:line="360" w:lineRule="auto"/>
        <w:ind w:left="567" w:hanging="567"/>
        <w:jc w:val="both"/>
      </w:pPr>
    </w:p>
    <w:p w:rsidR="007B25C0" w:rsidRPr="00722E55" w:rsidRDefault="007B25C0" w:rsidP="007B25C0">
      <w:pPr>
        <w:spacing w:line="360" w:lineRule="auto"/>
        <w:ind w:left="567" w:hanging="567"/>
        <w:jc w:val="both"/>
      </w:pPr>
      <w:r w:rsidRPr="00722E55">
        <w:t>1</w:t>
      </w:r>
      <w:r w:rsidR="0002154E" w:rsidRPr="00722E55">
        <w:t>4</w:t>
      </w:r>
      <w:r w:rsidRPr="00722E55">
        <w:t>.</w:t>
      </w:r>
      <w:r w:rsidRPr="00722E55">
        <w:tab/>
      </w:r>
      <w:proofErr w:type="gramStart"/>
      <w:r w:rsidRPr="00722E55">
        <w:t>As a consequence</w:t>
      </w:r>
      <w:proofErr w:type="gramEnd"/>
      <w:r w:rsidRPr="00722E55">
        <w:t xml:space="preserve">, there were errors of law in First-tier Tribunal Judge </w:t>
      </w:r>
      <w:proofErr w:type="spellStart"/>
      <w:r w:rsidRPr="00722E55">
        <w:t>Wilsher’s</w:t>
      </w:r>
      <w:proofErr w:type="spellEnd"/>
      <w:r w:rsidRPr="00722E55">
        <w:t xml:space="preserve"> decision.</w:t>
      </w:r>
      <w:r w:rsidR="0002154E" w:rsidRPr="00722E55">
        <w:t xml:space="preserve"> Therefore, I set aside his decision but retain his findings of fact in relation to the Appellant’s relationship with her husband.</w:t>
      </w:r>
    </w:p>
    <w:p w:rsidR="0002154E" w:rsidRPr="00722E55" w:rsidRDefault="0002154E" w:rsidP="007B25C0">
      <w:pPr>
        <w:spacing w:line="360" w:lineRule="auto"/>
        <w:ind w:left="567" w:hanging="567"/>
        <w:jc w:val="both"/>
      </w:pPr>
    </w:p>
    <w:p w:rsidR="0002154E" w:rsidRPr="00722E55" w:rsidRDefault="0002154E" w:rsidP="007B25C0">
      <w:pPr>
        <w:spacing w:line="360" w:lineRule="auto"/>
        <w:ind w:left="567" w:hanging="567"/>
        <w:jc w:val="both"/>
      </w:pPr>
      <w:r w:rsidRPr="00722E55">
        <w:lastRenderedPageBreak/>
        <w:t>15.</w:t>
      </w:r>
      <w:r w:rsidRPr="00722E55">
        <w:tab/>
        <w:t xml:space="preserve">I also retain the appeal in the Upper Tribunal and go on to re-make the decision on her appeal against the Respondent’s decision. </w:t>
      </w:r>
    </w:p>
    <w:p w:rsidR="0002154E" w:rsidRPr="00722E55" w:rsidRDefault="0002154E" w:rsidP="007B25C0">
      <w:pPr>
        <w:spacing w:line="360" w:lineRule="auto"/>
        <w:ind w:left="567" w:hanging="567"/>
        <w:jc w:val="both"/>
      </w:pPr>
    </w:p>
    <w:p w:rsidR="0002154E" w:rsidRPr="00722E55" w:rsidRDefault="0002154E" w:rsidP="007B25C0">
      <w:pPr>
        <w:spacing w:line="360" w:lineRule="auto"/>
        <w:ind w:left="567" w:hanging="567"/>
        <w:jc w:val="both"/>
      </w:pPr>
      <w:r w:rsidRPr="00722E55">
        <w:t>16.</w:t>
      </w:r>
      <w:r w:rsidRPr="00722E55">
        <w:tab/>
        <w:t xml:space="preserve">In terms of Article 8.1 of the ECHR, I find for the reasons given by First-tier Tribunal that the Appellant has a genuine and subsisting family relationship with her husband. </w:t>
      </w:r>
    </w:p>
    <w:p w:rsidR="0002154E" w:rsidRPr="00722E55" w:rsidRDefault="0002154E" w:rsidP="007B25C0">
      <w:pPr>
        <w:spacing w:line="360" w:lineRule="auto"/>
        <w:ind w:left="567" w:hanging="567"/>
        <w:jc w:val="both"/>
      </w:pPr>
    </w:p>
    <w:p w:rsidR="0002154E" w:rsidRPr="00722E55" w:rsidRDefault="0002154E" w:rsidP="007B25C0">
      <w:pPr>
        <w:spacing w:line="360" w:lineRule="auto"/>
        <w:ind w:left="567" w:hanging="567"/>
        <w:jc w:val="both"/>
      </w:pPr>
      <w:r w:rsidRPr="00722E55">
        <w:t>17.</w:t>
      </w:r>
      <w:r w:rsidRPr="00722E55">
        <w:tab/>
        <w:t>For the purposes of Article 8.2, I find</w:t>
      </w:r>
      <w:r w:rsidR="009D768F" w:rsidRPr="00722E55">
        <w:t>,</w:t>
      </w:r>
      <w:r w:rsidRPr="00722E55">
        <w:t xml:space="preserve"> as explained above</w:t>
      </w:r>
      <w:r w:rsidR="009D768F" w:rsidRPr="00722E55">
        <w:t>,</w:t>
      </w:r>
      <w:r w:rsidRPr="00722E55">
        <w:t xml:space="preserve"> that the Appellant had provided sufficient evidence to show that she could meet the necessary financial requirements in the Immigration Rules. </w:t>
      </w:r>
    </w:p>
    <w:p w:rsidR="0002154E" w:rsidRPr="00722E55" w:rsidRDefault="0002154E" w:rsidP="007B25C0">
      <w:pPr>
        <w:spacing w:line="360" w:lineRule="auto"/>
        <w:ind w:left="567" w:hanging="567"/>
        <w:jc w:val="both"/>
      </w:pPr>
    </w:p>
    <w:p w:rsidR="00B82294" w:rsidRPr="00722E55" w:rsidRDefault="0002154E" w:rsidP="007B25C0">
      <w:pPr>
        <w:spacing w:line="360" w:lineRule="auto"/>
        <w:ind w:left="567" w:hanging="567"/>
        <w:jc w:val="both"/>
      </w:pPr>
      <w:r w:rsidRPr="00722E55">
        <w:t>18.</w:t>
      </w:r>
      <w:r w:rsidRPr="00722E55">
        <w:tab/>
        <w:t xml:space="preserve">First-tier Tribunal Judge </w:t>
      </w:r>
      <w:proofErr w:type="spellStart"/>
      <w:r w:rsidRPr="00722E55">
        <w:t>Wilsher</w:t>
      </w:r>
      <w:proofErr w:type="spellEnd"/>
      <w:r w:rsidRPr="00722E55">
        <w:t xml:space="preserve"> had not addressed the other issues in relation to the evidence referred to by the Entry Clearance Officer in his decision. I have considered the evidence provided by the Appellant and note that there is no discrepancy between the sums paid to her sponsor</w:t>
      </w:r>
      <w:r w:rsidR="009D768F" w:rsidRPr="00722E55">
        <w:t>,</w:t>
      </w:r>
      <w:r w:rsidRPr="00722E55">
        <w:t xml:space="preserve"> as recorded in his relevant payslips</w:t>
      </w:r>
      <w:r w:rsidR="009D768F" w:rsidRPr="00722E55">
        <w:t>,</w:t>
      </w:r>
      <w:r w:rsidRPr="00722E55">
        <w:t xml:space="preserve"> and the sums paid into his bank account. </w:t>
      </w:r>
      <w:proofErr w:type="gramStart"/>
      <w:r w:rsidR="00B82294" w:rsidRPr="00722E55">
        <w:t>In particular, there</w:t>
      </w:r>
      <w:proofErr w:type="gramEnd"/>
      <w:r w:rsidR="00B82294" w:rsidRPr="00722E55">
        <w:t xml:space="preserve"> were no discrepancies relating to the payment of his salary in April 2016. This was in the sum of £1,362.32</w:t>
      </w:r>
      <w:r w:rsidR="00352151" w:rsidRPr="00722E55">
        <w:t xml:space="preserve">. He was paid on </w:t>
      </w:r>
      <w:r w:rsidR="00B82294" w:rsidRPr="00722E55">
        <w:t>30 April 2016</w:t>
      </w:r>
      <w:r w:rsidR="00352151" w:rsidRPr="00722E55">
        <w:t xml:space="preserve"> and this sum was credited to his HSBC account on that same day. </w:t>
      </w:r>
    </w:p>
    <w:p w:rsidR="00352151" w:rsidRPr="00722E55" w:rsidRDefault="00352151" w:rsidP="007B25C0">
      <w:pPr>
        <w:spacing w:line="360" w:lineRule="auto"/>
        <w:ind w:left="567" w:hanging="567"/>
        <w:jc w:val="both"/>
        <w:rPr>
          <w:b/>
        </w:rPr>
      </w:pPr>
    </w:p>
    <w:p w:rsidR="00B82294" w:rsidRPr="00722E55" w:rsidRDefault="00B82294" w:rsidP="007B25C0">
      <w:pPr>
        <w:spacing w:line="360" w:lineRule="auto"/>
        <w:ind w:left="567" w:hanging="567"/>
        <w:jc w:val="both"/>
      </w:pPr>
      <w:r w:rsidRPr="00722E55">
        <w:t>19.</w:t>
      </w:r>
      <w:r w:rsidRPr="00722E55">
        <w:tab/>
        <w:t>In addition, sums of £1,362.32 were regularly paid into the sponsor’s bank account from</w:t>
      </w:r>
      <w:r w:rsidR="00352151" w:rsidRPr="00722E55">
        <w:t xml:space="preserve"> Smart Cleaners Ltd and</w:t>
      </w:r>
      <w:r w:rsidRPr="00722E55">
        <w:t xml:space="preserve"> the fact that these were recorded as credits and the payslips referred to a BACS payment is a difference without any significance as BACS is short for Bankers Automated Clearing Service and is a service </w:t>
      </w:r>
      <w:r w:rsidR="00352151" w:rsidRPr="00722E55">
        <w:t xml:space="preserve">the </w:t>
      </w:r>
      <w:r w:rsidRPr="00722E55">
        <w:t xml:space="preserve">employers can use to pay their employees’ salaries. </w:t>
      </w:r>
      <w:r w:rsidR="00352151" w:rsidRPr="00722E55">
        <w:t>The letter from his employer, Smart Cleaners, dated 26 September 2017, also confirmed that he was paid via BACS.</w:t>
      </w:r>
    </w:p>
    <w:p w:rsidR="00B82294" w:rsidRPr="00722E55" w:rsidRDefault="00B82294" w:rsidP="007B25C0">
      <w:pPr>
        <w:spacing w:line="360" w:lineRule="auto"/>
        <w:ind w:left="567" w:hanging="567"/>
        <w:jc w:val="both"/>
      </w:pPr>
    </w:p>
    <w:p w:rsidR="00B82294" w:rsidRPr="00722E55" w:rsidRDefault="00B82294" w:rsidP="007B25C0">
      <w:pPr>
        <w:spacing w:line="360" w:lineRule="auto"/>
        <w:ind w:left="567" w:hanging="567"/>
        <w:jc w:val="both"/>
      </w:pPr>
      <w:r w:rsidRPr="00722E55">
        <w:t>20.</w:t>
      </w:r>
      <w:r w:rsidRPr="00722E55">
        <w:tab/>
        <w:t xml:space="preserve">The Entry Clearance Officer also asserted that open source checks had indicated that Smart Cleaners Ltd had a net worth of £113. However, there was no evidence to show that this was the case and the bank statements and the use of BACS suggested that the company was solvent. </w:t>
      </w:r>
      <w:r w:rsidR="00352151" w:rsidRPr="00722E55">
        <w:t xml:space="preserve">In the addition, the letter from Smart Cleaners, dated 26 September 2017, noted that the value of a company can fluctuate at any time but the employers were being paid on time. </w:t>
      </w:r>
    </w:p>
    <w:p w:rsidR="00851AD0" w:rsidRPr="00722E55" w:rsidRDefault="00851AD0" w:rsidP="007B25C0">
      <w:pPr>
        <w:spacing w:line="360" w:lineRule="auto"/>
        <w:ind w:left="567" w:hanging="567"/>
        <w:jc w:val="both"/>
      </w:pPr>
    </w:p>
    <w:p w:rsidR="00851AD0" w:rsidRPr="00722E55" w:rsidRDefault="00851AD0" w:rsidP="007B25C0">
      <w:pPr>
        <w:spacing w:line="360" w:lineRule="auto"/>
        <w:ind w:left="567" w:hanging="567"/>
        <w:jc w:val="both"/>
      </w:pPr>
      <w:r w:rsidRPr="00722E55">
        <w:t>21.</w:t>
      </w:r>
      <w:r w:rsidRPr="00722E55">
        <w:tab/>
      </w:r>
      <w:proofErr w:type="gramStart"/>
      <w:r w:rsidRPr="00722E55">
        <w:t>As a consequence</w:t>
      </w:r>
      <w:proofErr w:type="gramEnd"/>
      <w:r w:rsidRPr="00722E55">
        <w:t xml:space="preserve">, there were no other issues which cast doubt on the level of the Appellant’s sponsor’s income for the required period. Therefore, she met the requirement of the Immigration Rules and therefore it could not be said for the purposes of Article 8.2 that it was </w:t>
      </w:r>
      <w:r w:rsidRPr="00722E55">
        <w:lastRenderedPageBreak/>
        <w:t xml:space="preserve">in accordance with the law or proportionate to refuse her leave and therefore breach her right to enjoy a family life with her sponsor.  </w:t>
      </w:r>
    </w:p>
    <w:p w:rsidR="007B25C0" w:rsidRPr="00722E55" w:rsidRDefault="007B25C0" w:rsidP="007B25C0">
      <w:pPr>
        <w:spacing w:line="360" w:lineRule="auto"/>
        <w:ind w:left="567" w:hanging="567"/>
        <w:jc w:val="both"/>
      </w:pPr>
    </w:p>
    <w:p w:rsidR="00973CD0" w:rsidRPr="00722E55" w:rsidRDefault="00973CD0" w:rsidP="00E25D2E">
      <w:pPr>
        <w:spacing w:line="360" w:lineRule="auto"/>
        <w:ind w:left="567" w:hanging="567"/>
        <w:jc w:val="both"/>
        <w:rPr>
          <w:b/>
        </w:rPr>
      </w:pPr>
      <w:r w:rsidRPr="00722E55">
        <w:rPr>
          <w:b/>
        </w:rPr>
        <w:t>Decision</w:t>
      </w:r>
    </w:p>
    <w:p w:rsidR="00973CD0" w:rsidRPr="00722E55" w:rsidRDefault="00973CD0" w:rsidP="00E25D2E">
      <w:pPr>
        <w:spacing w:line="360" w:lineRule="auto"/>
        <w:ind w:left="567" w:hanging="567"/>
        <w:jc w:val="both"/>
        <w:rPr>
          <w:b/>
        </w:rPr>
      </w:pPr>
    </w:p>
    <w:p w:rsidR="00973CD0" w:rsidRPr="00722E55" w:rsidRDefault="00973CD0" w:rsidP="00E25D2E">
      <w:pPr>
        <w:spacing w:line="360" w:lineRule="auto"/>
        <w:ind w:left="567" w:hanging="567"/>
        <w:jc w:val="both"/>
      </w:pPr>
      <w:r w:rsidRPr="00722E55">
        <w:t>(1)</w:t>
      </w:r>
      <w:r w:rsidRPr="00722E55">
        <w:tab/>
        <w:t>The appeal is allowed.</w:t>
      </w:r>
    </w:p>
    <w:p w:rsidR="00973CD0" w:rsidRPr="00722E55" w:rsidRDefault="00973CD0" w:rsidP="00E25D2E">
      <w:pPr>
        <w:spacing w:line="360" w:lineRule="auto"/>
        <w:ind w:left="567" w:hanging="567"/>
        <w:jc w:val="both"/>
      </w:pPr>
    </w:p>
    <w:p w:rsidR="00973CD0" w:rsidRPr="00722E55" w:rsidRDefault="00973CD0" w:rsidP="00E25D2E">
      <w:pPr>
        <w:spacing w:line="360" w:lineRule="auto"/>
        <w:ind w:left="567" w:hanging="567"/>
        <w:jc w:val="both"/>
      </w:pPr>
      <w:r w:rsidRPr="00722E55">
        <w:t>(2)</w:t>
      </w:r>
      <w:r w:rsidRPr="00722E55">
        <w:tab/>
        <w:t xml:space="preserve">The decision of First-tier Tribunal Judge </w:t>
      </w:r>
      <w:proofErr w:type="spellStart"/>
      <w:r w:rsidR="009B5681" w:rsidRPr="00722E55">
        <w:t>Wilsher</w:t>
      </w:r>
      <w:proofErr w:type="spellEnd"/>
      <w:r w:rsidR="009B5681" w:rsidRPr="00722E55">
        <w:t xml:space="preserve"> is set aside</w:t>
      </w:r>
      <w:r w:rsidR="00851AD0" w:rsidRPr="00722E55">
        <w:t xml:space="preserve"> but his findings in relation to the Appellant’s relationship with her sponsor are ret</w:t>
      </w:r>
      <w:r w:rsidR="009D768F" w:rsidRPr="00722E55">
        <w:t>aine</w:t>
      </w:r>
      <w:r w:rsidR="00851AD0" w:rsidRPr="00722E55">
        <w:t>d</w:t>
      </w:r>
      <w:r w:rsidR="009B5681" w:rsidRPr="00722E55">
        <w:t xml:space="preserve">. </w:t>
      </w:r>
    </w:p>
    <w:p w:rsidR="003257CA" w:rsidRPr="00722E55" w:rsidRDefault="003257CA" w:rsidP="00E25D2E">
      <w:pPr>
        <w:spacing w:line="360" w:lineRule="auto"/>
        <w:ind w:left="567" w:hanging="567"/>
        <w:jc w:val="both"/>
      </w:pPr>
    </w:p>
    <w:p w:rsidR="003257CA" w:rsidRPr="00722E55" w:rsidRDefault="003257CA" w:rsidP="00026E39">
      <w:pPr>
        <w:ind w:left="567" w:hanging="567"/>
        <w:jc w:val="both"/>
      </w:pPr>
      <w:r w:rsidRPr="00722E55">
        <w:t>(</w:t>
      </w:r>
      <w:r w:rsidR="009B5681" w:rsidRPr="00722E55">
        <w:t>3</w:t>
      </w:r>
      <w:r w:rsidRPr="00722E55">
        <w:t>)</w:t>
      </w:r>
      <w:r w:rsidRPr="00722E55">
        <w:tab/>
      </w:r>
      <w:r w:rsidR="006B2C82" w:rsidRPr="00722E55">
        <w:t>The appeal is re</w:t>
      </w:r>
      <w:r w:rsidR="00851AD0" w:rsidRPr="00722E55">
        <w:t xml:space="preserve">tained in the Upper </w:t>
      </w:r>
      <w:r w:rsidR="006B2C82" w:rsidRPr="00722E55">
        <w:t xml:space="preserve">Tribunal </w:t>
      </w:r>
      <w:r w:rsidR="00851AD0" w:rsidRPr="00722E55">
        <w:t>and</w:t>
      </w:r>
      <w:r w:rsidR="009D768F" w:rsidRPr="00722E55">
        <w:t>,</w:t>
      </w:r>
      <w:r w:rsidR="00851AD0" w:rsidRPr="00722E55">
        <w:t xml:space="preserve"> having reviewed the evidence</w:t>
      </w:r>
      <w:r w:rsidR="009D768F" w:rsidRPr="00722E55">
        <w:t>,</w:t>
      </w:r>
      <w:r w:rsidR="00851AD0" w:rsidRPr="00722E55">
        <w:t xml:space="preserve"> I allow the Appellant’s appeal against the Respondent’s initial decision. </w:t>
      </w:r>
      <w:r w:rsidRPr="00722E55">
        <w:t xml:space="preserve">  </w:t>
      </w:r>
    </w:p>
    <w:p w:rsidR="003257CA" w:rsidRPr="00722E55" w:rsidRDefault="003257CA" w:rsidP="00026E39">
      <w:pPr>
        <w:ind w:left="567" w:hanging="567"/>
        <w:jc w:val="both"/>
      </w:pPr>
    </w:p>
    <w:p w:rsidR="003257CA" w:rsidRPr="00722E55" w:rsidRDefault="003257CA" w:rsidP="00026E39">
      <w:pPr>
        <w:ind w:left="567" w:hanging="567"/>
        <w:jc w:val="both"/>
      </w:pPr>
    </w:p>
    <w:p w:rsidR="00722E55" w:rsidRPr="00725575" w:rsidRDefault="00722E55" w:rsidP="00722E55">
      <w:pPr>
        <w:jc w:val="both"/>
        <w:rPr>
          <w:rFonts w:ascii="Lucida Handwriting" w:hAnsi="Lucida Handwriting" w:cs="Arial"/>
          <w:sz w:val="40"/>
        </w:rPr>
      </w:pPr>
      <w:r>
        <w:rPr>
          <w:rFonts w:ascii="Lucida Handwriting" w:hAnsi="Lucida Handwriting" w:cs="Arial"/>
          <w:sz w:val="40"/>
        </w:rPr>
        <w:t>Nadine Finch</w:t>
      </w:r>
    </w:p>
    <w:p w:rsidR="003257CA" w:rsidRPr="00722E55" w:rsidRDefault="003257CA" w:rsidP="00026E39">
      <w:pPr>
        <w:ind w:left="567" w:hanging="567"/>
        <w:jc w:val="both"/>
      </w:pPr>
    </w:p>
    <w:p w:rsidR="003257CA" w:rsidRPr="00722E55" w:rsidRDefault="003257CA" w:rsidP="00026E39">
      <w:pPr>
        <w:jc w:val="both"/>
      </w:pPr>
    </w:p>
    <w:p w:rsidR="003257CA" w:rsidRPr="00722E55" w:rsidRDefault="003257CA" w:rsidP="00026E39">
      <w:pPr>
        <w:ind w:left="567" w:hanging="567"/>
        <w:jc w:val="both"/>
      </w:pPr>
    </w:p>
    <w:p w:rsidR="003257CA" w:rsidRPr="00722E55" w:rsidRDefault="003257CA" w:rsidP="00847259">
      <w:pPr>
        <w:jc w:val="both"/>
      </w:pPr>
      <w:r w:rsidRPr="00722E55">
        <w:t>Signed</w:t>
      </w:r>
      <w:r w:rsidRPr="00722E55">
        <w:tab/>
      </w:r>
      <w:r w:rsidRPr="00722E55">
        <w:tab/>
      </w:r>
      <w:r w:rsidRPr="00722E55">
        <w:tab/>
      </w:r>
      <w:r w:rsidRPr="00722E55">
        <w:tab/>
      </w:r>
      <w:r w:rsidRPr="00722E55">
        <w:tab/>
      </w:r>
      <w:r w:rsidRPr="00722E55">
        <w:tab/>
      </w:r>
      <w:r w:rsidRPr="00722E55">
        <w:tab/>
      </w:r>
      <w:r w:rsidRPr="00722E55">
        <w:tab/>
        <w:t xml:space="preserve">Date </w:t>
      </w:r>
      <w:r w:rsidR="00B57329" w:rsidRPr="00722E55">
        <w:t>6 August</w:t>
      </w:r>
      <w:r w:rsidRPr="00722E55">
        <w:t xml:space="preserve"> 2018</w:t>
      </w:r>
    </w:p>
    <w:p w:rsidR="003257CA" w:rsidRPr="00722E55" w:rsidRDefault="003257CA" w:rsidP="00847259">
      <w:pPr>
        <w:jc w:val="both"/>
      </w:pPr>
    </w:p>
    <w:p w:rsidR="003257CA" w:rsidRPr="00722E55" w:rsidRDefault="003257CA" w:rsidP="00847259">
      <w:pPr>
        <w:jc w:val="both"/>
        <w:rPr>
          <w:color w:val="000000"/>
        </w:rPr>
      </w:pPr>
      <w:r w:rsidRPr="00722E55">
        <w:rPr>
          <w:color w:val="000000"/>
        </w:rPr>
        <w:t xml:space="preserve">Upper Tribunal Judge Finch </w:t>
      </w:r>
    </w:p>
    <w:p w:rsidR="003257CA" w:rsidRPr="00722E55" w:rsidRDefault="003257CA" w:rsidP="00847259">
      <w:pPr>
        <w:jc w:val="both"/>
        <w:rPr>
          <w:color w:val="000000"/>
        </w:rPr>
      </w:pPr>
    </w:p>
    <w:p w:rsidR="003257CA" w:rsidRPr="00722E55" w:rsidRDefault="003257CA" w:rsidP="00847259">
      <w:pPr>
        <w:jc w:val="both"/>
        <w:rPr>
          <w:color w:val="000000"/>
        </w:rPr>
      </w:pPr>
    </w:p>
    <w:sectPr w:rsidR="003257CA" w:rsidRPr="00722E55" w:rsidSect="00722E55">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386" w:rsidRDefault="00C50386">
      <w:r>
        <w:separator/>
      </w:r>
    </w:p>
  </w:endnote>
  <w:endnote w:type="continuationSeparator" w:id="0">
    <w:p w:rsidR="00C50386" w:rsidRDefault="00C5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950200235"/>
      <w:docPartObj>
        <w:docPartGallery w:val="Page Numbers (Bottom of Page)"/>
        <w:docPartUnique/>
      </w:docPartObj>
    </w:sdtPr>
    <w:sdtEndPr>
      <w:rPr>
        <w:rFonts w:ascii="Book Antiqua" w:hAnsi="Book Antiqua"/>
        <w:noProof/>
      </w:rPr>
    </w:sdtEndPr>
    <w:sdtContent>
      <w:p w:rsidR="004A4B9B" w:rsidRPr="00722E55" w:rsidRDefault="004A4B9B">
        <w:pPr>
          <w:pStyle w:val="Footer"/>
          <w:jc w:val="center"/>
          <w:rPr>
            <w:rFonts w:ascii="Book Antiqua" w:hAnsi="Book Antiqua"/>
            <w:sz w:val="20"/>
            <w:szCs w:val="20"/>
          </w:rPr>
        </w:pPr>
        <w:r w:rsidRPr="00722E55">
          <w:rPr>
            <w:rFonts w:ascii="Book Antiqua" w:hAnsi="Book Antiqua"/>
            <w:sz w:val="20"/>
            <w:szCs w:val="20"/>
          </w:rPr>
          <w:fldChar w:fldCharType="begin"/>
        </w:r>
        <w:r w:rsidRPr="00722E55">
          <w:rPr>
            <w:rFonts w:ascii="Book Antiqua" w:hAnsi="Book Antiqua"/>
            <w:sz w:val="20"/>
            <w:szCs w:val="20"/>
          </w:rPr>
          <w:instrText xml:space="preserve"> PAGE   \* MERGEFORMAT </w:instrText>
        </w:r>
        <w:r w:rsidRPr="00722E55">
          <w:rPr>
            <w:rFonts w:ascii="Book Antiqua" w:hAnsi="Book Antiqua"/>
            <w:sz w:val="20"/>
            <w:szCs w:val="20"/>
          </w:rPr>
          <w:fldChar w:fldCharType="separate"/>
        </w:r>
        <w:r w:rsidR="007A1C94">
          <w:rPr>
            <w:rFonts w:ascii="Book Antiqua" w:hAnsi="Book Antiqua"/>
            <w:noProof/>
            <w:sz w:val="20"/>
            <w:szCs w:val="20"/>
          </w:rPr>
          <w:t>6</w:t>
        </w:r>
        <w:r w:rsidRPr="00722E55">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CE412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386" w:rsidRDefault="00C50386">
      <w:r>
        <w:separator/>
      </w:r>
    </w:p>
  </w:footnote>
  <w:footnote w:type="continuationSeparator" w:id="0">
    <w:p w:rsidR="00C50386" w:rsidRDefault="00C50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722E55" w:rsidRDefault="00BA5867" w:rsidP="00BA5867">
    <w:pPr>
      <w:jc w:val="right"/>
      <w:rPr>
        <w:rFonts w:cs="Arial"/>
        <w:color w:val="000000"/>
        <w:sz w:val="16"/>
        <w:szCs w:val="16"/>
      </w:rPr>
    </w:pPr>
    <w:r w:rsidRPr="00722E55">
      <w:rPr>
        <w:rFonts w:cs="Arial"/>
        <w:color w:val="000000"/>
        <w:sz w:val="16"/>
        <w:szCs w:val="16"/>
      </w:rPr>
      <w:t>Appeal Number: HU/00209/2017</w:t>
    </w:r>
  </w:p>
  <w:p w:rsidR="003257CA" w:rsidRDefault="0032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154E"/>
    <w:rsid w:val="00025E48"/>
    <w:rsid w:val="00026E39"/>
    <w:rsid w:val="00033D3D"/>
    <w:rsid w:val="0003772C"/>
    <w:rsid w:val="00040A6C"/>
    <w:rsid w:val="00042156"/>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E44A8"/>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B091F"/>
    <w:rsid w:val="001B186A"/>
    <w:rsid w:val="001B2F75"/>
    <w:rsid w:val="001B5021"/>
    <w:rsid w:val="001B6A67"/>
    <w:rsid w:val="001B768F"/>
    <w:rsid w:val="001C4EB3"/>
    <w:rsid w:val="001C74AC"/>
    <w:rsid w:val="001F245E"/>
    <w:rsid w:val="001F2716"/>
    <w:rsid w:val="00200BD4"/>
    <w:rsid w:val="00203467"/>
    <w:rsid w:val="002035ED"/>
    <w:rsid w:val="00206D4A"/>
    <w:rsid w:val="00207617"/>
    <w:rsid w:val="0021618E"/>
    <w:rsid w:val="002165E3"/>
    <w:rsid w:val="00217865"/>
    <w:rsid w:val="00224D49"/>
    <w:rsid w:val="0023134B"/>
    <w:rsid w:val="002367B0"/>
    <w:rsid w:val="00236A9B"/>
    <w:rsid w:val="002376E5"/>
    <w:rsid w:val="00243EF7"/>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9496D"/>
    <w:rsid w:val="002A5013"/>
    <w:rsid w:val="002A78E2"/>
    <w:rsid w:val="002B342D"/>
    <w:rsid w:val="002B3709"/>
    <w:rsid w:val="002C6BD4"/>
    <w:rsid w:val="002D083B"/>
    <w:rsid w:val="002D0E6D"/>
    <w:rsid w:val="002D56FD"/>
    <w:rsid w:val="002D68BF"/>
    <w:rsid w:val="002D6C34"/>
    <w:rsid w:val="002E7EA9"/>
    <w:rsid w:val="002F0F14"/>
    <w:rsid w:val="002F6B98"/>
    <w:rsid w:val="002F7BBB"/>
    <w:rsid w:val="00300D36"/>
    <w:rsid w:val="00300EFA"/>
    <w:rsid w:val="00303BAF"/>
    <w:rsid w:val="00321375"/>
    <w:rsid w:val="00322667"/>
    <w:rsid w:val="003257CA"/>
    <w:rsid w:val="003343B2"/>
    <w:rsid w:val="00335630"/>
    <w:rsid w:val="00335737"/>
    <w:rsid w:val="00336CBF"/>
    <w:rsid w:val="00343FE3"/>
    <w:rsid w:val="0034796B"/>
    <w:rsid w:val="00352151"/>
    <w:rsid w:val="00353B0E"/>
    <w:rsid w:val="003546C8"/>
    <w:rsid w:val="003626A1"/>
    <w:rsid w:val="00363410"/>
    <w:rsid w:val="003645B5"/>
    <w:rsid w:val="0037519F"/>
    <w:rsid w:val="00376618"/>
    <w:rsid w:val="00376763"/>
    <w:rsid w:val="003817B4"/>
    <w:rsid w:val="00384748"/>
    <w:rsid w:val="003863F7"/>
    <w:rsid w:val="00390A01"/>
    <w:rsid w:val="00394E67"/>
    <w:rsid w:val="00395C30"/>
    <w:rsid w:val="003A0375"/>
    <w:rsid w:val="003A447D"/>
    <w:rsid w:val="003A7CF2"/>
    <w:rsid w:val="003C5CE5"/>
    <w:rsid w:val="003D3F1E"/>
    <w:rsid w:val="003D461D"/>
    <w:rsid w:val="003D549E"/>
    <w:rsid w:val="003E267B"/>
    <w:rsid w:val="003E3C30"/>
    <w:rsid w:val="003E7CC8"/>
    <w:rsid w:val="003E7CD1"/>
    <w:rsid w:val="003F4C61"/>
    <w:rsid w:val="00401DA1"/>
    <w:rsid w:val="00402B9E"/>
    <w:rsid w:val="00404B61"/>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E3C"/>
    <w:rsid w:val="00473BE7"/>
    <w:rsid w:val="00477193"/>
    <w:rsid w:val="00484940"/>
    <w:rsid w:val="004931D1"/>
    <w:rsid w:val="004A00B4"/>
    <w:rsid w:val="004A1848"/>
    <w:rsid w:val="004A1985"/>
    <w:rsid w:val="004A34EE"/>
    <w:rsid w:val="004A39D5"/>
    <w:rsid w:val="004A4B9B"/>
    <w:rsid w:val="004A6F4A"/>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90558"/>
    <w:rsid w:val="00593795"/>
    <w:rsid w:val="00595102"/>
    <w:rsid w:val="00596130"/>
    <w:rsid w:val="005A11EA"/>
    <w:rsid w:val="005A6895"/>
    <w:rsid w:val="005A75FF"/>
    <w:rsid w:val="005B6B5B"/>
    <w:rsid w:val="005B7413"/>
    <w:rsid w:val="005C2B9C"/>
    <w:rsid w:val="005C720F"/>
    <w:rsid w:val="005D0062"/>
    <w:rsid w:val="005D10AB"/>
    <w:rsid w:val="005D5116"/>
    <w:rsid w:val="005D603D"/>
    <w:rsid w:val="005E34E2"/>
    <w:rsid w:val="005E3B61"/>
    <w:rsid w:val="005E64E1"/>
    <w:rsid w:val="005F3EB4"/>
    <w:rsid w:val="005F7557"/>
    <w:rsid w:val="00601D8F"/>
    <w:rsid w:val="00602C67"/>
    <w:rsid w:val="00602FB3"/>
    <w:rsid w:val="0060435A"/>
    <w:rsid w:val="00604A30"/>
    <w:rsid w:val="00606611"/>
    <w:rsid w:val="00610B20"/>
    <w:rsid w:val="0062078F"/>
    <w:rsid w:val="00627B05"/>
    <w:rsid w:val="0063325D"/>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47C4"/>
    <w:rsid w:val="006F2CF1"/>
    <w:rsid w:val="006F73F1"/>
    <w:rsid w:val="00701A03"/>
    <w:rsid w:val="00702792"/>
    <w:rsid w:val="00702B91"/>
    <w:rsid w:val="00703184"/>
    <w:rsid w:val="007038ED"/>
    <w:rsid w:val="00703BC3"/>
    <w:rsid w:val="00704B61"/>
    <w:rsid w:val="00704F53"/>
    <w:rsid w:val="00705AFB"/>
    <w:rsid w:val="00722E55"/>
    <w:rsid w:val="00724968"/>
    <w:rsid w:val="00725575"/>
    <w:rsid w:val="007276FF"/>
    <w:rsid w:val="00727FFD"/>
    <w:rsid w:val="007326A3"/>
    <w:rsid w:val="00736820"/>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1C94"/>
    <w:rsid w:val="007A5C26"/>
    <w:rsid w:val="007B0824"/>
    <w:rsid w:val="007B0DDF"/>
    <w:rsid w:val="007B25C0"/>
    <w:rsid w:val="007B2BD6"/>
    <w:rsid w:val="007B3613"/>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5B37"/>
    <w:rsid w:val="00847259"/>
    <w:rsid w:val="008478F6"/>
    <w:rsid w:val="008516F1"/>
    <w:rsid w:val="00851AD0"/>
    <w:rsid w:val="008537F9"/>
    <w:rsid w:val="00854534"/>
    <w:rsid w:val="00854894"/>
    <w:rsid w:val="008566D0"/>
    <w:rsid w:val="0086738E"/>
    <w:rsid w:val="00871063"/>
    <w:rsid w:val="00871D34"/>
    <w:rsid w:val="00874D45"/>
    <w:rsid w:val="0087528C"/>
    <w:rsid w:val="00877198"/>
    <w:rsid w:val="00881860"/>
    <w:rsid w:val="00891016"/>
    <w:rsid w:val="0089348F"/>
    <w:rsid w:val="0089553D"/>
    <w:rsid w:val="00897C8C"/>
    <w:rsid w:val="008A2695"/>
    <w:rsid w:val="008A7E3E"/>
    <w:rsid w:val="008B270C"/>
    <w:rsid w:val="008B2F0F"/>
    <w:rsid w:val="008B5078"/>
    <w:rsid w:val="008C12BC"/>
    <w:rsid w:val="008C3D3D"/>
    <w:rsid w:val="008D1135"/>
    <w:rsid w:val="008D4131"/>
    <w:rsid w:val="008D47C3"/>
    <w:rsid w:val="008E0286"/>
    <w:rsid w:val="008E7B93"/>
    <w:rsid w:val="008F1932"/>
    <w:rsid w:val="008F1BDC"/>
    <w:rsid w:val="008F48D0"/>
    <w:rsid w:val="008F4C67"/>
    <w:rsid w:val="008F6C0F"/>
    <w:rsid w:val="00901A46"/>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3CD0"/>
    <w:rsid w:val="00974225"/>
    <w:rsid w:val="009771B1"/>
    <w:rsid w:val="00980665"/>
    <w:rsid w:val="009840B7"/>
    <w:rsid w:val="00984B68"/>
    <w:rsid w:val="00984E64"/>
    <w:rsid w:val="00987774"/>
    <w:rsid w:val="0099516E"/>
    <w:rsid w:val="009A11E8"/>
    <w:rsid w:val="009A244B"/>
    <w:rsid w:val="009A6060"/>
    <w:rsid w:val="009B0A37"/>
    <w:rsid w:val="009B443B"/>
    <w:rsid w:val="009B5681"/>
    <w:rsid w:val="009B7433"/>
    <w:rsid w:val="009C0687"/>
    <w:rsid w:val="009C4AE6"/>
    <w:rsid w:val="009D1EA3"/>
    <w:rsid w:val="009D341B"/>
    <w:rsid w:val="009D768F"/>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1C2B"/>
    <w:rsid w:val="00AB20E4"/>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23D2D"/>
    <w:rsid w:val="00B25CB9"/>
    <w:rsid w:val="00B26AA2"/>
    <w:rsid w:val="00B30647"/>
    <w:rsid w:val="00B34549"/>
    <w:rsid w:val="00B3524D"/>
    <w:rsid w:val="00B354CC"/>
    <w:rsid w:val="00B40F69"/>
    <w:rsid w:val="00B40FFF"/>
    <w:rsid w:val="00B45945"/>
    <w:rsid w:val="00B46616"/>
    <w:rsid w:val="00B478BC"/>
    <w:rsid w:val="00B50946"/>
    <w:rsid w:val="00B515A8"/>
    <w:rsid w:val="00B5248D"/>
    <w:rsid w:val="00B57329"/>
    <w:rsid w:val="00B601E0"/>
    <w:rsid w:val="00B62149"/>
    <w:rsid w:val="00B7040A"/>
    <w:rsid w:val="00B73518"/>
    <w:rsid w:val="00B82294"/>
    <w:rsid w:val="00B83391"/>
    <w:rsid w:val="00B84192"/>
    <w:rsid w:val="00B84A71"/>
    <w:rsid w:val="00B87C01"/>
    <w:rsid w:val="00B93154"/>
    <w:rsid w:val="00B9422C"/>
    <w:rsid w:val="00B95326"/>
    <w:rsid w:val="00B97CED"/>
    <w:rsid w:val="00BA295F"/>
    <w:rsid w:val="00BA5867"/>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0386"/>
    <w:rsid w:val="00C53074"/>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E4126"/>
    <w:rsid w:val="00CF20B6"/>
    <w:rsid w:val="00D01A25"/>
    <w:rsid w:val="00D06C8C"/>
    <w:rsid w:val="00D11C22"/>
    <w:rsid w:val="00D20757"/>
    <w:rsid w:val="00D22636"/>
    <w:rsid w:val="00D27055"/>
    <w:rsid w:val="00D33AF2"/>
    <w:rsid w:val="00D3569D"/>
    <w:rsid w:val="00D40687"/>
    <w:rsid w:val="00D40FD9"/>
    <w:rsid w:val="00D42BE3"/>
    <w:rsid w:val="00D45631"/>
    <w:rsid w:val="00D53769"/>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3875"/>
    <w:rsid w:val="00E066DE"/>
    <w:rsid w:val="00E07F57"/>
    <w:rsid w:val="00E142AF"/>
    <w:rsid w:val="00E14C03"/>
    <w:rsid w:val="00E17463"/>
    <w:rsid w:val="00E17E24"/>
    <w:rsid w:val="00E25182"/>
    <w:rsid w:val="00E25D2E"/>
    <w:rsid w:val="00E30683"/>
    <w:rsid w:val="00E30740"/>
    <w:rsid w:val="00E453D8"/>
    <w:rsid w:val="00E47401"/>
    <w:rsid w:val="00E50BCE"/>
    <w:rsid w:val="00E51F18"/>
    <w:rsid w:val="00E52B70"/>
    <w:rsid w:val="00E574BF"/>
    <w:rsid w:val="00E57959"/>
    <w:rsid w:val="00E61292"/>
    <w:rsid w:val="00E61AB9"/>
    <w:rsid w:val="00E63C44"/>
    <w:rsid w:val="00E6703A"/>
    <w:rsid w:val="00E67616"/>
    <w:rsid w:val="00E75E86"/>
    <w:rsid w:val="00E77C4D"/>
    <w:rsid w:val="00E81D01"/>
    <w:rsid w:val="00E83B41"/>
    <w:rsid w:val="00E841E4"/>
    <w:rsid w:val="00E845A5"/>
    <w:rsid w:val="00E848CE"/>
    <w:rsid w:val="00E85E57"/>
    <w:rsid w:val="00E95E09"/>
    <w:rsid w:val="00EA4A5B"/>
    <w:rsid w:val="00EA53CE"/>
    <w:rsid w:val="00EB4A6D"/>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15EC"/>
    <w:rsid w:val="00F15CE3"/>
    <w:rsid w:val="00F179F0"/>
    <w:rsid w:val="00F22EDA"/>
    <w:rsid w:val="00F246FD"/>
    <w:rsid w:val="00F301F6"/>
    <w:rsid w:val="00F34B59"/>
    <w:rsid w:val="00F41E63"/>
    <w:rsid w:val="00F563E7"/>
    <w:rsid w:val="00F63267"/>
    <w:rsid w:val="00F729E6"/>
    <w:rsid w:val="00F74FA7"/>
    <w:rsid w:val="00F75148"/>
    <w:rsid w:val="00F75D7A"/>
    <w:rsid w:val="00F760DA"/>
    <w:rsid w:val="00F84B01"/>
    <w:rsid w:val="00F85BA0"/>
    <w:rsid w:val="00F97364"/>
    <w:rsid w:val="00FA040C"/>
    <w:rsid w:val="00FA1DB5"/>
    <w:rsid w:val="00FA608B"/>
    <w:rsid w:val="00FB05E3"/>
    <w:rsid w:val="00FB66A9"/>
    <w:rsid w:val="00FB6DB1"/>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36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8684</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2018-09-03T11:31:00Z</dcterms:created>
  <dcterms:modified xsi:type="dcterms:W3CDTF">2018-09-03T11:31:00Z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