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33B3C" w14:textId="77777777" w:rsidR="00936B0A" w:rsidRPr="00936B0A" w:rsidRDefault="00936B0A" w:rsidP="00936B0A">
      <w:pPr>
        <w:jc w:val="center"/>
        <w:rPr>
          <w:rFonts w:ascii="Book Antiqua" w:hAnsi="Book Antiqua" w:cs="Arial"/>
          <w:color w:val="000000"/>
        </w:rPr>
      </w:pPr>
      <w:r w:rsidRPr="00936B0A">
        <w:rPr>
          <w:rFonts w:ascii="Book Antiqua" w:hAnsi="Book Antiqua"/>
          <w:noProof/>
        </w:rPr>
        <w:drawing>
          <wp:inline distT="0" distB="0" distL="0" distR="0" wp14:anchorId="11534B31" wp14:editId="437845C8">
            <wp:extent cx="1495425" cy="1133475"/>
            <wp:effectExtent l="0" t="0" r="9525" b="0"/>
            <wp:docPr id="2" name="Picture 2"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14:paraId="7CE44FB3" w14:textId="77777777" w:rsidR="00936B0A" w:rsidRPr="00936B0A" w:rsidRDefault="00936B0A" w:rsidP="00936B0A">
      <w:pPr>
        <w:tabs>
          <w:tab w:val="right" w:pos="9720"/>
        </w:tabs>
        <w:ind w:right="-82"/>
        <w:rPr>
          <w:rFonts w:ascii="Book Antiqua" w:hAnsi="Book Antiqua" w:cs="Arial"/>
          <w:b/>
          <w:color w:val="000000"/>
        </w:rPr>
      </w:pPr>
      <w:r w:rsidRPr="00936B0A">
        <w:rPr>
          <w:rFonts w:ascii="Book Antiqua" w:hAnsi="Book Antiqua" w:cs="Arial"/>
          <w:b/>
          <w:color w:val="000000"/>
        </w:rPr>
        <w:t xml:space="preserve">Upper Tribunal </w:t>
      </w:r>
    </w:p>
    <w:p w14:paraId="5DD27D3D" w14:textId="77777777" w:rsidR="00936B0A" w:rsidRPr="00936B0A" w:rsidRDefault="00936B0A" w:rsidP="00936B0A">
      <w:pPr>
        <w:tabs>
          <w:tab w:val="right" w:pos="9720"/>
        </w:tabs>
        <w:ind w:right="-82"/>
        <w:rPr>
          <w:rFonts w:ascii="Book Antiqua" w:hAnsi="Book Antiqua" w:cs="Arial"/>
          <w:color w:val="000000"/>
        </w:rPr>
      </w:pPr>
      <w:r w:rsidRPr="00936B0A">
        <w:rPr>
          <w:rFonts w:ascii="Book Antiqua" w:hAnsi="Book Antiqua" w:cs="Arial"/>
          <w:b/>
          <w:color w:val="000000"/>
        </w:rPr>
        <w:t>(Immigration and Asylum Chamber)</w:t>
      </w:r>
      <w:r w:rsidRPr="00936B0A">
        <w:rPr>
          <w:rFonts w:ascii="Book Antiqua" w:hAnsi="Book Antiqua" w:cs="Arial"/>
          <w:b/>
          <w:color w:val="000000"/>
        </w:rPr>
        <w:tab/>
      </w:r>
      <w:r w:rsidRPr="00936B0A">
        <w:rPr>
          <w:rFonts w:ascii="Book Antiqua" w:hAnsi="Book Antiqua" w:cs="Arial"/>
          <w:color w:val="000000"/>
        </w:rPr>
        <w:t xml:space="preserve">Appeal Number: </w:t>
      </w:r>
      <w:bookmarkStart w:id="0" w:name="_GoBack"/>
      <w:r w:rsidRPr="00936B0A">
        <w:rPr>
          <w:rFonts w:ascii="Book Antiqua" w:hAnsi="Book Antiqua" w:cs="Arial"/>
          <w:color w:val="000000"/>
        </w:rPr>
        <w:t>HU/00321/2018</w:t>
      </w:r>
      <w:bookmarkEnd w:id="0"/>
    </w:p>
    <w:p w14:paraId="6F1B66B2" w14:textId="77777777" w:rsidR="00936B0A" w:rsidRPr="00936B0A" w:rsidRDefault="00936B0A" w:rsidP="00936B0A">
      <w:pPr>
        <w:jc w:val="center"/>
        <w:rPr>
          <w:rFonts w:ascii="Book Antiqua" w:hAnsi="Book Antiqua" w:cs="Arial"/>
          <w:color w:val="000000"/>
        </w:rPr>
      </w:pPr>
    </w:p>
    <w:p w14:paraId="093FBD31" w14:textId="77777777" w:rsidR="00936B0A" w:rsidRPr="00936B0A" w:rsidRDefault="00936B0A" w:rsidP="00936B0A">
      <w:pPr>
        <w:jc w:val="center"/>
        <w:rPr>
          <w:rFonts w:ascii="Book Antiqua" w:hAnsi="Book Antiqua" w:cs="Arial"/>
          <w:b/>
          <w:color w:val="000000"/>
          <w:u w:val="single"/>
        </w:rPr>
      </w:pPr>
      <w:r w:rsidRPr="00936B0A">
        <w:rPr>
          <w:rFonts w:ascii="Book Antiqua" w:hAnsi="Book Antiqua" w:cs="Arial"/>
          <w:b/>
          <w:color w:val="000000"/>
          <w:u w:val="single"/>
        </w:rPr>
        <w:t>THE IMMIGRATION ACTS</w:t>
      </w:r>
    </w:p>
    <w:p w14:paraId="6D49C475" w14:textId="77777777" w:rsidR="00936B0A" w:rsidRPr="00936B0A" w:rsidRDefault="00936B0A" w:rsidP="00936B0A">
      <w:pPr>
        <w:jc w:val="center"/>
        <w:rPr>
          <w:rFonts w:ascii="Book Antiqua" w:hAnsi="Book Antiqua" w:cs="Arial"/>
          <w:b/>
          <w:u w:val="single"/>
        </w:rPr>
      </w:pPr>
    </w:p>
    <w:tbl>
      <w:tblPr>
        <w:tblW w:w="10582" w:type="dxa"/>
        <w:tblLook w:val="01E0" w:firstRow="1" w:lastRow="1" w:firstColumn="1" w:lastColumn="1" w:noHBand="0" w:noVBand="0"/>
      </w:tblPr>
      <w:tblGrid>
        <w:gridCol w:w="6449"/>
        <w:gridCol w:w="4133"/>
      </w:tblGrid>
      <w:tr w:rsidR="00936B0A" w:rsidRPr="00936B0A" w14:paraId="4063A487" w14:textId="77777777" w:rsidTr="007464BA">
        <w:trPr>
          <w:trHeight w:val="289"/>
        </w:trPr>
        <w:tc>
          <w:tcPr>
            <w:tcW w:w="6449" w:type="dxa"/>
            <w:shd w:val="clear" w:color="auto" w:fill="auto"/>
          </w:tcPr>
          <w:p w14:paraId="4202BD88" w14:textId="77777777" w:rsidR="00936B0A" w:rsidRPr="00936B0A" w:rsidRDefault="00936B0A" w:rsidP="000C1A32">
            <w:pPr>
              <w:jc w:val="both"/>
              <w:rPr>
                <w:rFonts w:ascii="Book Antiqua" w:hAnsi="Book Antiqua" w:cs="Arial"/>
                <w:b/>
              </w:rPr>
            </w:pPr>
            <w:r w:rsidRPr="00936B0A">
              <w:rPr>
                <w:rFonts w:ascii="Book Antiqua" w:hAnsi="Book Antiqua" w:cs="Arial"/>
                <w:b/>
              </w:rPr>
              <w:t>Heard at Field House</w:t>
            </w:r>
          </w:p>
        </w:tc>
        <w:tc>
          <w:tcPr>
            <w:tcW w:w="4133" w:type="dxa"/>
            <w:shd w:val="clear" w:color="auto" w:fill="auto"/>
          </w:tcPr>
          <w:p w14:paraId="7E2DDC26" w14:textId="77777777" w:rsidR="00936B0A" w:rsidRPr="00936B0A" w:rsidRDefault="00936B0A" w:rsidP="000C1A32">
            <w:pPr>
              <w:jc w:val="both"/>
              <w:rPr>
                <w:rFonts w:ascii="Book Antiqua" w:hAnsi="Book Antiqua" w:cs="Arial"/>
                <w:b/>
                <w:color w:val="000000"/>
              </w:rPr>
            </w:pPr>
            <w:r w:rsidRPr="00936B0A">
              <w:rPr>
                <w:rFonts w:ascii="Book Antiqua" w:hAnsi="Book Antiqua" w:cs="Arial"/>
                <w:b/>
                <w:color w:val="000000"/>
              </w:rPr>
              <w:t>Decision Promulgated</w:t>
            </w:r>
          </w:p>
        </w:tc>
      </w:tr>
      <w:tr w:rsidR="00936B0A" w:rsidRPr="00936B0A" w14:paraId="3AB2F710" w14:textId="77777777" w:rsidTr="007464BA">
        <w:trPr>
          <w:trHeight w:val="230"/>
        </w:trPr>
        <w:tc>
          <w:tcPr>
            <w:tcW w:w="6449" w:type="dxa"/>
            <w:shd w:val="clear" w:color="auto" w:fill="auto"/>
          </w:tcPr>
          <w:p w14:paraId="49AB994C" w14:textId="77777777" w:rsidR="00936B0A" w:rsidRPr="00936B0A" w:rsidRDefault="00936B0A" w:rsidP="000C1A32">
            <w:pPr>
              <w:jc w:val="both"/>
              <w:rPr>
                <w:rFonts w:ascii="Book Antiqua" w:hAnsi="Book Antiqua" w:cs="Arial"/>
                <w:b/>
              </w:rPr>
            </w:pPr>
            <w:r w:rsidRPr="00936B0A">
              <w:rPr>
                <w:rFonts w:ascii="Book Antiqua" w:hAnsi="Book Antiqua" w:cs="Arial"/>
                <w:b/>
              </w:rPr>
              <w:t>On 1 June 2018</w:t>
            </w:r>
          </w:p>
        </w:tc>
        <w:tc>
          <w:tcPr>
            <w:tcW w:w="4133" w:type="dxa"/>
            <w:shd w:val="clear" w:color="auto" w:fill="auto"/>
          </w:tcPr>
          <w:p w14:paraId="5724D2AC" w14:textId="77777777" w:rsidR="00936B0A" w:rsidRPr="00936B0A" w:rsidRDefault="007464BA" w:rsidP="000C1A32">
            <w:pPr>
              <w:jc w:val="both"/>
              <w:rPr>
                <w:rFonts w:ascii="Book Antiqua" w:hAnsi="Book Antiqua" w:cs="Arial"/>
                <w:b/>
              </w:rPr>
            </w:pPr>
            <w:r w:rsidRPr="007464BA">
              <w:rPr>
                <w:rFonts w:ascii="Book Antiqua" w:hAnsi="Book Antiqua" w:cs="Arial"/>
                <w:b/>
              </w:rPr>
              <w:t>On 19 June 2018</w:t>
            </w:r>
          </w:p>
        </w:tc>
      </w:tr>
      <w:tr w:rsidR="00936B0A" w:rsidRPr="00936B0A" w14:paraId="79D2E9C3" w14:textId="77777777" w:rsidTr="007464BA">
        <w:trPr>
          <w:trHeight w:val="241"/>
        </w:trPr>
        <w:tc>
          <w:tcPr>
            <w:tcW w:w="6449" w:type="dxa"/>
            <w:shd w:val="clear" w:color="auto" w:fill="auto"/>
          </w:tcPr>
          <w:p w14:paraId="7EBCEDD6" w14:textId="77777777" w:rsidR="00936B0A" w:rsidRPr="00936B0A" w:rsidRDefault="00936B0A" w:rsidP="000C1A32">
            <w:pPr>
              <w:jc w:val="both"/>
              <w:rPr>
                <w:rFonts w:ascii="Book Antiqua" w:hAnsi="Book Antiqua" w:cs="Arial"/>
                <w:b/>
              </w:rPr>
            </w:pPr>
          </w:p>
        </w:tc>
        <w:tc>
          <w:tcPr>
            <w:tcW w:w="4133" w:type="dxa"/>
            <w:shd w:val="clear" w:color="auto" w:fill="auto"/>
          </w:tcPr>
          <w:p w14:paraId="30FD2075" w14:textId="77777777" w:rsidR="00936B0A" w:rsidRPr="00936B0A" w:rsidRDefault="00936B0A" w:rsidP="000C1A32">
            <w:pPr>
              <w:jc w:val="both"/>
              <w:rPr>
                <w:rFonts w:ascii="Book Antiqua" w:hAnsi="Book Antiqua" w:cs="Arial"/>
                <w:b/>
              </w:rPr>
            </w:pPr>
          </w:p>
        </w:tc>
      </w:tr>
    </w:tbl>
    <w:p w14:paraId="2B5EE610" w14:textId="77777777" w:rsidR="00936B0A" w:rsidRPr="00936B0A" w:rsidRDefault="00936B0A" w:rsidP="00936B0A">
      <w:pPr>
        <w:jc w:val="center"/>
        <w:rPr>
          <w:rFonts w:ascii="Book Antiqua" w:hAnsi="Book Antiqua" w:cs="Arial"/>
        </w:rPr>
      </w:pPr>
    </w:p>
    <w:p w14:paraId="72ACAFFA" w14:textId="77777777" w:rsidR="00936B0A" w:rsidRPr="00936B0A" w:rsidRDefault="00936B0A" w:rsidP="00936B0A">
      <w:pPr>
        <w:jc w:val="center"/>
        <w:rPr>
          <w:rFonts w:ascii="Book Antiqua" w:hAnsi="Book Antiqua" w:cs="Arial"/>
          <w:b/>
        </w:rPr>
      </w:pPr>
      <w:r w:rsidRPr="00936B0A">
        <w:rPr>
          <w:rFonts w:ascii="Book Antiqua" w:hAnsi="Book Antiqua" w:cs="Arial"/>
          <w:b/>
        </w:rPr>
        <w:t>Before</w:t>
      </w:r>
    </w:p>
    <w:p w14:paraId="65E8048D" w14:textId="77777777" w:rsidR="00936B0A" w:rsidRPr="00936B0A" w:rsidRDefault="00936B0A" w:rsidP="00936B0A">
      <w:pPr>
        <w:jc w:val="center"/>
        <w:rPr>
          <w:rFonts w:ascii="Book Antiqua" w:hAnsi="Book Antiqua" w:cs="Arial"/>
          <w:b/>
          <w:color w:val="000000"/>
        </w:rPr>
      </w:pPr>
    </w:p>
    <w:p w14:paraId="11038372" w14:textId="77777777" w:rsidR="00936B0A" w:rsidRPr="00936B0A" w:rsidRDefault="00936B0A" w:rsidP="00936B0A">
      <w:pPr>
        <w:jc w:val="center"/>
        <w:rPr>
          <w:rFonts w:ascii="Book Antiqua" w:hAnsi="Book Antiqua" w:cs="Arial"/>
          <w:b/>
          <w:color w:val="000000"/>
        </w:rPr>
      </w:pPr>
      <w:r w:rsidRPr="00936B0A">
        <w:rPr>
          <w:rFonts w:ascii="Book Antiqua" w:hAnsi="Book Antiqua" w:cs="Arial"/>
          <w:b/>
          <w:color w:val="000000"/>
        </w:rPr>
        <w:t>DEPUTY UPPER TRIBUNAL JUDGE SYMES</w:t>
      </w:r>
    </w:p>
    <w:p w14:paraId="4ED6674F" w14:textId="77777777" w:rsidR="00936B0A" w:rsidRPr="00936B0A" w:rsidRDefault="00936B0A" w:rsidP="00936B0A">
      <w:pPr>
        <w:jc w:val="center"/>
        <w:rPr>
          <w:rFonts w:ascii="Book Antiqua" w:hAnsi="Book Antiqua" w:cs="Arial"/>
          <w:b/>
        </w:rPr>
      </w:pPr>
    </w:p>
    <w:p w14:paraId="124612B3" w14:textId="77777777" w:rsidR="00936B0A" w:rsidRPr="00936B0A" w:rsidRDefault="00936B0A" w:rsidP="00936B0A">
      <w:pPr>
        <w:jc w:val="center"/>
        <w:rPr>
          <w:rFonts w:ascii="Book Antiqua" w:hAnsi="Book Antiqua" w:cs="Arial"/>
          <w:b/>
        </w:rPr>
      </w:pPr>
      <w:r w:rsidRPr="00936B0A">
        <w:rPr>
          <w:rFonts w:ascii="Book Antiqua" w:hAnsi="Book Antiqua" w:cs="Arial"/>
          <w:b/>
        </w:rPr>
        <w:t>Between</w:t>
      </w:r>
    </w:p>
    <w:p w14:paraId="25481E11" w14:textId="77777777" w:rsidR="00936B0A" w:rsidRPr="00936B0A" w:rsidRDefault="00936B0A" w:rsidP="00936B0A">
      <w:pPr>
        <w:jc w:val="center"/>
        <w:rPr>
          <w:rFonts w:ascii="Book Antiqua" w:hAnsi="Book Antiqua" w:cs="Arial"/>
          <w:b/>
        </w:rPr>
      </w:pPr>
    </w:p>
    <w:p w14:paraId="5AB63F20" w14:textId="77777777" w:rsidR="00936B0A" w:rsidRPr="00936B0A" w:rsidRDefault="00936B0A" w:rsidP="00936B0A">
      <w:pPr>
        <w:jc w:val="center"/>
        <w:rPr>
          <w:rFonts w:ascii="Book Antiqua" w:hAnsi="Book Antiqua" w:cs="Arial"/>
          <w:b/>
        </w:rPr>
      </w:pPr>
      <w:r w:rsidRPr="00936B0A">
        <w:rPr>
          <w:rFonts w:ascii="Book Antiqua" w:hAnsi="Book Antiqua" w:cs="Arial"/>
          <w:b/>
        </w:rPr>
        <w:t>MUJAHIDUL ISLAM</w:t>
      </w:r>
    </w:p>
    <w:p w14:paraId="1CA09D5F" w14:textId="77777777" w:rsidR="00936B0A" w:rsidRPr="00936B0A" w:rsidRDefault="00936B0A" w:rsidP="00936B0A">
      <w:pPr>
        <w:jc w:val="center"/>
        <w:rPr>
          <w:rFonts w:ascii="Book Antiqua" w:hAnsi="Book Antiqua" w:cs="Arial"/>
          <w:b/>
        </w:rPr>
      </w:pPr>
      <w:r w:rsidRPr="00936B0A">
        <w:rPr>
          <w:rFonts w:ascii="Book Antiqua" w:hAnsi="Book Antiqua" w:cs="Arial"/>
          <w:b/>
        </w:rPr>
        <w:t>(ANONYMITY ORDER MADE)</w:t>
      </w:r>
    </w:p>
    <w:p w14:paraId="58C20AD2" w14:textId="77777777" w:rsidR="00936B0A" w:rsidRPr="00936B0A" w:rsidRDefault="00936B0A" w:rsidP="00936B0A">
      <w:pPr>
        <w:jc w:val="center"/>
        <w:rPr>
          <w:rFonts w:ascii="Book Antiqua" w:hAnsi="Book Antiqua" w:cs="Arial"/>
          <w:u w:val="single"/>
        </w:rPr>
      </w:pPr>
    </w:p>
    <w:p w14:paraId="2725F4CE" w14:textId="77777777" w:rsidR="00936B0A" w:rsidRPr="00936B0A" w:rsidRDefault="00936B0A" w:rsidP="00936B0A">
      <w:pPr>
        <w:jc w:val="right"/>
        <w:rPr>
          <w:rFonts w:ascii="Book Antiqua" w:hAnsi="Book Antiqua" w:cs="Arial"/>
          <w:u w:val="single"/>
        </w:rPr>
      </w:pPr>
      <w:r w:rsidRPr="00936B0A">
        <w:rPr>
          <w:rFonts w:ascii="Book Antiqua" w:hAnsi="Book Antiqua" w:cs="Arial"/>
          <w:u w:val="single"/>
        </w:rPr>
        <w:t>Appellant</w:t>
      </w:r>
    </w:p>
    <w:p w14:paraId="762D467E" w14:textId="77777777" w:rsidR="00936B0A" w:rsidRPr="00936B0A" w:rsidRDefault="00936B0A" w:rsidP="00936B0A">
      <w:pPr>
        <w:jc w:val="center"/>
        <w:rPr>
          <w:rFonts w:ascii="Book Antiqua" w:hAnsi="Book Antiqua" w:cs="Arial"/>
          <w:b/>
        </w:rPr>
      </w:pPr>
      <w:r w:rsidRPr="00936B0A">
        <w:rPr>
          <w:rFonts w:ascii="Book Antiqua" w:hAnsi="Book Antiqua" w:cs="Arial"/>
          <w:b/>
        </w:rPr>
        <w:t>and</w:t>
      </w:r>
    </w:p>
    <w:p w14:paraId="41F650CD" w14:textId="77777777" w:rsidR="00936B0A" w:rsidRPr="00936B0A" w:rsidRDefault="00936B0A" w:rsidP="00936B0A">
      <w:pPr>
        <w:jc w:val="center"/>
        <w:rPr>
          <w:rFonts w:ascii="Book Antiqua" w:hAnsi="Book Antiqua" w:cs="Arial"/>
          <w:b/>
        </w:rPr>
      </w:pPr>
    </w:p>
    <w:p w14:paraId="21869A39" w14:textId="77777777" w:rsidR="00936B0A" w:rsidRPr="00936B0A" w:rsidRDefault="00936B0A" w:rsidP="00936B0A">
      <w:pPr>
        <w:jc w:val="center"/>
        <w:rPr>
          <w:rFonts w:ascii="Book Antiqua" w:hAnsi="Book Antiqua" w:cs="Arial"/>
          <w:b/>
        </w:rPr>
      </w:pPr>
    </w:p>
    <w:p w14:paraId="43D736B4" w14:textId="77777777" w:rsidR="00936B0A" w:rsidRPr="00936B0A" w:rsidRDefault="00936B0A" w:rsidP="00936B0A">
      <w:pPr>
        <w:jc w:val="center"/>
        <w:rPr>
          <w:rFonts w:ascii="Book Antiqua" w:hAnsi="Book Antiqua" w:cs="Arial"/>
          <w:b/>
        </w:rPr>
      </w:pPr>
      <w:r w:rsidRPr="00936B0A">
        <w:rPr>
          <w:rFonts w:ascii="Book Antiqua" w:hAnsi="Book Antiqua" w:cs="Arial"/>
          <w:b/>
        </w:rPr>
        <w:t>THE SECRETARY OF STATE FOR THE HOME DEPARTMENT</w:t>
      </w:r>
    </w:p>
    <w:p w14:paraId="325A617F" w14:textId="77777777" w:rsidR="00936B0A" w:rsidRPr="00936B0A" w:rsidRDefault="00936B0A" w:rsidP="00936B0A">
      <w:pPr>
        <w:jc w:val="right"/>
        <w:rPr>
          <w:rFonts w:ascii="Book Antiqua" w:hAnsi="Book Antiqua" w:cs="Arial"/>
          <w:u w:val="single"/>
        </w:rPr>
      </w:pPr>
      <w:r w:rsidRPr="00936B0A">
        <w:rPr>
          <w:rFonts w:ascii="Book Antiqua" w:hAnsi="Book Antiqua" w:cs="Arial"/>
          <w:u w:val="single"/>
        </w:rPr>
        <w:t>Respondents</w:t>
      </w:r>
    </w:p>
    <w:p w14:paraId="505B1143" w14:textId="77777777" w:rsidR="00936B0A" w:rsidRPr="00936B0A" w:rsidRDefault="00936B0A" w:rsidP="00936B0A">
      <w:pPr>
        <w:rPr>
          <w:rFonts w:ascii="Book Antiqua" w:hAnsi="Book Antiqua" w:cs="Arial"/>
          <w:u w:val="single"/>
        </w:rPr>
      </w:pPr>
    </w:p>
    <w:p w14:paraId="50B22628" w14:textId="77777777" w:rsidR="00936B0A" w:rsidRPr="00936B0A" w:rsidRDefault="00936B0A" w:rsidP="00936B0A">
      <w:pPr>
        <w:rPr>
          <w:rFonts w:ascii="Book Antiqua" w:hAnsi="Book Antiqua" w:cs="Arial"/>
        </w:rPr>
      </w:pPr>
      <w:r w:rsidRPr="00936B0A">
        <w:rPr>
          <w:rFonts w:ascii="Book Antiqua" w:hAnsi="Book Antiqua" w:cs="Arial"/>
          <w:b/>
          <w:u w:val="single"/>
        </w:rPr>
        <w:t>Representation</w:t>
      </w:r>
      <w:r w:rsidRPr="00936B0A">
        <w:rPr>
          <w:rFonts w:ascii="Book Antiqua" w:hAnsi="Book Antiqua" w:cs="Arial"/>
          <w:b/>
        </w:rPr>
        <w:t>:</w:t>
      </w:r>
    </w:p>
    <w:p w14:paraId="5D6EBF2C" w14:textId="77777777" w:rsidR="00936B0A" w:rsidRPr="00936B0A" w:rsidRDefault="00936B0A" w:rsidP="00936B0A">
      <w:pPr>
        <w:rPr>
          <w:rFonts w:ascii="Book Antiqua" w:hAnsi="Book Antiqua" w:cs="Arial"/>
        </w:rPr>
      </w:pPr>
    </w:p>
    <w:p w14:paraId="7CA8D160" w14:textId="77777777" w:rsidR="00936B0A" w:rsidRPr="00936B0A" w:rsidRDefault="00936B0A" w:rsidP="00936B0A">
      <w:pPr>
        <w:tabs>
          <w:tab w:val="left" w:pos="2520"/>
        </w:tabs>
        <w:rPr>
          <w:rFonts w:ascii="Book Antiqua" w:hAnsi="Book Antiqua" w:cs="Arial"/>
        </w:rPr>
      </w:pPr>
      <w:r w:rsidRPr="00936B0A">
        <w:rPr>
          <w:rFonts w:ascii="Book Antiqua" w:hAnsi="Book Antiqua" w:cs="Arial"/>
        </w:rPr>
        <w:t>For the Appellant:           Mr Khan (for Taj Solicitors)</w:t>
      </w:r>
    </w:p>
    <w:p w14:paraId="73753A45" w14:textId="77777777" w:rsidR="00936B0A" w:rsidRPr="00936B0A" w:rsidRDefault="00936B0A" w:rsidP="00936B0A">
      <w:pPr>
        <w:tabs>
          <w:tab w:val="left" w:pos="2520"/>
        </w:tabs>
        <w:rPr>
          <w:rFonts w:ascii="Book Antiqua" w:hAnsi="Book Antiqua" w:cs="Arial"/>
        </w:rPr>
      </w:pPr>
      <w:r w:rsidRPr="00936B0A">
        <w:rPr>
          <w:rFonts w:ascii="Book Antiqua" w:hAnsi="Book Antiqua" w:cs="Arial"/>
        </w:rPr>
        <w:t xml:space="preserve">For the Respondent:        Mr E </w:t>
      </w:r>
      <w:proofErr w:type="spellStart"/>
      <w:r w:rsidRPr="00936B0A">
        <w:rPr>
          <w:rFonts w:ascii="Book Antiqua" w:hAnsi="Book Antiqua" w:cs="Arial"/>
        </w:rPr>
        <w:t>Tufan</w:t>
      </w:r>
      <w:proofErr w:type="spellEnd"/>
      <w:r w:rsidRPr="00936B0A">
        <w:rPr>
          <w:rFonts w:ascii="Book Antiqua" w:hAnsi="Book Antiqua" w:cs="Arial"/>
        </w:rPr>
        <w:t xml:space="preserve"> (Home Office Presenting Officer)</w:t>
      </w:r>
    </w:p>
    <w:p w14:paraId="73496692" w14:textId="77777777" w:rsidR="00936B0A" w:rsidRPr="00936B0A" w:rsidRDefault="00936B0A" w:rsidP="00936B0A">
      <w:pPr>
        <w:tabs>
          <w:tab w:val="left" w:pos="2520"/>
        </w:tabs>
        <w:jc w:val="center"/>
        <w:rPr>
          <w:rFonts w:ascii="Book Antiqua" w:hAnsi="Book Antiqua" w:cs="Arial"/>
        </w:rPr>
      </w:pPr>
    </w:p>
    <w:p w14:paraId="61F0D278" w14:textId="77777777" w:rsidR="00936B0A" w:rsidRPr="00936B0A" w:rsidRDefault="00936B0A" w:rsidP="00936B0A">
      <w:pPr>
        <w:tabs>
          <w:tab w:val="left" w:pos="2520"/>
        </w:tabs>
        <w:jc w:val="center"/>
        <w:rPr>
          <w:rFonts w:ascii="Book Antiqua" w:hAnsi="Book Antiqua" w:cs="Arial"/>
          <w:b/>
          <w:u w:val="single"/>
        </w:rPr>
      </w:pPr>
      <w:r w:rsidRPr="00936B0A">
        <w:rPr>
          <w:rFonts w:ascii="Book Antiqua" w:hAnsi="Book Antiqua" w:cs="Arial"/>
          <w:b/>
          <w:u w:val="single"/>
        </w:rPr>
        <w:t>DECISION AND REASONS</w:t>
      </w:r>
    </w:p>
    <w:p w14:paraId="6EC720EE" w14:textId="77777777" w:rsidR="00936B0A" w:rsidRPr="00936B0A" w:rsidRDefault="00936B0A" w:rsidP="00936B0A">
      <w:pPr>
        <w:tabs>
          <w:tab w:val="left" w:pos="2520"/>
        </w:tabs>
        <w:jc w:val="center"/>
        <w:rPr>
          <w:rFonts w:ascii="Book Antiqua" w:hAnsi="Book Antiqua" w:cs="Arial"/>
        </w:rPr>
      </w:pPr>
    </w:p>
    <w:p w14:paraId="68473468" w14:textId="77777777" w:rsidR="00936B0A" w:rsidRPr="00936B0A" w:rsidRDefault="00936B0A" w:rsidP="00936B0A">
      <w:pPr>
        <w:numPr>
          <w:ilvl w:val="0"/>
          <w:numId w:val="1"/>
        </w:numPr>
        <w:tabs>
          <w:tab w:val="clear" w:pos="927"/>
          <w:tab w:val="left" w:pos="426"/>
          <w:tab w:val="num" w:pos="851"/>
        </w:tabs>
        <w:ind w:left="426" w:hanging="426"/>
        <w:jc w:val="both"/>
        <w:rPr>
          <w:rFonts w:ascii="Book Antiqua" w:hAnsi="Book Antiqua"/>
        </w:rPr>
      </w:pPr>
      <w:r w:rsidRPr="00936B0A">
        <w:rPr>
          <w:rFonts w:ascii="Book Antiqua" w:hAnsi="Book Antiqua"/>
        </w:rPr>
        <w:t xml:space="preserve">This is the appeal of </w:t>
      </w:r>
      <w:proofErr w:type="spellStart"/>
      <w:r w:rsidRPr="00936B0A">
        <w:rPr>
          <w:rFonts w:ascii="Book Antiqua" w:hAnsi="Book Antiqua"/>
        </w:rPr>
        <w:t>Mujahidul</w:t>
      </w:r>
      <w:proofErr w:type="spellEnd"/>
      <w:r w:rsidRPr="00936B0A">
        <w:rPr>
          <w:rFonts w:ascii="Book Antiqua" w:hAnsi="Book Antiqua"/>
        </w:rPr>
        <w:t xml:space="preserve"> Islam, a citizen of Bangladesh born 10 June 1995, against the decision of the First-tier Tribunal of 20 March 2018, dismissing his appeal against deportation proceedings, itself brought against the deportation order of 24 November 2017 which had included a refusal of his human rights claim resisting expulsion.</w:t>
      </w:r>
    </w:p>
    <w:p w14:paraId="0EB273FE" w14:textId="77777777" w:rsidR="00936B0A" w:rsidRPr="00936B0A" w:rsidRDefault="00936B0A" w:rsidP="00936B0A">
      <w:pPr>
        <w:tabs>
          <w:tab w:val="left" w:pos="426"/>
        </w:tabs>
        <w:ind w:left="426"/>
        <w:jc w:val="both"/>
        <w:rPr>
          <w:rFonts w:ascii="Book Antiqua" w:hAnsi="Book Antiqua"/>
        </w:rPr>
      </w:pPr>
    </w:p>
    <w:p w14:paraId="6F189490" w14:textId="4F5ECA11" w:rsidR="00936B0A" w:rsidRPr="00936B0A" w:rsidRDefault="00936B0A" w:rsidP="00936B0A">
      <w:pPr>
        <w:numPr>
          <w:ilvl w:val="0"/>
          <w:numId w:val="1"/>
        </w:numPr>
        <w:tabs>
          <w:tab w:val="clear" w:pos="927"/>
          <w:tab w:val="left" w:pos="426"/>
          <w:tab w:val="num" w:pos="851"/>
        </w:tabs>
        <w:ind w:left="426" w:hanging="426"/>
        <w:jc w:val="both"/>
        <w:rPr>
          <w:rFonts w:ascii="Book Antiqua" w:hAnsi="Book Antiqua"/>
        </w:rPr>
      </w:pPr>
      <w:r w:rsidRPr="00936B0A">
        <w:rPr>
          <w:rFonts w:ascii="Book Antiqua" w:hAnsi="Book Antiqua"/>
        </w:rPr>
        <w:t xml:space="preserve">The Appellant was convicted in December 2016 of possessing Class A drugs with intent to supply and sentenced to two counts of two years’ imprisonment, to run concurrently. The Secretary of State considered his deportation to </w:t>
      </w:r>
      <w:r w:rsidR="00D67EE7">
        <w:rPr>
          <w:rFonts w:ascii="Book Antiqua" w:hAnsi="Book Antiqua"/>
        </w:rPr>
        <w:t>be conducive to the public good as</w:t>
      </w:r>
      <w:r w:rsidRPr="00936B0A">
        <w:rPr>
          <w:rFonts w:ascii="Book Antiqua" w:hAnsi="Book Antiqua"/>
        </w:rPr>
        <w:t xml:space="preserve"> he had not established any particular strength in his relationship with </w:t>
      </w:r>
      <w:r w:rsidR="00C74962">
        <w:rPr>
          <w:rFonts w:ascii="Book Antiqua" w:hAnsi="Book Antiqua"/>
        </w:rPr>
        <w:t>[</w:t>
      </w:r>
      <w:r w:rsidRPr="00936B0A">
        <w:rPr>
          <w:rFonts w:ascii="Book Antiqua" w:hAnsi="Book Antiqua"/>
        </w:rPr>
        <w:t>RA</w:t>
      </w:r>
      <w:r w:rsidR="00C74962">
        <w:rPr>
          <w:rFonts w:ascii="Book Antiqua" w:hAnsi="Book Antiqua"/>
        </w:rPr>
        <w:t>]</w:t>
      </w:r>
      <w:r w:rsidRPr="00936B0A">
        <w:rPr>
          <w:rFonts w:ascii="Book Antiqua" w:hAnsi="Book Antiqua"/>
        </w:rPr>
        <w:t xml:space="preserve">, a British </w:t>
      </w:r>
      <w:r w:rsidRPr="00936B0A">
        <w:rPr>
          <w:rFonts w:ascii="Book Antiqua" w:hAnsi="Book Antiqua"/>
        </w:rPr>
        <w:lastRenderedPageBreak/>
        <w:t>citizen, and there was nothing exceptional in h</w:t>
      </w:r>
      <w:r w:rsidR="00D67EE7">
        <w:rPr>
          <w:rFonts w:ascii="Book Antiqua" w:hAnsi="Book Antiqua"/>
        </w:rPr>
        <w:t>is family life with his parents. A</w:t>
      </w:r>
      <w:r w:rsidRPr="00936B0A">
        <w:rPr>
          <w:rFonts w:ascii="Book Antiqua" w:hAnsi="Book Antiqua"/>
        </w:rPr>
        <w:t>s to his private life, he had been offending since the age of 12 which undermined his claim to be socially and culturally integrated here.</w:t>
      </w:r>
    </w:p>
    <w:p w14:paraId="1D08487C" w14:textId="77777777" w:rsidR="00936B0A" w:rsidRPr="00936B0A" w:rsidRDefault="00936B0A" w:rsidP="00936B0A">
      <w:pPr>
        <w:pStyle w:val="ListParagraph"/>
        <w:rPr>
          <w:rFonts w:ascii="Book Antiqua" w:hAnsi="Book Antiqua"/>
        </w:rPr>
      </w:pPr>
    </w:p>
    <w:p w14:paraId="61D16D60" w14:textId="77777777" w:rsidR="00936B0A" w:rsidRDefault="00936B0A" w:rsidP="00936B0A">
      <w:pPr>
        <w:numPr>
          <w:ilvl w:val="0"/>
          <w:numId w:val="1"/>
        </w:numPr>
        <w:tabs>
          <w:tab w:val="clear" w:pos="927"/>
          <w:tab w:val="left" w:pos="426"/>
          <w:tab w:val="num" w:pos="851"/>
        </w:tabs>
        <w:ind w:left="426" w:hanging="426"/>
        <w:jc w:val="both"/>
        <w:rPr>
          <w:rFonts w:ascii="Book Antiqua" w:hAnsi="Book Antiqua"/>
        </w:rPr>
      </w:pPr>
      <w:r w:rsidRPr="00D67EE7">
        <w:rPr>
          <w:rFonts w:ascii="Book Antiqua" w:hAnsi="Book Antiqua"/>
        </w:rPr>
        <w:t xml:space="preserve">The Appellant had received 21 convictions at ten court appearances from September 2007 to January 2017, many for driving offences, four for theft, one for fraud, four for drug offences, of which the most recent was the most serious. </w:t>
      </w:r>
    </w:p>
    <w:p w14:paraId="3A5DDBC9" w14:textId="77777777" w:rsidR="00D67EE7" w:rsidRDefault="00D67EE7" w:rsidP="00D67EE7">
      <w:pPr>
        <w:pStyle w:val="ListParagraph"/>
        <w:rPr>
          <w:rFonts w:ascii="Book Antiqua" w:hAnsi="Book Antiqua"/>
        </w:rPr>
      </w:pPr>
    </w:p>
    <w:p w14:paraId="3DC574AD" w14:textId="77777777" w:rsidR="00936B0A" w:rsidRPr="00936B0A" w:rsidRDefault="00936B0A" w:rsidP="00936B0A">
      <w:pPr>
        <w:numPr>
          <w:ilvl w:val="0"/>
          <w:numId w:val="1"/>
        </w:numPr>
        <w:tabs>
          <w:tab w:val="clear" w:pos="927"/>
          <w:tab w:val="left" w:pos="426"/>
          <w:tab w:val="num" w:pos="851"/>
        </w:tabs>
        <w:ind w:left="426" w:hanging="426"/>
        <w:jc w:val="both"/>
        <w:rPr>
          <w:rFonts w:ascii="Book Antiqua" w:hAnsi="Book Antiqua"/>
        </w:rPr>
      </w:pPr>
      <w:r w:rsidRPr="00936B0A">
        <w:rPr>
          <w:rFonts w:ascii="Book Antiqua" w:hAnsi="Book Antiqua"/>
        </w:rPr>
        <w:t xml:space="preserve">The First-tier Tribunal heard his appeal and dismissed it on 20 March 2018. It began its task by making findings of fact. </w:t>
      </w:r>
    </w:p>
    <w:p w14:paraId="5B19F5B3" w14:textId="77777777" w:rsidR="00936B0A" w:rsidRPr="00936B0A" w:rsidRDefault="00936B0A" w:rsidP="00936B0A">
      <w:pPr>
        <w:pStyle w:val="ListParagraph"/>
        <w:rPr>
          <w:rFonts w:ascii="Book Antiqua" w:hAnsi="Book Antiqua"/>
        </w:rPr>
      </w:pPr>
    </w:p>
    <w:p w14:paraId="0DF3C09A" w14:textId="6828C216" w:rsidR="00936B0A" w:rsidRPr="00936B0A" w:rsidRDefault="00936B0A" w:rsidP="00936B0A">
      <w:pPr>
        <w:numPr>
          <w:ilvl w:val="0"/>
          <w:numId w:val="1"/>
        </w:numPr>
        <w:tabs>
          <w:tab w:val="clear" w:pos="927"/>
          <w:tab w:val="left" w:pos="426"/>
          <w:tab w:val="num" w:pos="851"/>
        </w:tabs>
        <w:ind w:left="426" w:hanging="426"/>
        <w:jc w:val="both"/>
        <w:rPr>
          <w:rFonts w:ascii="Book Antiqua" w:hAnsi="Book Antiqua"/>
        </w:rPr>
      </w:pPr>
      <w:r w:rsidRPr="00936B0A">
        <w:rPr>
          <w:rFonts w:ascii="Book Antiqua" w:hAnsi="Book Antiqua"/>
        </w:rPr>
        <w:t xml:space="preserve">His relationship with his partner was no more than that of girlfriend and boyfriend, notwithstanding that it had begun when they were at school and </w:t>
      </w:r>
      <w:r w:rsidR="00C74962">
        <w:rPr>
          <w:rFonts w:ascii="Book Antiqua" w:hAnsi="Book Antiqua"/>
        </w:rPr>
        <w:t>[</w:t>
      </w:r>
      <w:r w:rsidR="00C74962" w:rsidRPr="00936B0A">
        <w:rPr>
          <w:rFonts w:ascii="Book Antiqua" w:hAnsi="Book Antiqua"/>
        </w:rPr>
        <w:t>RA</w:t>
      </w:r>
      <w:r w:rsidR="00C74962">
        <w:rPr>
          <w:rFonts w:ascii="Book Antiqua" w:hAnsi="Book Antiqua"/>
        </w:rPr>
        <w:t>]</w:t>
      </w:r>
      <w:r w:rsidRPr="00936B0A">
        <w:rPr>
          <w:rFonts w:ascii="Book Antiqua" w:hAnsi="Book Antiqua"/>
        </w:rPr>
        <w:t xml:space="preserve">’s evidence of the hope which she held for the relationship developing further; and whilst his family would </w:t>
      </w:r>
      <w:r w:rsidR="00C74962">
        <w:rPr>
          <w:rFonts w:ascii="Book Antiqua" w:hAnsi="Book Antiqua"/>
        </w:rPr>
        <w:t xml:space="preserve">be </w:t>
      </w:r>
      <w:r w:rsidRPr="00936B0A">
        <w:rPr>
          <w:rFonts w:ascii="Book Antiqua" w:hAnsi="Book Antiqua"/>
        </w:rPr>
        <w:t xml:space="preserve">extremely upset by his expulsion, that was not an exceptional circumstance. Their claims to be heavily reliant upon him suffered from the lack of any detail as to how they had managed during his extended period of imprisonment. His father doubtless suffered from the claimed health problems he mentioned such as high blood pressure and cholesterol, but was not old and provided no medical evidence showing any particularly serious problems. Doubtless his mother spoke the truth when she said that she would become psychologically and physically unwell if her son was deported: this would be a natural reaction, and was the sad consequence of deportation; overall it had to be accepted that there was extant family life given the strong family bond between Appellant and his parents. </w:t>
      </w:r>
    </w:p>
    <w:p w14:paraId="5B308EFD" w14:textId="77777777" w:rsidR="00936B0A" w:rsidRPr="00936B0A" w:rsidRDefault="00936B0A" w:rsidP="00936B0A">
      <w:pPr>
        <w:tabs>
          <w:tab w:val="left" w:pos="426"/>
        </w:tabs>
        <w:ind w:left="426"/>
        <w:jc w:val="both"/>
        <w:rPr>
          <w:rFonts w:ascii="Book Antiqua" w:hAnsi="Book Antiqua"/>
        </w:rPr>
      </w:pPr>
    </w:p>
    <w:p w14:paraId="70EA5ED7" w14:textId="77777777" w:rsidR="00936B0A" w:rsidRPr="00936B0A" w:rsidRDefault="003542A7" w:rsidP="00936B0A">
      <w:pPr>
        <w:numPr>
          <w:ilvl w:val="0"/>
          <w:numId w:val="1"/>
        </w:numPr>
        <w:tabs>
          <w:tab w:val="clear" w:pos="927"/>
          <w:tab w:val="left" w:pos="426"/>
          <w:tab w:val="num" w:pos="851"/>
        </w:tabs>
        <w:ind w:left="426" w:hanging="426"/>
        <w:jc w:val="both"/>
        <w:rPr>
          <w:rFonts w:ascii="Book Antiqua" w:hAnsi="Book Antiqua"/>
        </w:rPr>
      </w:pPr>
      <w:r>
        <w:rPr>
          <w:rFonts w:ascii="Book Antiqua" w:hAnsi="Book Antiqua"/>
        </w:rPr>
        <w:t>The Appellant spoke English</w:t>
      </w:r>
      <w:r w:rsidR="00936B0A" w:rsidRPr="00936B0A">
        <w:rPr>
          <w:rFonts w:ascii="Book Antiqua" w:hAnsi="Book Antiqua"/>
        </w:rPr>
        <w:t xml:space="preserve">. He was socially and culturally integrated in the UK given he had lived here </w:t>
      </w:r>
      <w:r>
        <w:rPr>
          <w:rFonts w:ascii="Book Antiqua" w:hAnsi="Book Antiqua"/>
        </w:rPr>
        <w:t xml:space="preserve">for most of his life, including a very lengthy period </w:t>
      </w:r>
      <w:r w:rsidR="00936B0A" w:rsidRPr="00936B0A">
        <w:rPr>
          <w:rFonts w:ascii="Book Antiqua" w:hAnsi="Book Antiqua"/>
        </w:rPr>
        <w:t xml:space="preserve">with indefinite leave to remain. Whilst it would be very challenging for him to reintegrate in Bangladesh, this would not reach the </w:t>
      </w:r>
      <w:r>
        <w:rPr>
          <w:rFonts w:ascii="Book Antiqua" w:hAnsi="Book Antiqua"/>
        </w:rPr>
        <w:t>high threshold specified in the Rules and legislation</w:t>
      </w:r>
      <w:r w:rsidR="00936B0A" w:rsidRPr="00936B0A">
        <w:rPr>
          <w:rFonts w:ascii="Book Antiqua" w:hAnsi="Book Antiqua"/>
        </w:rPr>
        <w:t>.  He could receive guidance from his parents in this country and financial remittances were probably feasible (given the obscurity over the evidence regarding their financial situation), and he had a strong foundation from which to master Sylheti, and could anticipate some support from relatives and family and friends currently living in Bangladesh</w:t>
      </w:r>
      <w:r>
        <w:rPr>
          <w:rFonts w:ascii="Book Antiqua" w:hAnsi="Book Antiqua"/>
        </w:rPr>
        <w:t>. H</w:t>
      </w:r>
      <w:r w:rsidR="00936B0A" w:rsidRPr="00936B0A">
        <w:rPr>
          <w:rFonts w:ascii="Book Antiqua" w:hAnsi="Book Antiqua"/>
        </w:rPr>
        <w:t xml:space="preserve">e had no significant health problems or disabilities, and would in due course be able to find work, given he could speak English, and had IT skills and work experience in the UK. He was at an age where he could be readily expected to adapt to change. </w:t>
      </w:r>
    </w:p>
    <w:p w14:paraId="6A4563A0" w14:textId="77777777" w:rsidR="00936B0A" w:rsidRPr="00936B0A" w:rsidRDefault="00936B0A" w:rsidP="00936B0A">
      <w:pPr>
        <w:pStyle w:val="ListParagraph"/>
        <w:rPr>
          <w:rFonts w:ascii="Book Antiqua" w:hAnsi="Book Antiqua"/>
        </w:rPr>
      </w:pPr>
    </w:p>
    <w:p w14:paraId="030BE558" w14:textId="77777777" w:rsidR="00936B0A" w:rsidRPr="00936B0A" w:rsidRDefault="00936B0A" w:rsidP="00936B0A">
      <w:pPr>
        <w:numPr>
          <w:ilvl w:val="0"/>
          <w:numId w:val="1"/>
        </w:numPr>
        <w:tabs>
          <w:tab w:val="clear" w:pos="927"/>
          <w:tab w:val="left" w:pos="426"/>
          <w:tab w:val="num" w:pos="851"/>
        </w:tabs>
        <w:ind w:left="426" w:hanging="426"/>
        <w:jc w:val="both"/>
        <w:rPr>
          <w:rFonts w:ascii="Book Antiqua" w:hAnsi="Book Antiqua"/>
        </w:rPr>
      </w:pPr>
      <w:r w:rsidRPr="00936B0A">
        <w:rPr>
          <w:rFonts w:ascii="Book Antiqua" w:hAnsi="Book Antiqua"/>
        </w:rPr>
        <w:t xml:space="preserve">The Appellant's claim to have no support in Bangladesh had to be assessed in the light of the fact that he had referred to staying with his father’s relatives during holidays there; his father had described those individuals as friends. It was improbable that these people were not known to the Appellant, having regard to the length of the trips as being 17 days, two and three months respectively. </w:t>
      </w:r>
    </w:p>
    <w:p w14:paraId="7A6A09E0" w14:textId="77777777" w:rsidR="00936B0A" w:rsidRPr="00936B0A" w:rsidRDefault="00936B0A" w:rsidP="00936B0A">
      <w:pPr>
        <w:pStyle w:val="ListParagraph"/>
        <w:rPr>
          <w:rFonts w:ascii="Book Antiqua" w:hAnsi="Book Antiqua"/>
        </w:rPr>
      </w:pPr>
    </w:p>
    <w:p w14:paraId="5109DD53" w14:textId="77777777" w:rsidR="00936B0A" w:rsidRPr="00D67EE7" w:rsidRDefault="00936B0A" w:rsidP="00D67EE7">
      <w:pPr>
        <w:numPr>
          <w:ilvl w:val="0"/>
          <w:numId w:val="1"/>
        </w:numPr>
        <w:tabs>
          <w:tab w:val="clear" w:pos="927"/>
          <w:tab w:val="left" w:pos="426"/>
          <w:tab w:val="num" w:pos="851"/>
        </w:tabs>
        <w:ind w:left="426" w:hanging="426"/>
        <w:jc w:val="both"/>
        <w:rPr>
          <w:rFonts w:ascii="Book Antiqua" w:hAnsi="Book Antiqua"/>
        </w:rPr>
      </w:pPr>
      <w:r w:rsidRPr="00936B0A">
        <w:rPr>
          <w:rFonts w:ascii="Book Antiqua" w:hAnsi="Book Antiqua"/>
        </w:rPr>
        <w:t xml:space="preserve">Assessing the material regarding reoffending risks and dangers that the Appellant might pose to the public, the Judge was concerned as to the ambiguity identified in the </w:t>
      </w:r>
      <w:r w:rsidRPr="00936B0A">
        <w:rPr>
          <w:rFonts w:ascii="Book Antiqua" w:hAnsi="Book Antiqua"/>
        </w:rPr>
        <w:lastRenderedPageBreak/>
        <w:t xml:space="preserve">Appellant's evidence, between his witness statements which indicated an open acceptance of guilt for the offences for which he had been convicted, and his oral evidence which downplayed his responsibility for the crimes </w:t>
      </w:r>
      <w:r w:rsidR="003542A7">
        <w:rPr>
          <w:rFonts w:ascii="Book Antiqua" w:hAnsi="Book Antiqua"/>
        </w:rPr>
        <w:t xml:space="preserve">thus </w:t>
      </w:r>
      <w:r w:rsidRPr="00936B0A">
        <w:rPr>
          <w:rFonts w:ascii="Book Antiqua" w:hAnsi="Book Antiqua"/>
        </w:rPr>
        <w:t xml:space="preserve">indicating a lack of genuine remorse. </w:t>
      </w:r>
      <w:r w:rsidR="00D67EE7">
        <w:rPr>
          <w:rFonts w:ascii="Book Antiqua" w:hAnsi="Book Antiqua"/>
        </w:rPr>
        <w:t>Although t</w:t>
      </w:r>
      <w:r w:rsidR="00D67EE7" w:rsidRPr="00D67EE7">
        <w:rPr>
          <w:rFonts w:ascii="Book Antiqua" w:hAnsi="Book Antiqua"/>
        </w:rPr>
        <w:t>he sentencing judge had adjusted his sentence to take account of the guilty pleas, an element of exploita</w:t>
      </w:r>
      <w:r w:rsidR="00D67EE7">
        <w:rPr>
          <w:rFonts w:ascii="Book Antiqua" w:hAnsi="Book Antiqua"/>
        </w:rPr>
        <w:t>tion and the Appellant's youth, t</w:t>
      </w:r>
      <w:r w:rsidRPr="00D67EE7">
        <w:rPr>
          <w:rFonts w:ascii="Book Antiqua" w:hAnsi="Book Antiqua"/>
        </w:rPr>
        <w:t xml:space="preserve">he prison sentences were at the higher end of the scale given his relative youth. Overall the Appellant was found to pose a risk of further harm to the public in the future, given that the influence of his family had not slowed down, let alone stopped, his offending. He had reoffended after attending a thinking skills programme and his April 2015 conviction was whilst a community order was in force. </w:t>
      </w:r>
    </w:p>
    <w:p w14:paraId="027C88CE" w14:textId="77777777" w:rsidR="00936B0A" w:rsidRDefault="00936B0A" w:rsidP="00936B0A">
      <w:pPr>
        <w:pStyle w:val="ListParagraph"/>
        <w:rPr>
          <w:rFonts w:ascii="Book Antiqua" w:hAnsi="Book Antiqua"/>
        </w:rPr>
      </w:pPr>
    </w:p>
    <w:p w14:paraId="7E98FD88" w14:textId="77777777" w:rsidR="00D67EE7" w:rsidRDefault="00D67EE7" w:rsidP="00D67EE7">
      <w:pPr>
        <w:numPr>
          <w:ilvl w:val="0"/>
          <w:numId w:val="1"/>
        </w:numPr>
        <w:tabs>
          <w:tab w:val="clear" w:pos="927"/>
          <w:tab w:val="left" w:pos="426"/>
          <w:tab w:val="num" w:pos="851"/>
        </w:tabs>
        <w:ind w:left="426" w:hanging="426"/>
        <w:jc w:val="both"/>
        <w:rPr>
          <w:rFonts w:ascii="Book Antiqua" w:hAnsi="Book Antiqua"/>
        </w:rPr>
      </w:pPr>
      <w:r w:rsidRPr="00936B0A">
        <w:rPr>
          <w:rFonts w:ascii="Book Antiqua" w:hAnsi="Book Antiqua"/>
        </w:rPr>
        <w:t xml:space="preserve">Whilst his family and friends had provided statements attesting to his character in glowing terms, there was a lack of independent objective evidence by way of probation report, or a pre-sentence or OASys report. Whilst he presented as somewhat naïve, there was a limit to which he could be given credit for his liability to influence by others in the context of having been convicted some 21 times of offences of escalating seriousness in under a decade.  </w:t>
      </w:r>
    </w:p>
    <w:p w14:paraId="4E433B2D" w14:textId="77777777" w:rsidR="00D67EE7" w:rsidRPr="00936B0A" w:rsidRDefault="00D67EE7" w:rsidP="00936B0A">
      <w:pPr>
        <w:pStyle w:val="ListParagraph"/>
        <w:rPr>
          <w:rFonts w:ascii="Book Antiqua" w:hAnsi="Book Antiqua"/>
        </w:rPr>
      </w:pPr>
    </w:p>
    <w:p w14:paraId="044205FE" w14:textId="77777777" w:rsidR="00936B0A" w:rsidRPr="00936B0A" w:rsidRDefault="003542A7" w:rsidP="00936B0A">
      <w:pPr>
        <w:numPr>
          <w:ilvl w:val="0"/>
          <w:numId w:val="1"/>
        </w:numPr>
        <w:tabs>
          <w:tab w:val="clear" w:pos="927"/>
          <w:tab w:val="left" w:pos="426"/>
          <w:tab w:val="num" w:pos="851"/>
        </w:tabs>
        <w:ind w:left="426" w:hanging="426"/>
        <w:jc w:val="both"/>
        <w:rPr>
          <w:rFonts w:ascii="Book Antiqua" w:hAnsi="Book Antiqua"/>
        </w:rPr>
      </w:pPr>
      <w:r>
        <w:rPr>
          <w:rFonts w:ascii="Book Antiqua" w:hAnsi="Book Antiqua"/>
        </w:rPr>
        <w:t>In the light of those findings of fact</w:t>
      </w:r>
      <w:r w:rsidR="00936B0A" w:rsidRPr="00936B0A">
        <w:rPr>
          <w:rFonts w:ascii="Book Antiqua" w:hAnsi="Book Antiqua"/>
        </w:rPr>
        <w:t xml:space="preserve">, the First-tier Tribunal went on its conclusions having regard to the matrix of Rules and primary legislation. The scales were heavily weighted against the Appellant given the public interest in deporting serious offenders; whilst his offending was not at the most serious end of the scale, there was a very troubling escalation shown therein and the lack of credible remorse was of concern. Whilst the Appellant had strong ties to the UK via his private life and his relationship with his partner and parents, he did not have a settled partner for relevant purposes and most young people would be expected to leave home to gain independence as they grow older. His close supportive family and long-term girlfriend in fact represented “fairly ordinary circumstances” rather than anything “very compelling”. </w:t>
      </w:r>
      <w:proofErr w:type="gramStart"/>
      <w:r w:rsidR="00EC0C7F">
        <w:rPr>
          <w:rFonts w:ascii="Book Antiqua" w:hAnsi="Book Antiqua"/>
        </w:rPr>
        <w:t>Thus</w:t>
      </w:r>
      <w:proofErr w:type="gramEnd"/>
      <w:r w:rsidR="00EC0C7F">
        <w:rPr>
          <w:rFonts w:ascii="Book Antiqua" w:hAnsi="Book Antiqua"/>
        </w:rPr>
        <w:t xml:space="preserve"> the appeal fell to be dismissed. </w:t>
      </w:r>
    </w:p>
    <w:p w14:paraId="73EC902D" w14:textId="77777777" w:rsidR="00936B0A" w:rsidRPr="00936B0A" w:rsidRDefault="00936B0A" w:rsidP="00936B0A">
      <w:pPr>
        <w:pStyle w:val="ListParagraph"/>
        <w:rPr>
          <w:rFonts w:ascii="Book Antiqua" w:hAnsi="Book Antiqua"/>
        </w:rPr>
      </w:pPr>
    </w:p>
    <w:p w14:paraId="5564034F" w14:textId="77777777" w:rsidR="00936B0A" w:rsidRPr="00936B0A" w:rsidRDefault="00936B0A" w:rsidP="00936B0A">
      <w:pPr>
        <w:numPr>
          <w:ilvl w:val="0"/>
          <w:numId w:val="1"/>
        </w:numPr>
        <w:tabs>
          <w:tab w:val="clear" w:pos="927"/>
          <w:tab w:val="left" w:pos="426"/>
          <w:tab w:val="num" w:pos="851"/>
        </w:tabs>
        <w:ind w:left="426" w:hanging="426"/>
        <w:jc w:val="both"/>
        <w:rPr>
          <w:rFonts w:ascii="Book Antiqua" w:hAnsi="Book Antiqua"/>
        </w:rPr>
      </w:pPr>
      <w:r w:rsidRPr="00936B0A">
        <w:rPr>
          <w:rFonts w:ascii="Book Antiqua" w:hAnsi="Book Antiqua"/>
        </w:rPr>
        <w:t xml:space="preserve">Grounds of appeal contended that the appeal had been conducted unfairly given the refusal of an adjournment application given that essential documents, by way of a pre-sentence report, OASYS report and the sentencing judge’s remarks, had not been available before the hearing date. </w:t>
      </w:r>
      <w:proofErr w:type="gramStart"/>
      <w:r w:rsidRPr="00936B0A">
        <w:rPr>
          <w:rFonts w:ascii="Book Antiqua" w:hAnsi="Book Antiqua"/>
        </w:rPr>
        <w:t>Nevertheless</w:t>
      </w:r>
      <w:proofErr w:type="gramEnd"/>
      <w:r w:rsidRPr="00936B0A">
        <w:rPr>
          <w:rFonts w:ascii="Book Antiqua" w:hAnsi="Book Antiqua"/>
        </w:rPr>
        <w:t xml:space="preserve"> a Duty Judge had refused an adjournment application made in good time some eight days before the hearing. Furthermore, as to the substantive disposition of the appeal:</w:t>
      </w:r>
    </w:p>
    <w:p w14:paraId="3F15E6DA" w14:textId="77777777" w:rsidR="00936B0A" w:rsidRPr="00936B0A" w:rsidRDefault="00936B0A" w:rsidP="00C74962">
      <w:pPr>
        <w:pStyle w:val="ListParagraph"/>
        <w:numPr>
          <w:ilvl w:val="0"/>
          <w:numId w:val="4"/>
        </w:numPr>
        <w:spacing w:before="120" w:after="120"/>
        <w:ind w:left="1701" w:hanging="567"/>
        <w:rPr>
          <w:rFonts w:ascii="Book Antiqua" w:hAnsi="Book Antiqua"/>
        </w:rPr>
      </w:pPr>
      <w:r w:rsidRPr="00936B0A">
        <w:rPr>
          <w:rFonts w:ascii="Book Antiqua" w:hAnsi="Book Antiqua"/>
        </w:rPr>
        <w:t xml:space="preserve">There was an inconsistency in the approach to the Appellant's evidence regarding the responsibility he took for his offending; </w:t>
      </w:r>
    </w:p>
    <w:p w14:paraId="464617D4" w14:textId="77777777" w:rsidR="00936B0A" w:rsidRPr="00936B0A" w:rsidRDefault="00936B0A" w:rsidP="00C74962">
      <w:pPr>
        <w:pStyle w:val="ListParagraph"/>
        <w:numPr>
          <w:ilvl w:val="0"/>
          <w:numId w:val="4"/>
        </w:numPr>
        <w:spacing w:before="120" w:after="120"/>
        <w:ind w:left="1701" w:hanging="567"/>
        <w:rPr>
          <w:rFonts w:ascii="Book Antiqua" w:hAnsi="Book Antiqua"/>
        </w:rPr>
      </w:pPr>
      <w:r w:rsidRPr="00936B0A">
        <w:rPr>
          <w:rFonts w:ascii="Book Antiqua" w:hAnsi="Book Antiqua"/>
        </w:rPr>
        <w:t xml:space="preserve">This was the Appellant’s first significant offence, and the sentencing judge had acknowledged that the Appellant had acted under some pressure from other individuals; </w:t>
      </w:r>
    </w:p>
    <w:p w14:paraId="0A0D09AB" w14:textId="77777777" w:rsidR="00936B0A" w:rsidRPr="00936B0A" w:rsidRDefault="00936B0A" w:rsidP="00C74962">
      <w:pPr>
        <w:pStyle w:val="ListParagraph"/>
        <w:numPr>
          <w:ilvl w:val="0"/>
          <w:numId w:val="4"/>
        </w:numPr>
        <w:spacing w:before="120" w:after="120"/>
        <w:ind w:left="1701" w:hanging="567"/>
        <w:rPr>
          <w:rFonts w:ascii="Book Antiqua" w:hAnsi="Book Antiqua"/>
        </w:rPr>
      </w:pPr>
      <w:r w:rsidRPr="00936B0A">
        <w:rPr>
          <w:rFonts w:ascii="Book Antiqua" w:hAnsi="Book Antiqua"/>
        </w:rPr>
        <w:t xml:space="preserve">No reasons were given for finding that the Appellant continued to pose an offending risk notwithstanding the influence of his family members; </w:t>
      </w:r>
    </w:p>
    <w:p w14:paraId="31389CF2" w14:textId="77777777" w:rsidR="00936B0A" w:rsidRPr="00936B0A" w:rsidRDefault="00936B0A" w:rsidP="00C74962">
      <w:pPr>
        <w:pStyle w:val="ListParagraph"/>
        <w:numPr>
          <w:ilvl w:val="0"/>
          <w:numId w:val="4"/>
        </w:numPr>
        <w:spacing w:before="120" w:after="120"/>
        <w:ind w:left="1701" w:hanging="567"/>
        <w:rPr>
          <w:rFonts w:ascii="Book Antiqua" w:hAnsi="Book Antiqua"/>
        </w:rPr>
      </w:pPr>
      <w:r w:rsidRPr="00936B0A">
        <w:rPr>
          <w:rFonts w:ascii="Book Antiqua" w:hAnsi="Book Antiqua"/>
        </w:rPr>
        <w:lastRenderedPageBreak/>
        <w:t xml:space="preserve">There was no evidence that there were any family members present in the country of origin who might offer the Appellant support on a return to Bangladesh; </w:t>
      </w:r>
    </w:p>
    <w:p w14:paraId="63E9AFC0" w14:textId="77777777" w:rsidR="00936B0A" w:rsidRPr="00936B0A" w:rsidRDefault="00936B0A" w:rsidP="00C74962">
      <w:pPr>
        <w:pStyle w:val="ListParagraph"/>
        <w:numPr>
          <w:ilvl w:val="0"/>
          <w:numId w:val="4"/>
        </w:numPr>
        <w:spacing w:before="120" w:after="120"/>
        <w:ind w:left="1701" w:hanging="567"/>
        <w:rPr>
          <w:rFonts w:ascii="Book Antiqua" w:hAnsi="Book Antiqua"/>
        </w:rPr>
      </w:pPr>
      <w:r w:rsidRPr="00936B0A">
        <w:rPr>
          <w:rFonts w:ascii="Book Antiqua" w:hAnsi="Book Antiqua"/>
        </w:rPr>
        <w:t xml:space="preserve">Relevant evidence had been overlooked as to whether there were very significant obstacles to integration back in Bangladesh. </w:t>
      </w:r>
    </w:p>
    <w:p w14:paraId="34E4EA5A" w14:textId="77777777" w:rsidR="00936B0A" w:rsidRPr="00936B0A" w:rsidRDefault="00936B0A" w:rsidP="00936B0A">
      <w:pPr>
        <w:numPr>
          <w:ilvl w:val="0"/>
          <w:numId w:val="1"/>
        </w:numPr>
        <w:tabs>
          <w:tab w:val="clear" w:pos="927"/>
          <w:tab w:val="left" w:pos="426"/>
          <w:tab w:val="num" w:pos="851"/>
        </w:tabs>
        <w:ind w:left="426" w:hanging="426"/>
        <w:jc w:val="both"/>
        <w:rPr>
          <w:rFonts w:ascii="Book Antiqua" w:hAnsi="Book Antiqua"/>
        </w:rPr>
      </w:pPr>
      <w:r w:rsidRPr="00936B0A">
        <w:rPr>
          <w:rFonts w:ascii="Book Antiqua" w:hAnsi="Book Antiqua"/>
        </w:rPr>
        <w:t xml:space="preserve">The First-tier Tribunal granted permission to appeal on 13 April 2018 on the basis that the adjournment refusal was arguably flawed, particularly given that the Respondent had only disclosed relevant documents the day before the hearing. It did not expressly grant permission regarding the substantive challenges to the decision below, but nor did it rule </w:t>
      </w:r>
      <w:r w:rsidR="003542A7">
        <w:rPr>
          <w:rFonts w:ascii="Book Antiqua" w:hAnsi="Book Antiqua"/>
        </w:rPr>
        <w:t xml:space="preserve">them </w:t>
      </w:r>
      <w:r w:rsidRPr="00936B0A">
        <w:rPr>
          <w:rFonts w:ascii="Book Antiqua" w:hAnsi="Book Antiqua"/>
        </w:rPr>
        <w:t xml:space="preserve">out. </w:t>
      </w:r>
    </w:p>
    <w:p w14:paraId="4CFF3E02" w14:textId="77777777" w:rsidR="00936B0A" w:rsidRPr="00936B0A" w:rsidRDefault="00936B0A" w:rsidP="00936B0A">
      <w:pPr>
        <w:tabs>
          <w:tab w:val="left" w:pos="426"/>
        </w:tabs>
        <w:ind w:left="426"/>
        <w:jc w:val="both"/>
        <w:rPr>
          <w:rFonts w:ascii="Book Antiqua" w:hAnsi="Book Antiqua"/>
        </w:rPr>
      </w:pPr>
    </w:p>
    <w:p w14:paraId="76FABF38" w14:textId="77777777" w:rsidR="00936B0A" w:rsidRPr="00936B0A" w:rsidRDefault="00936B0A" w:rsidP="00936B0A">
      <w:pPr>
        <w:numPr>
          <w:ilvl w:val="0"/>
          <w:numId w:val="1"/>
        </w:numPr>
        <w:tabs>
          <w:tab w:val="clear" w:pos="927"/>
          <w:tab w:val="left" w:pos="426"/>
          <w:tab w:val="num" w:pos="851"/>
        </w:tabs>
        <w:ind w:left="426" w:hanging="426"/>
        <w:jc w:val="both"/>
        <w:rPr>
          <w:rFonts w:ascii="Book Antiqua" w:hAnsi="Book Antiqua"/>
        </w:rPr>
      </w:pPr>
      <w:r w:rsidRPr="00936B0A">
        <w:rPr>
          <w:rFonts w:ascii="Book Antiqua" w:hAnsi="Book Antiqua"/>
        </w:rPr>
        <w:t xml:space="preserve">Mr Khan submitted that there had been a procedural irregularity by the Tribunal proceeding below without actively reconsidering the question of an adjournment. It had failed to take account of relevant evidence and come to conclusions that were irrational regarding the strength of the Appellant's UK ties, and it had applied the wrong legal test when assessing the public interest in his expulsion, effectively directing itself that very compelling circumstances had to be established. </w:t>
      </w:r>
    </w:p>
    <w:p w14:paraId="0C86C826" w14:textId="77777777" w:rsidR="00936B0A" w:rsidRPr="00936B0A" w:rsidRDefault="00936B0A" w:rsidP="00936B0A">
      <w:pPr>
        <w:pStyle w:val="ListParagraph"/>
        <w:rPr>
          <w:rFonts w:ascii="Book Antiqua" w:hAnsi="Book Antiqua"/>
        </w:rPr>
      </w:pPr>
    </w:p>
    <w:p w14:paraId="29B91693" w14:textId="77777777" w:rsidR="00936B0A" w:rsidRPr="00936B0A" w:rsidRDefault="00936B0A" w:rsidP="00936B0A">
      <w:pPr>
        <w:numPr>
          <w:ilvl w:val="0"/>
          <w:numId w:val="1"/>
        </w:numPr>
        <w:tabs>
          <w:tab w:val="clear" w:pos="927"/>
          <w:tab w:val="left" w:pos="426"/>
          <w:tab w:val="num" w:pos="851"/>
        </w:tabs>
        <w:ind w:left="426" w:hanging="426"/>
        <w:jc w:val="both"/>
        <w:rPr>
          <w:rFonts w:ascii="Book Antiqua" w:hAnsi="Book Antiqua"/>
        </w:rPr>
      </w:pPr>
      <w:r w:rsidRPr="00936B0A">
        <w:rPr>
          <w:rFonts w:ascii="Book Antiqua" w:hAnsi="Book Antiqua"/>
        </w:rPr>
        <w:t xml:space="preserve">Mr </w:t>
      </w:r>
      <w:proofErr w:type="spellStart"/>
      <w:r w:rsidRPr="00936B0A">
        <w:rPr>
          <w:rFonts w:ascii="Book Antiqua" w:hAnsi="Book Antiqua"/>
        </w:rPr>
        <w:t>Tufan</w:t>
      </w:r>
      <w:proofErr w:type="spellEnd"/>
      <w:r w:rsidRPr="00936B0A">
        <w:rPr>
          <w:rFonts w:ascii="Book Antiqua" w:hAnsi="Book Antiqua"/>
        </w:rPr>
        <w:t xml:space="preserve"> pointed out that </w:t>
      </w:r>
      <w:proofErr w:type="spellStart"/>
      <w:r w:rsidRPr="00936B0A">
        <w:rPr>
          <w:rFonts w:ascii="Book Antiqua" w:hAnsi="Book Antiqua"/>
          <w:i/>
        </w:rPr>
        <w:t>Bossade</w:t>
      </w:r>
      <w:proofErr w:type="spellEnd"/>
      <w:r w:rsidRPr="00936B0A">
        <w:rPr>
          <w:rFonts w:ascii="Book Antiqua" w:hAnsi="Book Antiqua"/>
          <w:i/>
        </w:rPr>
        <w:t xml:space="preserve"> </w:t>
      </w:r>
      <w:r w:rsidRPr="00936B0A">
        <w:rPr>
          <w:rFonts w:ascii="Book Antiqua" w:hAnsi="Book Antiqua"/>
        </w:rPr>
        <w:t xml:space="preserve">demonstrated that even a young person who entered the UK when aged 4, and was granted indefinite leave to remain at the age of 14, could be legitimately subject to successful deportation proceedings where their offending extended into adulthood; </w:t>
      </w:r>
      <w:proofErr w:type="spellStart"/>
      <w:r w:rsidRPr="00936B0A">
        <w:rPr>
          <w:rFonts w:ascii="Book Antiqua" w:hAnsi="Book Antiqua"/>
          <w:i/>
        </w:rPr>
        <w:t>Mwesezi</w:t>
      </w:r>
      <w:proofErr w:type="spellEnd"/>
      <w:r w:rsidRPr="00936B0A">
        <w:rPr>
          <w:rFonts w:ascii="Book Antiqua" w:hAnsi="Book Antiqua"/>
          <w:i/>
        </w:rPr>
        <w:t xml:space="preserve"> </w:t>
      </w:r>
      <w:r w:rsidRPr="00936B0A">
        <w:rPr>
          <w:rFonts w:ascii="Book Antiqua" w:hAnsi="Book Antiqua"/>
        </w:rPr>
        <w:t xml:space="preserve">showed that the normal kind of relationships between a man and their family members </w:t>
      </w:r>
      <w:r w:rsidR="003542A7">
        <w:rPr>
          <w:rFonts w:ascii="Book Antiqua" w:hAnsi="Book Antiqua"/>
        </w:rPr>
        <w:t xml:space="preserve">exhibiting </w:t>
      </w:r>
      <w:r w:rsidR="003542A7" w:rsidRPr="00936B0A">
        <w:rPr>
          <w:rFonts w:ascii="Book Antiqua" w:hAnsi="Book Antiqua"/>
        </w:rPr>
        <w:t xml:space="preserve">only ordinary love and affection </w:t>
      </w:r>
      <w:r w:rsidRPr="00936B0A">
        <w:rPr>
          <w:rFonts w:ascii="Book Antiqua" w:hAnsi="Book Antiqua"/>
        </w:rPr>
        <w:t xml:space="preserve">fell well below anything amounted to compelling circumstances. </w:t>
      </w:r>
    </w:p>
    <w:p w14:paraId="3CA3C4CB" w14:textId="77777777" w:rsidR="00936B0A" w:rsidRDefault="00936B0A" w:rsidP="00936B0A">
      <w:pPr>
        <w:rPr>
          <w:rFonts w:ascii="Book Antiqua" w:hAnsi="Book Antiqua"/>
        </w:rPr>
      </w:pPr>
    </w:p>
    <w:p w14:paraId="71C16CD8" w14:textId="77777777" w:rsidR="00936B0A" w:rsidRPr="00936B0A" w:rsidRDefault="00936B0A" w:rsidP="00936B0A">
      <w:pPr>
        <w:tabs>
          <w:tab w:val="left" w:pos="284"/>
        </w:tabs>
        <w:jc w:val="both"/>
        <w:rPr>
          <w:rFonts w:ascii="Book Antiqua" w:hAnsi="Book Antiqua" w:cs="Arial"/>
          <w:b/>
        </w:rPr>
      </w:pPr>
      <w:r w:rsidRPr="00936B0A">
        <w:rPr>
          <w:rFonts w:ascii="Book Antiqua" w:hAnsi="Book Antiqua" w:cs="Arial"/>
          <w:b/>
        </w:rPr>
        <w:t xml:space="preserve">Findings and reasons </w:t>
      </w:r>
    </w:p>
    <w:p w14:paraId="24799727" w14:textId="77777777" w:rsidR="00936B0A" w:rsidRPr="00936B0A" w:rsidRDefault="00936B0A" w:rsidP="00936B0A">
      <w:pPr>
        <w:pStyle w:val="ListParagraph"/>
        <w:rPr>
          <w:rFonts w:ascii="Book Antiqua" w:hAnsi="Book Antiqua"/>
        </w:rPr>
      </w:pPr>
    </w:p>
    <w:p w14:paraId="67A8703C" w14:textId="77777777" w:rsidR="00EC0C7F" w:rsidRDefault="00936B0A" w:rsidP="00EC0C7F">
      <w:pPr>
        <w:numPr>
          <w:ilvl w:val="0"/>
          <w:numId w:val="1"/>
        </w:numPr>
        <w:tabs>
          <w:tab w:val="clear" w:pos="927"/>
          <w:tab w:val="left" w:pos="426"/>
          <w:tab w:val="num" w:pos="851"/>
        </w:tabs>
        <w:ind w:left="426" w:hanging="426"/>
        <w:jc w:val="both"/>
        <w:rPr>
          <w:rFonts w:ascii="Book Antiqua" w:hAnsi="Book Antiqua"/>
        </w:rPr>
      </w:pPr>
      <w:r w:rsidRPr="00936B0A">
        <w:rPr>
          <w:rFonts w:ascii="Book Antiqua" w:hAnsi="Book Antiqua"/>
        </w:rPr>
        <w:t>I indicated at the hearing that I was not impressed by the argument regarding the necessity of an adjournment.</w:t>
      </w:r>
      <w:r w:rsidR="00EC0C7F">
        <w:rPr>
          <w:rFonts w:ascii="Book Antiqua" w:hAnsi="Book Antiqua"/>
        </w:rPr>
        <w:t xml:space="preserve"> It does not appear that the Appellant's advocate before the First-tier Tribunal actively pursued the question of an adjournment, doubtless because of the strong provisional view expressed by the experienced Judge that no such application would be granted. Nevertheless, I accept that there are cases, and deportation appeals involving close family ties with the UK might well be such, </w:t>
      </w:r>
      <w:r w:rsidR="003542A7">
        <w:rPr>
          <w:rFonts w:ascii="Book Antiqua" w:hAnsi="Book Antiqua"/>
        </w:rPr>
        <w:t xml:space="preserve">where the case management history requires that </w:t>
      </w:r>
      <w:r w:rsidR="00EC0C7F">
        <w:rPr>
          <w:rFonts w:ascii="Book Antiqua" w:hAnsi="Book Antiqua"/>
        </w:rPr>
        <w:t xml:space="preserve">the propriety of an adjournment be </w:t>
      </w:r>
      <w:r w:rsidR="006A47F0">
        <w:rPr>
          <w:rFonts w:ascii="Book Antiqua" w:hAnsi="Book Antiqua"/>
        </w:rPr>
        <w:t xml:space="preserve">properly </w:t>
      </w:r>
      <w:r w:rsidR="00EC0C7F">
        <w:rPr>
          <w:rFonts w:ascii="Book Antiqua" w:hAnsi="Book Antiqua"/>
        </w:rPr>
        <w:t>considered</w:t>
      </w:r>
      <w:r w:rsidR="006A47F0">
        <w:rPr>
          <w:rFonts w:ascii="Book Antiqua" w:hAnsi="Book Antiqua"/>
        </w:rPr>
        <w:t>, however disinclined the Judge before whom the matter is listed may be to entertain such an application</w:t>
      </w:r>
      <w:r w:rsidR="00EC0C7F">
        <w:rPr>
          <w:rFonts w:ascii="Book Antiqua" w:hAnsi="Book Antiqua"/>
        </w:rPr>
        <w:t xml:space="preserve">. </w:t>
      </w:r>
      <w:r w:rsidRPr="00936B0A">
        <w:rPr>
          <w:rFonts w:ascii="Book Antiqua" w:hAnsi="Book Antiqua"/>
        </w:rPr>
        <w:t xml:space="preserve"> </w:t>
      </w:r>
    </w:p>
    <w:p w14:paraId="43E6890F" w14:textId="77777777" w:rsidR="00EC0C7F" w:rsidRDefault="00EC0C7F" w:rsidP="00EC0C7F">
      <w:pPr>
        <w:pStyle w:val="ListParagraph"/>
        <w:rPr>
          <w:rFonts w:ascii="Book Antiqua" w:hAnsi="Book Antiqua"/>
        </w:rPr>
      </w:pPr>
    </w:p>
    <w:p w14:paraId="7E24E76D" w14:textId="77777777" w:rsidR="00936B0A" w:rsidRPr="00EC0C7F" w:rsidRDefault="00EC0C7F" w:rsidP="00EC0C7F">
      <w:pPr>
        <w:numPr>
          <w:ilvl w:val="0"/>
          <w:numId w:val="1"/>
        </w:numPr>
        <w:tabs>
          <w:tab w:val="clear" w:pos="927"/>
          <w:tab w:val="left" w:pos="426"/>
          <w:tab w:val="num" w:pos="851"/>
        </w:tabs>
        <w:ind w:left="426" w:hanging="426"/>
        <w:jc w:val="both"/>
        <w:rPr>
          <w:rFonts w:ascii="Book Antiqua" w:hAnsi="Book Antiqua"/>
        </w:rPr>
      </w:pPr>
      <w:r w:rsidRPr="00EC0C7F">
        <w:rPr>
          <w:rFonts w:ascii="Book Antiqua" w:hAnsi="Book Antiqua"/>
        </w:rPr>
        <w:t xml:space="preserve">In </w:t>
      </w:r>
      <w:proofErr w:type="spellStart"/>
      <w:r w:rsidRPr="00EC0C7F">
        <w:rPr>
          <w:rFonts w:ascii="Book Antiqua" w:hAnsi="Book Antiqua"/>
          <w:i/>
        </w:rPr>
        <w:t>Nwaigwe</w:t>
      </w:r>
      <w:proofErr w:type="spellEnd"/>
      <w:r w:rsidRPr="00EC0C7F">
        <w:rPr>
          <w:rFonts w:ascii="Book Antiqua" w:hAnsi="Book Antiqua"/>
        </w:rPr>
        <w:t xml:space="preserve"> [2014] UKUT 00418 (IAC) the Upper Tribunal cited </w:t>
      </w:r>
      <w:r w:rsidRPr="00EC0C7F">
        <w:rPr>
          <w:rFonts w:ascii="Book Antiqua" w:hAnsi="Book Antiqua"/>
          <w:i/>
        </w:rPr>
        <w:t>SH (Afghanistan)</w:t>
      </w:r>
      <w:r w:rsidRPr="00EC0C7F">
        <w:rPr>
          <w:rFonts w:ascii="Book Antiqua" w:hAnsi="Book Antiqua"/>
        </w:rPr>
        <w:t xml:space="preserve"> [2011] EWCA </w:t>
      </w:r>
      <w:proofErr w:type="spellStart"/>
      <w:r w:rsidRPr="00EC0C7F">
        <w:rPr>
          <w:rFonts w:ascii="Book Antiqua" w:hAnsi="Book Antiqua"/>
        </w:rPr>
        <w:t>Civ</w:t>
      </w:r>
      <w:proofErr w:type="spellEnd"/>
      <w:r w:rsidRPr="00EC0C7F">
        <w:rPr>
          <w:rFonts w:ascii="Book Antiqua" w:hAnsi="Book Antiqua"/>
        </w:rPr>
        <w:t xml:space="preserve"> 1284 for the proposition that fairness generally was to be assessed by the court or tribunal directly, on appeal without deference to public law notions of relevancy or rationality. I accordingly review the adjournment question with that enjoinder in mind. </w:t>
      </w:r>
      <w:r>
        <w:rPr>
          <w:rFonts w:ascii="Book Antiqua" w:hAnsi="Book Antiqua"/>
        </w:rPr>
        <w:t xml:space="preserve">The Tribunal also noted that </w:t>
      </w:r>
      <w:r w:rsidRPr="00EC0C7F">
        <w:rPr>
          <w:rFonts w:ascii="Book Antiqua" w:hAnsi="Book Antiqua"/>
          <w:iCs/>
        </w:rPr>
        <w:t xml:space="preserve">adjournment </w:t>
      </w:r>
      <w:r w:rsidR="003542A7">
        <w:rPr>
          <w:rFonts w:ascii="Book Antiqua" w:hAnsi="Book Antiqua"/>
          <w:iCs/>
        </w:rPr>
        <w:t>refusals could be assaulted on public law grounds such as</w:t>
      </w:r>
      <w:r w:rsidRPr="00EC0C7F">
        <w:rPr>
          <w:rFonts w:ascii="Book Antiqua" w:hAnsi="Book Antiqua"/>
          <w:iCs/>
        </w:rPr>
        <w:t xml:space="preserve"> a failure to take into acco</w:t>
      </w:r>
      <w:r w:rsidR="003542A7">
        <w:rPr>
          <w:rFonts w:ascii="Book Antiqua" w:hAnsi="Book Antiqua"/>
          <w:iCs/>
        </w:rPr>
        <w:t>unt all material considerations,</w:t>
      </w:r>
      <w:r w:rsidRPr="00EC0C7F">
        <w:rPr>
          <w:rFonts w:ascii="Book Antiqua" w:hAnsi="Book Antiqua"/>
          <w:iCs/>
        </w:rPr>
        <w:t xml:space="preserve"> permitting immaterial considerations to intrude</w:t>
      </w:r>
      <w:r w:rsidR="003542A7">
        <w:rPr>
          <w:rFonts w:ascii="Book Antiqua" w:hAnsi="Book Antiqua"/>
          <w:iCs/>
        </w:rPr>
        <w:t xml:space="preserve">, </w:t>
      </w:r>
      <w:r w:rsidRPr="00EC0C7F">
        <w:rPr>
          <w:rFonts w:ascii="Book Antiqua" w:hAnsi="Book Antiqua"/>
          <w:iCs/>
        </w:rPr>
        <w:t>failing to apply the correct test</w:t>
      </w:r>
      <w:r w:rsidR="003542A7">
        <w:rPr>
          <w:rFonts w:ascii="Book Antiqua" w:hAnsi="Book Antiqua"/>
          <w:iCs/>
        </w:rPr>
        <w:t xml:space="preserve">, </w:t>
      </w:r>
      <w:r w:rsidRPr="00EC0C7F">
        <w:rPr>
          <w:rFonts w:ascii="Book Antiqua" w:hAnsi="Book Antiqua"/>
          <w:iCs/>
        </w:rPr>
        <w:t xml:space="preserve">and acting irrationally.  </w:t>
      </w:r>
      <w:r w:rsidR="003542A7">
        <w:rPr>
          <w:rFonts w:ascii="Book Antiqua" w:hAnsi="Book Antiqua"/>
          <w:iCs/>
        </w:rPr>
        <w:t>However, i</w:t>
      </w:r>
      <w:r w:rsidRPr="00EC0C7F">
        <w:rPr>
          <w:rFonts w:ascii="Book Antiqua" w:hAnsi="Book Antiqua"/>
          <w:iCs/>
        </w:rPr>
        <w:t xml:space="preserve">n practice most cases </w:t>
      </w:r>
      <w:r w:rsidR="003542A7">
        <w:rPr>
          <w:rFonts w:ascii="Book Antiqua" w:hAnsi="Book Antiqua"/>
          <w:iCs/>
        </w:rPr>
        <w:t xml:space="preserve">will raise the issue of whether the </w:t>
      </w:r>
      <w:r w:rsidRPr="00EC0C7F">
        <w:rPr>
          <w:rFonts w:ascii="Book Antiqua" w:hAnsi="Book Antiqua"/>
          <w:iCs/>
        </w:rPr>
        <w:t>refusal deprived the affected party of his right to a fair hearing.</w:t>
      </w:r>
      <w:r w:rsidRPr="00EC0C7F">
        <w:rPr>
          <w:rFonts w:ascii="Book Antiqua" w:hAnsi="Book Antiqua"/>
          <w:i/>
          <w:iCs/>
        </w:rPr>
        <w:t> </w:t>
      </w:r>
    </w:p>
    <w:p w14:paraId="68CF3EC6" w14:textId="77777777" w:rsidR="00EC0C7F" w:rsidRDefault="00EC0C7F" w:rsidP="00EC0C7F">
      <w:pPr>
        <w:pStyle w:val="ListParagraph"/>
        <w:rPr>
          <w:rFonts w:ascii="Book Antiqua" w:hAnsi="Book Antiqua"/>
        </w:rPr>
      </w:pPr>
    </w:p>
    <w:p w14:paraId="71A82DA2" w14:textId="77777777" w:rsidR="00EC0C7F" w:rsidRDefault="00EC0C7F" w:rsidP="00EC0C7F">
      <w:pPr>
        <w:numPr>
          <w:ilvl w:val="0"/>
          <w:numId w:val="1"/>
        </w:numPr>
        <w:tabs>
          <w:tab w:val="clear" w:pos="927"/>
          <w:tab w:val="left" w:pos="426"/>
          <w:tab w:val="num" w:pos="851"/>
        </w:tabs>
        <w:ind w:left="426" w:hanging="426"/>
        <w:jc w:val="both"/>
        <w:rPr>
          <w:rFonts w:ascii="Book Antiqua" w:hAnsi="Book Antiqua"/>
        </w:rPr>
      </w:pPr>
      <w:r>
        <w:rPr>
          <w:rFonts w:ascii="Book Antiqua" w:hAnsi="Book Antiqua"/>
        </w:rPr>
        <w:t xml:space="preserve">However, this is not an appeal where there appears to have been any material unfairness. There was a debate before me, in which even the Appellant himself at one point participated (stating that he had been told </w:t>
      </w:r>
      <w:proofErr w:type="gramStart"/>
      <w:r>
        <w:rPr>
          <w:rFonts w:ascii="Book Antiqua" w:hAnsi="Book Antiqua"/>
        </w:rPr>
        <w:t>by  his</w:t>
      </w:r>
      <w:proofErr w:type="gramEnd"/>
      <w:r>
        <w:rPr>
          <w:rFonts w:ascii="Book Antiqua" w:hAnsi="Book Antiqua"/>
        </w:rPr>
        <w:t xml:space="preserve"> own Probation Officer that reports would only be issued at the instance of the Secretary of State), as to upon whom responsibility lay for obtaining the missing documents. Mr </w:t>
      </w:r>
      <w:proofErr w:type="spellStart"/>
      <w:r>
        <w:rPr>
          <w:rFonts w:ascii="Book Antiqua" w:hAnsi="Book Antiqua"/>
        </w:rPr>
        <w:t>Tufan</w:t>
      </w:r>
      <w:proofErr w:type="spellEnd"/>
      <w:r>
        <w:rPr>
          <w:rFonts w:ascii="Book Antiqua" w:hAnsi="Book Antiqua"/>
        </w:rPr>
        <w:t xml:space="preserve"> was adamant that the Secretary of State was not permitted to obtain Probation Service reports of his own motion. Mr Khan stated that his own experience was that the Secretary of State routinely produced these reports from his own custody. </w:t>
      </w:r>
    </w:p>
    <w:p w14:paraId="5BEB9BC8" w14:textId="77777777" w:rsidR="00EC0C7F" w:rsidRDefault="00EC0C7F" w:rsidP="00EC0C7F">
      <w:pPr>
        <w:pStyle w:val="ListParagraph"/>
        <w:rPr>
          <w:rFonts w:ascii="Book Antiqua" w:hAnsi="Book Antiqua"/>
        </w:rPr>
      </w:pPr>
    </w:p>
    <w:p w14:paraId="78C43247" w14:textId="77777777" w:rsidR="00EC0C7F" w:rsidRDefault="00EC0C7F" w:rsidP="00EC0C7F">
      <w:pPr>
        <w:numPr>
          <w:ilvl w:val="0"/>
          <w:numId w:val="1"/>
        </w:numPr>
        <w:tabs>
          <w:tab w:val="clear" w:pos="927"/>
          <w:tab w:val="left" w:pos="426"/>
          <w:tab w:val="num" w:pos="851"/>
        </w:tabs>
        <w:ind w:left="426" w:hanging="426"/>
        <w:jc w:val="both"/>
        <w:rPr>
          <w:rFonts w:ascii="Book Antiqua" w:hAnsi="Book Antiqua"/>
        </w:rPr>
      </w:pPr>
      <w:r>
        <w:rPr>
          <w:rFonts w:ascii="Book Antiqua" w:hAnsi="Book Antiqua"/>
        </w:rPr>
        <w:t xml:space="preserve">I am not satisfied on the material to which I was directed at the hearing that adequate attempts had been made to obtain the material on the Appellant's behalf. It may be that his probation officer was under </w:t>
      </w:r>
      <w:r w:rsidR="003542A7">
        <w:rPr>
          <w:rFonts w:ascii="Book Antiqua" w:hAnsi="Book Antiqua"/>
        </w:rPr>
        <w:t xml:space="preserve">some </w:t>
      </w:r>
      <w:r>
        <w:rPr>
          <w:rFonts w:ascii="Book Antiqua" w:hAnsi="Book Antiqua"/>
        </w:rPr>
        <w:t xml:space="preserve">misapprehension as </w:t>
      </w:r>
      <w:r w:rsidR="003542A7">
        <w:rPr>
          <w:rFonts w:ascii="Book Antiqua" w:hAnsi="Book Antiqua"/>
        </w:rPr>
        <w:t xml:space="preserve">to </w:t>
      </w:r>
      <w:r>
        <w:rPr>
          <w:rFonts w:ascii="Book Antiqua" w:hAnsi="Book Antiqua"/>
        </w:rPr>
        <w:t>the appropriate process, but I have not seen any sustained effort by his representative to resolve matters</w:t>
      </w:r>
      <w:r w:rsidR="003542A7">
        <w:rPr>
          <w:rFonts w:ascii="Book Antiqua" w:hAnsi="Book Antiqua"/>
        </w:rPr>
        <w:t xml:space="preserve">. One would expect to see </w:t>
      </w:r>
      <w:r>
        <w:rPr>
          <w:rFonts w:ascii="Book Antiqua" w:hAnsi="Book Antiqua"/>
        </w:rPr>
        <w:t>letters copied both to the Secretary of State and Probation Service</w:t>
      </w:r>
      <w:r w:rsidR="003542A7">
        <w:rPr>
          <w:rFonts w:ascii="Book Antiqua" w:hAnsi="Book Antiqua"/>
        </w:rPr>
        <w:t>, making it clear that wherever the fault lay, it was not at the door of the Appellant</w:t>
      </w:r>
      <w:r>
        <w:rPr>
          <w:rFonts w:ascii="Book Antiqua" w:hAnsi="Book Antiqua"/>
        </w:rPr>
        <w:t>.</w:t>
      </w:r>
      <w:r w:rsidR="003542A7">
        <w:rPr>
          <w:rFonts w:ascii="Book Antiqua" w:hAnsi="Book Antiqua"/>
        </w:rPr>
        <w:t xml:space="preserve"> </w:t>
      </w:r>
      <w:proofErr w:type="gramStart"/>
      <w:r w:rsidR="003542A7">
        <w:rPr>
          <w:rFonts w:ascii="Book Antiqua" w:hAnsi="Book Antiqua"/>
        </w:rPr>
        <w:t>However</w:t>
      </w:r>
      <w:proofErr w:type="gramEnd"/>
      <w:r w:rsidR="003542A7">
        <w:rPr>
          <w:rFonts w:ascii="Book Antiqua" w:hAnsi="Book Antiqua"/>
        </w:rPr>
        <w:t xml:space="preserve"> no such letters were drawn to my attention. </w:t>
      </w:r>
    </w:p>
    <w:p w14:paraId="19C9B9D8" w14:textId="77777777" w:rsidR="00EC0C7F" w:rsidRDefault="00EC0C7F" w:rsidP="00EC0C7F">
      <w:pPr>
        <w:pStyle w:val="ListParagraph"/>
        <w:rPr>
          <w:rFonts w:ascii="Book Antiqua" w:hAnsi="Book Antiqua"/>
        </w:rPr>
      </w:pPr>
    </w:p>
    <w:p w14:paraId="6AEB443F" w14:textId="77777777" w:rsidR="00B54AA3" w:rsidRPr="00B54AA3" w:rsidRDefault="00EC0C7F" w:rsidP="00B54AA3">
      <w:pPr>
        <w:numPr>
          <w:ilvl w:val="0"/>
          <w:numId w:val="1"/>
        </w:numPr>
        <w:tabs>
          <w:tab w:val="clear" w:pos="927"/>
          <w:tab w:val="left" w:pos="426"/>
          <w:tab w:val="num" w:pos="851"/>
        </w:tabs>
        <w:ind w:left="426" w:hanging="426"/>
        <w:jc w:val="both"/>
        <w:rPr>
          <w:rFonts w:ascii="Book Antiqua" w:hAnsi="Book Antiqua"/>
        </w:rPr>
      </w:pPr>
      <w:r>
        <w:rPr>
          <w:rFonts w:ascii="Book Antiqua" w:hAnsi="Book Antiqua"/>
        </w:rPr>
        <w:t xml:space="preserve">Furthermore, given no reports have been produced even now, it is not possible to be satisfied that any </w:t>
      </w:r>
      <w:r w:rsidRPr="00EC0C7F">
        <w:rPr>
          <w:rFonts w:ascii="Book Antiqua" w:hAnsi="Book Antiqua"/>
          <w:i/>
        </w:rPr>
        <w:t>material</w:t>
      </w:r>
      <w:r>
        <w:rPr>
          <w:rFonts w:ascii="Book Antiqua" w:hAnsi="Book Antiqua"/>
        </w:rPr>
        <w:t xml:space="preserve"> unfairness has been suffered by the Appellant. The assessment by the First-tier Tribunal that his offending history was getting worse </w:t>
      </w:r>
      <w:r w:rsidR="00941611">
        <w:rPr>
          <w:rFonts w:ascii="Book Antiqua" w:hAnsi="Book Antiqua"/>
        </w:rPr>
        <w:t xml:space="preserve">rather </w:t>
      </w:r>
      <w:r>
        <w:rPr>
          <w:rFonts w:ascii="Book Antiqua" w:hAnsi="Book Antiqua"/>
        </w:rPr>
        <w:t xml:space="preserve">than better was inevitable given the trajectory of his convictions, and the inconsistencies it identified as to his evidence of rehabilitation and genuine remorse certainly justified a finding that he might well pose a future risk of offending, given the nature of the index offence.   </w:t>
      </w:r>
      <w:r w:rsidR="00941611">
        <w:rPr>
          <w:rFonts w:ascii="Book Antiqua" w:hAnsi="Book Antiqua" w:cs="Arial"/>
        </w:rPr>
        <w:t xml:space="preserve">Reports such as OASys reports are undoubtedly important documents where they are available, but I do not consider that their unavailability for an indefinite period can prevent the determination of an appeal on deportation grounds. </w:t>
      </w:r>
      <w:r w:rsidR="00B54AA3">
        <w:rPr>
          <w:rFonts w:ascii="Book Antiqua" w:hAnsi="Book Antiqua" w:cs="Arial"/>
        </w:rPr>
        <w:t>Besides, evidence of reoffending risks is only a modest aspect of the overall enquiry: a</w:t>
      </w:r>
      <w:r w:rsidR="00B54AA3">
        <w:rPr>
          <w:rFonts w:ascii="Book Antiqua" w:hAnsi="Book Antiqua"/>
        </w:rPr>
        <w:t xml:space="preserve">s </w:t>
      </w:r>
      <w:r w:rsidR="00B54AA3" w:rsidRPr="00B54AA3">
        <w:rPr>
          <w:rFonts w:ascii="Book Antiqua" w:hAnsi="Book Antiqua" w:cs="Arial"/>
        </w:rPr>
        <w:t xml:space="preserve">Macfarlane LJ </w:t>
      </w:r>
      <w:r w:rsidR="00B54AA3">
        <w:rPr>
          <w:rFonts w:ascii="Book Antiqua" w:hAnsi="Book Antiqua" w:cs="Arial"/>
        </w:rPr>
        <w:t xml:space="preserve">stated </w:t>
      </w:r>
      <w:r w:rsidR="00B54AA3" w:rsidRPr="00B54AA3">
        <w:rPr>
          <w:rFonts w:ascii="Book Antiqua" w:hAnsi="Book Antiqua" w:cs="Arial"/>
        </w:rPr>
        <w:t xml:space="preserve">in </w:t>
      </w:r>
      <w:r w:rsidR="00B54AA3" w:rsidRPr="00B54AA3">
        <w:rPr>
          <w:rFonts w:ascii="Book Antiqua" w:hAnsi="Book Antiqua" w:cs="Arial"/>
          <w:i/>
        </w:rPr>
        <w:t>VC (Sri Lanka</w:t>
      </w:r>
      <w:r w:rsidR="00B54AA3" w:rsidRPr="00B54AA3">
        <w:rPr>
          <w:rFonts w:ascii="Book Antiqua" w:hAnsi="Book Antiqua" w:cs="Arial"/>
        </w:rPr>
        <w:t xml:space="preserve">) [2017] EWCA </w:t>
      </w:r>
      <w:proofErr w:type="spellStart"/>
      <w:r w:rsidR="00B54AA3" w:rsidRPr="00B54AA3">
        <w:rPr>
          <w:rFonts w:ascii="Book Antiqua" w:hAnsi="Book Antiqua" w:cs="Arial"/>
        </w:rPr>
        <w:t>Civ</w:t>
      </w:r>
      <w:proofErr w:type="spellEnd"/>
      <w:r w:rsidR="00B54AA3" w:rsidRPr="00B54AA3">
        <w:rPr>
          <w:rFonts w:ascii="Book Antiqua" w:hAnsi="Book Antiqua" w:cs="Arial"/>
        </w:rPr>
        <w:t xml:space="preserve"> 1967</w:t>
      </w:r>
      <w:r w:rsidR="00B54AA3">
        <w:rPr>
          <w:rFonts w:ascii="Book Antiqua" w:hAnsi="Book Antiqua" w:cs="Arial"/>
        </w:rPr>
        <w:t xml:space="preserve"> §47:</w:t>
      </w:r>
      <w:r w:rsidR="00B54AA3" w:rsidRPr="00B54AA3">
        <w:rPr>
          <w:rFonts w:ascii="Book Antiqua" w:hAnsi="Book Antiqua" w:cs="Arial"/>
        </w:rPr>
        <w:t xml:space="preserve"> </w:t>
      </w:r>
    </w:p>
    <w:p w14:paraId="229706F8" w14:textId="77777777" w:rsidR="005334A2" w:rsidRPr="00C74962" w:rsidRDefault="00B54AA3" w:rsidP="00C74962">
      <w:pPr>
        <w:tabs>
          <w:tab w:val="left" w:pos="426"/>
        </w:tabs>
        <w:spacing w:before="120" w:after="120"/>
        <w:ind w:left="1134" w:right="567"/>
        <w:jc w:val="both"/>
        <w:rPr>
          <w:rFonts w:ascii="Book Antiqua" w:hAnsi="Book Antiqua" w:cs="Arial"/>
          <w:sz w:val="22"/>
        </w:rPr>
      </w:pPr>
      <w:r w:rsidRPr="00C74962">
        <w:rPr>
          <w:rFonts w:ascii="Book Antiqua" w:hAnsi="Book Antiqua" w:cs="Arial"/>
          <w:sz w:val="22"/>
        </w:rPr>
        <w:t>“A lack of re-offending behaviour will, in cases that would otherwise qualify for deportation as a foreign criminal under the rules, carry little weight …”</w:t>
      </w:r>
    </w:p>
    <w:p w14:paraId="092322C5" w14:textId="77777777" w:rsidR="003542A7" w:rsidRPr="00936B0A" w:rsidRDefault="00B54AA3" w:rsidP="003542A7">
      <w:pPr>
        <w:numPr>
          <w:ilvl w:val="0"/>
          <w:numId w:val="1"/>
        </w:numPr>
        <w:tabs>
          <w:tab w:val="clear" w:pos="927"/>
          <w:tab w:val="left" w:pos="426"/>
          <w:tab w:val="num" w:pos="851"/>
        </w:tabs>
        <w:ind w:left="426" w:hanging="426"/>
        <w:jc w:val="both"/>
        <w:rPr>
          <w:rFonts w:ascii="Book Antiqua" w:hAnsi="Book Antiqua"/>
        </w:rPr>
      </w:pPr>
      <w:r>
        <w:rPr>
          <w:rFonts w:ascii="Book Antiqua" w:hAnsi="Book Antiqua"/>
        </w:rPr>
        <w:t xml:space="preserve">I move </w:t>
      </w:r>
      <w:r w:rsidR="003542A7">
        <w:rPr>
          <w:rFonts w:ascii="Book Antiqua" w:hAnsi="Book Antiqua"/>
        </w:rPr>
        <w:t xml:space="preserve">on to </w:t>
      </w:r>
      <w:r>
        <w:rPr>
          <w:rFonts w:ascii="Book Antiqua" w:hAnsi="Book Antiqua"/>
        </w:rPr>
        <w:t xml:space="preserve">consider </w:t>
      </w:r>
      <w:r w:rsidR="003542A7">
        <w:rPr>
          <w:rFonts w:ascii="Book Antiqua" w:hAnsi="Book Antiqua"/>
        </w:rPr>
        <w:t xml:space="preserve">the </w:t>
      </w:r>
      <w:r>
        <w:rPr>
          <w:rFonts w:ascii="Book Antiqua" w:hAnsi="Book Antiqua"/>
        </w:rPr>
        <w:t xml:space="preserve">challenge to the </w:t>
      </w:r>
      <w:r w:rsidR="003542A7">
        <w:rPr>
          <w:rFonts w:ascii="Book Antiqua" w:hAnsi="Book Antiqua"/>
        </w:rPr>
        <w:t>substantive decision</w:t>
      </w:r>
      <w:r>
        <w:rPr>
          <w:rFonts w:ascii="Book Antiqua" w:hAnsi="Book Antiqua"/>
        </w:rPr>
        <w:t xml:space="preserve"> below. </w:t>
      </w:r>
    </w:p>
    <w:p w14:paraId="23F992D2" w14:textId="77777777" w:rsidR="003542A7" w:rsidRDefault="003542A7" w:rsidP="005334A2">
      <w:pPr>
        <w:pStyle w:val="ListParagraph"/>
        <w:rPr>
          <w:rFonts w:ascii="Book Antiqua" w:hAnsi="Book Antiqua" w:cs="Arial"/>
        </w:rPr>
      </w:pPr>
    </w:p>
    <w:p w14:paraId="38823F0F" w14:textId="77777777" w:rsidR="005334A2" w:rsidRDefault="005334A2" w:rsidP="005334A2">
      <w:pPr>
        <w:numPr>
          <w:ilvl w:val="0"/>
          <w:numId w:val="1"/>
        </w:numPr>
        <w:tabs>
          <w:tab w:val="clear" w:pos="927"/>
          <w:tab w:val="left" w:pos="426"/>
          <w:tab w:val="num" w:pos="851"/>
        </w:tabs>
        <w:ind w:left="426" w:hanging="426"/>
        <w:jc w:val="both"/>
        <w:rPr>
          <w:rFonts w:ascii="Book Antiqua" w:hAnsi="Book Antiqua"/>
        </w:rPr>
      </w:pPr>
      <w:r>
        <w:rPr>
          <w:rFonts w:ascii="Book Antiqua" w:hAnsi="Book Antiqua" w:cs="Arial"/>
        </w:rPr>
        <w:t>The Immigration Rules lay down two routes by which deportation might be resisted for a person sentenced to between one and four years’ imprisonment. There are then specific thresholds to be met depending on whether there is a relationship with a relevant child, family life with a partner, or private life. There is t</w:t>
      </w:r>
      <w:r w:rsidRPr="005334A2">
        <w:rPr>
          <w:rFonts w:ascii="Book Antiqua" w:hAnsi="Book Antiqua" w:cs="Arial"/>
        </w:rPr>
        <w:t>he partner route</w:t>
      </w:r>
      <w:r>
        <w:rPr>
          <w:rFonts w:ascii="Book Antiqua" w:hAnsi="Book Antiqua" w:cs="Arial"/>
        </w:rPr>
        <w:t xml:space="preserve"> by which </w:t>
      </w:r>
      <w:r w:rsidRPr="005334A2">
        <w:rPr>
          <w:rFonts w:ascii="Book Antiqua" w:hAnsi="Book Antiqua" w:cs="Arial"/>
        </w:rPr>
        <w:t>family life is established via a genuine and subsisting relationship with a British citizen or settled partner (r399(b)):</w:t>
      </w:r>
    </w:p>
    <w:p w14:paraId="3119C235" w14:textId="77777777" w:rsidR="00435547" w:rsidRDefault="005334A2" w:rsidP="00C74962">
      <w:pPr>
        <w:pStyle w:val="ListParagraph"/>
        <w:numPr>
          <w:ilvl w:val="0"/>
          <w:numId w:val="5"/>
        </w:numPr>
        <w:tabs>
          <w:tab w:val="left" w:pos="567"/>
        </w:tabs>
        <w:spacing w:before="120" w:after="120"/>
        <w:ind w:left="1701" w:hanging="567"/>
        <w:jc w:val="both"/>
        <w:rPr>
          <w:rFonts w:ascii="Book Antiqua" w:hAnsi="Book Antiqua" w:cs="Arial"/>
        </w:rPr>
      </w:pPr>
      <w:r w:rsidRPr="005334A2">
        <w:rPr>
          <w:rFonts w:ascii="Book Antiqua" w:hAnsi="Book Antiqua" w:cs="Arial"/>
        </w:rPr>
        <w:t>where the relationship was formed at a time when the deportee was in the UK lawfully and their immigr</w:t>
      </w:r>
      <w:r w:rsidR="00435547">
        <w:rPr>
          <w:rFonts w:ascii="Book Antiqua" w:hAnsi="Book Antiqua" w:cs="Arial"/>
        </w:rPr>
        <w:t>ation status was not precarious</w:t>
      </w:r>
    </w:p>
    <w:p w14:paraId="56AF4157" w14:textId="77777777" w:rsidR="005334A2" w:rsidRPr="005334A2" w:rsidRDefault="005334A2" w:rsidP="00C74962">
      <w:pPr>
        <w:pStyle w:val="ListParagraph"/>
        <w:numPr>
          <w:ilvl w:val="0"/>
          <w:numId w:val="5"/>
        </w:numPr>
        <w:tabs>
          <w:tab w:val="left" w:pos="567"/>
        </w:tabs>
        <w:spacing w:before="120" w:after="120"/>
        <w:ind w:left="1701" w:hanging="567"/>
        <w:jc w:val="both"/>
        <w:rPr>
          <w:rFonts w:ascii="Book Antiqua" w:hAnsi="Book Antiqua" w:cs="Arial"/>
        </w:rPr>
      </w:pPr>
      <w:r w:rsidRPr="005334A2">
        <w:rPr>
          <w:rFonts w:ascii="Book Antiqua" w:hAnsi="Book Antiqua" w:cs="Arial"/>
        </w:rPr>
        <w:t>where it would be unduly harsh for their partner to live with the deportee abroad or without them in the UK, because of compelling circumstances over and above the Appendix FM level as expressed in EX.2, i.e. exceeding “very significant difficulties/very serious hardship</w:t>
      </w:r>
      <w:r>
        <w:rPr>
          <w:rFonts w:ascii="Book Antiqua" w:hAnsi="Book Antiqua" w:cs="Arial"/>
        </w:rPr>
        <w:t>.</w:t>
      </w:r>
      <w:r w:rsidRPr="005334A2">
        <w:rPr>
          <w:rFonts w:ascii="Book Antiqua" w:hAnsi="Book Antiqua" w:cs="Arial"/>
        </w:rPr>
        <w:t xml:space="preserve">” </w:t>
      </w:r>
    </w:p>
    <w:p w14:paraId="3C66EBBE" w14:textId="77777777" w:rsidR="00435547" w:rsidRPr="00435547" w:rsidRDefault="005334A2" w:rsidP="005334A2">
      <w:pPr>
        <w:numPr>
          <w:ilvl w:val="0"/>
          <w:numId w:val="1"/>
        </w:numPr>
        <w:tabs>
          <w:tab w:val="clear" w:pos="927"/>
          <w:tab w:val="left" w:pos="426"/>
          <w:tab w:val="num" w:pos="851"/>
        </w:tabs>
        <w:ind w:left="426" w:hanging="426"/>
        <w:jc w:val="both"/>
        <w:rPr>
          <w:rFonts w:ascii="Book Antiqua" w:hAnsi="Book Antiqua"/>
        </w:rPr>
      </w:pPr>
      <w:r w:rsidRPr="005334A2">
        <w:rPr>
          <w:rFonts w:ascii="Book Antiqua" w:hAnsi="Book Antiqua" w:cs="Arial"/>
        </w:rPr>
        <w:lastRenderedPageBreak/>
        <w:t xml:space="preserve">It was </w:t>
      </w:r>
      <w:r w:rsidR="00941611">
        <w:rPr>
          <w:rFonts w:ascii="Book Antiqua" w:hAnsi="Book Antiqua" w:cs="Arial"/>
        </w:rPr>
        <w:t>unsurprisingl</w:t>
      </w:r>
      <w:r w:rsidRPr="005334A2">
        <w:rPr>
          <w:rFonts w:ascii="Book Antiqua" w:hAnsi="Book Antiqua" w:cs="Arial"/>
        </w:rPr>
        <w:t xml:space="preserve">y conceded below and before me that the kind of relationship </w:t>
      </w:r>
      <w:r>
        <w:rPr>
          <w:rFonts w:ascii="Book Antiqua" w:hAnsi="Book Antiqua" w:cs="Arial"/>
        </w:rPr>
        <w:t xml:space="preserve">between the Appellant and his girlfriend, however devoted they might be to one another, </w:t>
      </w:r>
      <w:r w:rsidR="00435547">
        <w:rPr>
          <w:rFonts w:ascii="Book Antiqua" w:hAnsi="Book Antiqua" w:cs="Arial"/>
        </w:rPr>
        <w:t xml:space="preserve">was not one where either their </w:t>
      </w:r>
      <w:r w:rsidR="006A47F0">
        <w:rPr>
          <w:rFonts w:ascii="Book Antiqua" w:hAnsi="Book Antiqua" w:cs="Arial"/>
        </w:rPr>
        <w:t xml:space="preserve">enforced </w:t>
      </w:r>
      <w:r w:rsidR="00435547">
        <w:rPr>
          <w:rFonts w:ascii="Book Antiqua" w:hAnsi="Book Antiqua" w:cs="Arial"/>
        </w:rPr>
        <w:t xml:space="preserve">separation or their joint departure to Bangladesh </w:t>
      </w:r>
      <w:r w:rsidRPr="005334A2">
        <w:rPr>
          <w:rFonts w:ascii="Book Antiqua" w:hAnsi="Book Antiqua" w:cs="Arial"/>
        </w:rPr>
        <w:t xml:space="preserve">could reach </w:t>
      </w:r>
      <w:r w:rsidR="00435547">
        <w:rPr>
          <w:rFonts w:ascii="Book Antiqua" w:hAnsi="Book Antiqua" w:cs="Arial"/>
        </w:rPr>
        <w:t>th</w:t>
      </w:r>
      <w:r w:rsidR="006A47F0">
        <w:rPr>
          <w:rFonts w:ascii="Book Antiqua" w:hAnsi="Book Antiqua" w:cs="Arial"/>
        </w:rPr>
        <w:t>is</w:t>
      </w:r>
      <w:r w:rsidR="00435547">
        <w:rPr>
          <w:rFonts w:ascii="Book Antiqua" w:hAnsi="Book Antiqua" w:cs="Arial"/>
        </w:rPr>
        <w:t xml:space="preserve"> highly elevated </w:t>
      </w:r>
      <w:r w:rsidRPr="005334A2">
        <w:rPr>
          <w:rFonts w:ascii="Book Antiqua" w:hAnsi="Book Antiqua" w:cs="Arial"/>
        </w:rPr>
        <w:t xml:space="preserve">level </w:t>
      </w:r>
      <w:r w:rsidR="00435547">
        <w:rPr>
          <w:rFonts w:ascii="Book Antiqua" w:hAnsi="Book Antiqua" w:cs="Arial"/>
        </w:rPr>
        <w:t xml:space="preserve">(of compelling circumstances exceeding very significant difficulties) </w:t>
      </w:r>
      <w:r w:rsidRPr="005334A2">
        <w:rPr>
          <w:rFonts w:ascii="Book Antiqua" w:hAnsi="Book Antiqua" w:cs="Arial"/>
        </w:rPr>
        <w:t xml:space="preserve">on the available evidence. </w:t>
      </w:r>
    </w:p>
    <w:p w14:paraId="536EAC51" w14:textId="77777777" w:rsidR="00435547" w:rsidRPr="00435547" w:rsidRDefault="00435547" w:rsidP="00435547">
      <w:pPr>
        <w:tabs>
          <w:tab w:val="left" w:pos="426"/>
        </w:tabs>
        <w:ind w:left="426"/>
        <w:jc w:val="both"/>
        <w:rPr>
          <w:rFonts w:ascii="Book Antiqua" w:hAnsi="Book Antiqua"/>
        </w:rPr>
      </w:pPr>
    </w:p>
    <w:p w14:paraId="57D58687" w14:textId="77777777" w:rsidR="005334A2" w:rsidRDefault="00435547" w:rsidP="005334A2">
      <w:pPr>
        <w:numPr>
          <w:ilvl w:val="0"/>
          <w:numId w:val="1"/>
        </w:numPr>
        <w:tabs>
          <w:tab w:val="clear" w:pos="927"/>
          <w:tab w:val="left" w:pos="426"/>
          <w:tab w:val="num" w:pos="851"/>
        </w:tabs>
        <w:ind w:left="426" w:hanging="426"/>
        <w:jc w:val="both"/>
        <w:rPr>
          <w:rFonts w:ascii="Book Antiqua" w:hAnsi="Book Antiqua"/>
        </w:rPr>
      </w:pPr>
      <w:r>
        <w:rPr>
          <w:rFonts w:ascii="Book Antiqua" w:hAnsi="Book Antiqua" w:cs="Arial"/>
        </w:rPr>
        <w:t>Qualification for t</w:t>
      </w:r>
      <w:r w:rsidR="005334A2" w:rsidRPr="005334A2">
        <w:rPr>
          <w:rFonts w:ascii="Book Antiqua" w:hAnsi="Book Antiqua" w:cs="Arial"/>
        </w:rPr>
        <w:t xml:space="preserve">he private life route </w:t>
      </w:r>
      <w:r>
        <w:rPr>
          <w:rFonts w:ascii="Book Antiqua" w:hAnsi="Book Antiqua" w:cs="Arial"/>
        </w:rPr>
        <w:t xml:space="preserve">may be </w:t>
      </w:r>
      <w:r w:rsidR="005334A2" w:rsidRPr="005334A2">
        <w:rPr>
          <w:rFonts w:ascii="Book Antiqua" w:hAnsi="Book Antiqua" w:cs="Arial"/>
        </w:rPr>
        <w:t xml:space="preserve">established via (r399A) by showing lawful residence in the UK for most of the deportee’s life, that they are socially and culturally integrated here, and that </w:t>
      </w:r>
      <w:r w:rsidR="005334A2" w:rsidRPr="005334A2">
        <w:rPr>
          <w:rFonts w:ascii="Book Antiqua" w:hAnsi="Book Antiqua"/>
        </w:rPr>
        <w:t>t</w:t>
      </w:r>
      <w:r w:rsidR="005334A2" w:rsidRPr="005334A2">
        <w:rPr>
          <w:rFonts w:ascii="Book Antiqua" w:hAnsi="Book Antiqua" w:cs="Arial"/>
        </w:rPr>
        <w:t xml:space="preserve">here would be very significant obstacles to </w:t>
      </w:r>
      <w:r w:rsidR="006A47F0">
        <w:rPr>
          <w:rFonts w:ascii="Book Antiqua" w:hAnsi="Book Antiqua" w:cs="Arial"/>
        </w:rPr>
        <w:t>their</w:t>
      </w:r>
      <w:r w:rsidR="005334A2" w:rsidRPr="005334A2">
        <w:rPr>
          <w:rFonts w:ascii="Book Antiqua" w:hAnsi="Book Antiqua" w:cs="Arial"/>
        </w:rPr>
        <w:t xml:space="preserve"> integration into the country of return. </w:t>
      </w:r>
      <w:r>
        <w:rPr>
          <w:rFonts w:ascii="Book Antiqua" w:hAnsi="Book Antiqua" w:cs="Arial"/>
        </w:rPr>
        <w:t xml:space="preserve">It was the Appellant's claim below that he could qualify under this route, and before me that the First-tier Tribunal’s adjudication of the question was defective.  </w:t>
      </w:r>
    </w:p>
    <w:p w14:paraId="3596C07C" w14:textId="77777777" w:rsidR="005334A2" w:rsidRDefault="005334A2" w:rsidP="005334A2">
      <w:pPr>
        <w:tabs>
          <w:tab w:val="left" w:pos="426"/>
        </w:tabs>
        <w:ind w:left="426"/>
        <w:jc w:val="both"/>
        <w:rPr>
          <w:rFonts w:ascii="Book Antiqua" w:hAnsi="Book Antiqua"/>
        </w:rPr>
      </w:pPr>
    </w:p>
    <w:p w14:paraId="73632DE9" w14:textId="77777777" w:rsidR="00435547" w:rsidRDefault="00435547" w:rsidP="00435547">
      <w:pPr>
        <w:numPr>
          <w:ilvl w:val="0"/>
          <w:numId w:val="1"/>
        </w:numPr>
        <w:tabs>
          <w:tab w:val="clear" w:pos="927"/>
          <w:tab w:val="left" w:pos="426"/>
          <w:tab w:val="num" w:pos="851"/>
        </w:tabs>
        <w:ind w:left="426" w:hanging="426"/>
        <w:jc w:val="both"/>
        <w:rPr>
          <w:rFonts w:ascii="Book Antiqua" w:hAnsi="Book Antiqua"/>
        </w:rPr>
      </w:pPr>
      <w:r>
        <w:rPr>
          <w:rFonts w:ascii="Book Antiqua" w:hAnsi="Book Antiqua" w:cs="Arial"/>
        </w:rPr>
        <w:t xml:space="preserve">It seems to me that the First-tier Tribunal’s decision on the absence of very significant obstacles to integration was based on a legitimate application of the relevant Rules. </w:t>
      </w:r>
      <w:r w:rsidRPr="00D96630">
        <w:rPr>
          <w:rFonts w:ascii="Book Antiqua" w:hAnsi="Book Antiqua" w:cs="Arial"/>
        </w:rPr>
        <w:t xml:space="preserve">As stated by Sales LJ in </w:t>
      </w:r>
      <w:r w:rsidRPr="00D96630">
        <w:rPr>
          <w:rFonts w:ascii="Book Antiqua" w:hAnsi="Book Antiqua"/>
          <w:i/>
        </w:rPr>
        <w:t>Kamara</w:t>
      </w:r>
      <w:r w:rsidRPr="00D96630">
        <w:rPr>
          <w:rFonts w:ascii="Book Antiqua" w:hAnsi="Book Antiqua"/>
        </w:rPr>
        <w:t xml:space="preserve"> [2016] EWCA </w:t>
      </w:r>
      <w:proofErr w:type="spellStart"/>
      <w:r w:rsidRPr="00D96630">
        <w:rPr>
          <w:rFonts w:ascii="Book Antiqua" w:hAnsi="Book Antiqua"/>
        </w:rPr>
        <w:t>Civ</w:t>
      </w:r>
      <w:proofErr w:type="spellEnd"/>
      <w:r w:rsidRPr="00D96630">
        <w:rPr>
          <w:rFonts w:ascii="Book Antiqua" w:hAnsi="Book Antiqua"/>
        </w:rPr>
        <w:t xml:space="preserve"> 813, the concept of integration </w:t>
      </w:r>
    </w:p>
    <w:p w14:paraId="791B9399" w14:textId="5F4BEE94" w:rsidR="00435547" w:rsidRPr="00C74962" w:rsidRDefault="00435547" w:rsidP="00C74962">
      <w:pPr>
        <w:tabs>
          <w:tab w:val="left" w:pos="284"/>
        </w:tabs>
        <w:spacing w:before="120" w:after="120"/>
        <w:ind w:left="1134" w:right="567"/>
        <w:jc w:val="both"/>
        <w:rPr>
          <w:rFonts w:ascii="Book Antiqua" w:hAnsi="Book Antiqua"/>
          <w:sz w:val="22"/>
        </w:rPr>
      </w:pPr>
      <w:r w:rsidRPr="00C74962">
        <w:rPr>
          <w:rFonts w:ascii="Book Antiqua" w:hAnsi="Book Antiqua"/>
          <w:sz w:val="22"/>
        </w:rPr>
        <w:t>“</w:t>
      </w:r>
      <w:r w:rsidR="00C74962">
        <w:rPr>
          <w:rFonts w:ascii="Book Antiqua" w:hAnsi="Book Antiqua"/>
          <w:sz w:val="22"/>
        </w:rPr>
        <w:t xml:space="preserve">… </w:t>
      </w:r>
      <w:r w:rsidRPr="00C74962">
        <w:rPr>
          <w:rFonts w:ascii="Book Antiqua" w:hAnsi="Book Antiqua"/>
          <w:sz w:val="22"/>
        </w:rPr>
        <w:t>is not confined to the mere ability to find a job or to sustain life while living in the other country. It is not appropriate to treat the statutory language as subject to some gloss and it will usually be sufficient for a court or tribunal simply to direct itself in the terms that Parliament has chosen to use. The idea of "integration" calls for a broad evaluative judgment to be made as to whether the individual will be enough of an insider in terms of understanding how life in the society in that other country is carried on and a capacity to participate in it, so as to have a reasonable opportunity to be accepted there, to be able to operate on a day-to-day basis in that society and to build up within a reasonable time a variety of human relationships to give substance to the individual's private or family life.”</w:t>
      </w:r>
    </w:p>
    <w:p w14:paraId="6A26651D" w14:textId="77777777" w:rsidR="00435547" w:rsidRDefault="00435547" w:rsidP="00435547">
      <w:pPr>
        <w:numPr>
          <w:ilvl w:val="0"/>
          <w:numId w:val="1"/>
        </w:numPr>
        <w:tabs>
          <w:tab w:val="clear" w:pos="927"/>
          <w:tab w:val="left" w:pos="426"/>
          <w:tab w:val="num" w:pos="851"/>
        </w:tabs>
        <w:ind w:left="426" w:hanging="426"/>
        <w:jc w:val="both"/>
        <w:rPr>
          <w:rFonts w:ascii="Book Antiqua" w:hAnsi="Book Antiqua"/>
        </w:rPr>
      </w:pPr>
      <w:r w:rsidRPr="00D96630">
        <w:rPr>
          <w:rFonts w:ascii="Book Antiqua" w:hAnsi="Book Antiqua"/>
        </w:rPr>
        <w:t xml:space="preserve">Moylan LJ stated in </w:t>
      </w:r>
      <w:r w:rsidRPr="00D96630">
        <w:rPr>
          <w:rFonts w:ascii="Book Antiqua" w:hAnsi="Book Antiqua"/>
          <w:i/>
        </w:rPr>
        <w:t>AS</w:t>
      </w:r>
      <w:r w:rsidRPr="00D96630">
        <w:rPr>
          <w:rFonts w:ascii="Book Antiqua" w:hAnsi="Book Antiqua"/>
        </w:rPr>
        <w:t xml:space="preserve"> [2017] EWCA </w:t>
      </w:r>
      <w:proofErr w:type="spellStart"/>
      <w:r w:rsidRPr="00D96630">
        <w:rPr>
          <w:rFonts w:ascii="Book Antiqua" w:hAnsi="Book Antiqua"/>
        </w:rPr>
        <w:t>Civ</w:t>
      </w:r>
      <w:proofErr w:type="spellEnd"/>
      <w:r w:rsidRPr="00D96630">
        <w:rPr>
          <w:rFonts w:ascii="Book Antiqua" w:hAnsi="Book Antiqua"/>
        </w:rPr>
        <w:t xml:space="preserve"> 1284 that “generic” factors such as intelligence, employability and general robustness of character are relevant to the “broad evaluative judgment” required in assessing whether there are very significant obstacles to integration abroad and may demonstrate that the person is “enough of an insider” in the </w:t>
      </w:r>
      <w:r w:rsidRPr="00D96630">
        <w:rPr>
          <w:rFonts w:ascii="Book Antiqua" w:hAnsi="Book Antiqua"/>
          <w:i/>
        </w:rPr>
        <w:t>Kamara</w:t>
      </w:r>
      <w:r w:rsidRPr="00D96630">
        <w:rPr>
          <w:rFonts w:ascii="Book Antiqua" w:hAnsi="Book Antiqua"/>
        </w:rPr>
        <w:t xml:space="preserve"> sense.</w:t>
      </w:r>
      <w:r>
        <w:rPr>
          <w:rFonts w:ascii="Book Antiqua" w:hAnsi="Book Antiqua"/>
        </w:rPr>
        <w:t xml:space="preserve"> These are precisely the kinds of factors to which the First-tier Tribunal understandably attributed significant weight when it referred to the Appellant’s relatively strong foundation, via a supportive family of Bengali origin and his own educational achievements, to make a new life for himself. I do not consider that any material aspect of the Appellant's claim was overlooked, and the reasoning is certainly not irrational or perverse. </w:t>
      </w:r>
    </w:p>
    <w:p w14:paraId="5E01FB93" w14:textId="77777777" w:rsidR="00435547" w:rsidRDefault="00435547" w:rsidP="005334A2">
      <w:pPr>
        <w:tabs>
          <w:tab w:val="left" w:pos="426"/>
        </w:tabs>
        <w:ind w:left="426"/>
        <w:jc w:val="both"/>
        <w:rPr>
          <w:rFonts w:ascii="Book Antiqua" w:hAnsi="Book Antiqua"/>
        </w:rPr>
      </w:pPr>
    </w:p>
    <w:p w14:paraId="0D1D21C7" w14:textId="77777777" w:rsidR="00BB27EE" w:rsidRPr="00BB27EE" w:rsidRDefault="00435547" w:rsidP="00BB27EE">
      <w:pPr>
        <w:numPr>
          <w:ilvl w:val="0"/>
          <w:numId w:val="1"/>
        </w:numPr>
        <w:tabs>
          <w:tab w:val="clear" w:pos="927"/>
          <w:tab w:val="left" w:pos="426"/>
          <w:tab w:val="num" w:pos="851"/>
        </w:tabs>
        <w:ind w:left="426" w:hanging="426"/>
        <w:jc w:val="both"/>
        <w:rPr>
          <w:rFonts w:ascii="Book Antiqua" w:hAnsi="Book Antiqua" w:cs="Arial"/>
        </w:rPr>
      </w:pPr>
      <w:r w:rsidRPr="00435547">
        <w:rPr>
          <w:rFonts w:ascii="Book Antiqua" w:hAnsi="Book Antiqua" w:cs="Arial"/>
        </w:rPr>
        <w:t>T</w:t>
      </w:r>
      <w:r w:rsidR="005334A2" w:rsidRPr="00435547">
        <w:rPr>
          <w:rFonts w:ascii="Book Antiqua" w:hAnsi="Book Antiqua" w:cs="Arial"/>
        </w:rPr>
        <w:t xml:space="preserve">hose who do not qualify for these routes </w:t>
      </w:r>
      <w:r w:rsidRPr="00435547">
        <w:rPr>
          <w:rFonts w:ascii="Book Antiqua" w:hAnsi="Book Antiqua" w:cs="Arial"/>
        </w:rPr>
        <w:t xml:space="preserve">under the Rules </w:t>
      </w:r>
      <w:r w:rsidR="005334A2" w:rsidRPr="00435547">
        <w:rPr>
          <w:rFonts w:ascii="Book Antiqua" w:hAnsi="Book Antiqua" w:cs="Arial"/>
        </w:rPr>
        <w:t>for one reason or another</w:t>
      </w:r>
      <w:r w:rsidRPr="00435547">
        <w:rPr>
          <w:rFonts w:ascii="Book Antiqua" w:hAnsi="Book Antiqua" w:cs="Arial"/>
        </w:rPr>
        <w:t xml:space="preserve"> face </w:t>
      </w:r>
      <w:r w:rsidR="005334A2" w:rsidRPr="00435547">
        <w:rPr>
          <w:rFonts w:ascii="Book Antiqua" w:hAnsi="Book Antiqua" w:cs="Arial"/>
        </w:rPr>
        <w:t xml:space="preserve">a very high </w:t>
      </w:r>
      <w:r w:rsidRPr="00435547">
        <w:rPr>
          <w:rFonts w:ascii="Book Antiqua" w:hAnsi="Book Antiqua" w:cs="Arial"/>
        </w:rPr>
        <w:t xml:space="preserve">residual </w:t>
      </w:r>
      <w:r w:rsidR="005334A2" w:rsidRPr="00435547">
        <w:rPr>
          <w:rFonts w:ascii="Book Antiqua" w:hAnsi="Book Antiqua" w:cs="Arial"/>
        </w:rPr>
        <w:t xml:space="preserve">test </w:t>
      </w:r>
      <w:r w:rsidRPr="00435547">
        <w:rPr>
          <w:rFonts w:ascii="Book Antiqua" w:hAnsi="Book Antiqua" w:cs="Arial"/>
        </w:rPr>
        <w:t xml:space="preserve">if they are </w:t>
      </w:r>
      <w:r w:rsidR="005334A2" w:rsidRPr="00435547">
        <w:rPr>
          <w:rFonts w:ascii="Book Antiqua" w:hAnsi="Book Antiqua" w:cs="Arial"/>
        </w:rPr>
        <w:t>to avoid deportation</w:t>
      </w:r>
      <w:r w:rsidR="00BB27EE">
        <w:rPr>
          <w:rFonts w:ascii="Book Antiqua" w:hAnsi="Book Antiqua" w:cs="Arial"/>
        </w:rPr>
        <w:t xml:space="preserve">. </w:t>
      </w:r>
      <w:r w:rsidR="00BB27EE" w:rsidRPr="00BB27EE">
        <w:rPr>
          <w:rFonts w:ascii="Book Antiqua" w:hAnsi="Book Antiqua" w:cs="Arial"/>
        </w:rPr>
        <w:t xml:space="preserve">This is the same whether the question is posed within or </w:t>
      </w:r>
      <w:proofErr w:type="spellStart"/>
      <w:r w:rsidR="00BB27EE" w:rsidRPr="00BB27EE">
        <w:rPr>
          <w:rFonts w:ascii="Book Antiqua" w:hAnsi="Book Antiqua" w:cs="Arial"/>
        </w:rPr>
        <w:t>outwith</w:t>
      </w:r>
      <w:proofErr w:type="spellEnd"/>
      <w:r w:rsidR="00BB27EE" w:rsidRPr="00BB27EE">
        <w:rPr>
          <w:rFonts w:ascii="Book Antiqua" w:hAnsi="Book Antiqua" w:cs="Arial"/>
        </w:rPr>
        <w:t xml:space="preserve"> the Rules. </w:t>
      </w:r>
      <w:r w:rsidR="00BB27EE">
        <w:rPr>
          <w:rFonts w:ascii="Book Antiqua" w:hAnsi="Book Antiqua" w:cs="Arial"/>
        </w:rPr>
        <w:t>Rule 398 states that “</w:t>
      </w:r>
      <w:r w:rsidR="00BB27EE" w:rsidRPr="00BB27EE">
        <w:rPr>
          <w:rFonts w:ascii="Book Antiqua" w:hAnsi="Book Antiqua" w:cs="Arial"/>
        </w:rPr>
        <w:t>the Secretary of State in assessing that claim will consider whether paragraph 399 or 399A applies and, if it does not, the public interest in deportation will only be outweighed by other factors where there are very compelling circumstances over and above those described in paragraphs 399 and 399A.</w:t>
      </w:r>
      <w:r w:rsidR="00BB27EE">
        <w:rPr>
          <w:rFonts w:ascii="Book Antiqua" w:hAnsi="Book Antiqua" w:cs="Arial"/>
        </w:rPr>
        <w:t xml:space="preserve">” </w:t>
      </w:r>
    </w:p>
    <w:p w14:paraId="31A58DEF" w14:textId="77777777" w:rsidR="00BB27EE" w:rsidRDefault="00BB27EE" w:rsidP="00BB27EE">
      <w:pPr>
        <w:tabs>
          <w:tab w:val="left" w:pos="426"/>
        </w:tabs>
        <w:ind w:left="426"/>
        <w:jc w:val="both"/>
        <w:rPr>
          <w:rFonts w:ascii="Book Antiqua" w:hAnsi="Book Antiqua" w:cs="Arial"/>
        </w:rPr>
      </w:pPr>
    </w:p>
    <w:p w14:paraId="3742DDF8" w14:textId="78F5AF13" w:rsidR="00435547" w:rsidRDefault="00BB27EE" w:rsidP="00435547">
      <w:pPr>
        <w:numPr>
          <w:ilvl w:val="0"/>
          <w:numId w:val="1"/>
        </w:numPr>
        <w:tabs>
          <w:tab w:val="clear" w:pos="927"/>
          <w:tab w:val="left" w:pos="426"/>
          <w:tab w:val="num" w:pos="851"/>
        </w:tabs>
        <w:ind w:left="426" w:hanging="426"/>
        <w:jc w:val="both"/>
        <w:rPr>
          <w:rFonts w:ascii="Book Antiqua" w:hAnsi="Book Antiqua" w:cs="Arial"/>
        </w:rPr>
      </w:pPr>
      <w:r>
        <w:rPr>
          <w:rFonts w:ascii="Book Antiqua" w:hAnsi="Book Antiqua" w:cs="Arial"/>
        </w:rPr>
        <w:lastRenderedPageBreak/>
        <w:t xml:space="preserve">Outside the Rules, </w:t>
      </w:r>
      <w:r w:rsidR="005334A2" w:rsidRPr="00435547">
        <w:rPr>
          <w:rFonts w:ascii="Book Antiqua" w:hAnsi="Book Antiqua" w:cs="Arial"/>
        </w:rPr>
        <w:t xml:space="preserve">the public interest in deportation </w:t>
      </w:r>
      <w:r w:rsidR="006A47F0">
        <w:rPr>
          <w:rFonts w:ascii="Book Antiqua" w:hAnsi="Book Antiqua" w:cs="Arial"/>
        </w:rPr>
        <w:t xml:space="preserve">is expressed by the considerations identified in sections 117C-117D of the NIAA 2002, and </w:t>
      </w:r>
      <w:r w:rsidR="005334A2" w:rsidRPr="00435547">
        <w:rPr>
          <w:rFonts w:ascii="Book Antiqua" w:hAnsi="Book Antiqua" w:cs="Arial"/>
        </w:rPr>
        <w:t>will only be outweighed by other factors where there are very compelling circumstances over and above the three private and family life routes jus</w:t>
      </w:r>
      <w:r w:rsidR="00435547" w:rsidRPr="00435547">
        <w:rPr>
          <w:rFonts w:ascii="Book Antiqua" w:hAnsi="Book Antiqua" w:cs="Arial"/>
        </w:rPr>
        <w:t xml:space="preserve">t described. As stated in </w:t>
      </w:r>
      <w:r w:rsidR="00435547" w:rsidRPr="00435547">
        <w:rPr>
          <w:rFonts w:ascii="Book Antiqua" w:hAnsi="Book Antiqua" w:cs="Arial"/>
          <w:i/>
        </w:rPr>
        <w:t>NA (Pakistan)</w:t>
      </w:r>
      <w:r w:rsidR="00435547" w:rsidRPr="00435547">
        <w:rPr>
          <w:rFonts w:ascii="Book Antiqua" w:hAnsi="Book Antiqua" w:cs="Arial"/>
        </w:rPr>
        <w:t xml:space="preserve"> [2016] EWCA </w:t>
      </w:r>
      <w:proofErr w:type="spellStart"/>
      <w:r w:rsidR="00435547" w:rsidRPr="00435547">
        <w:rPr>
          <w:rFonts w:ascii="Book Antiqua" w:hAnsi="Book Antiqua" w:cs="Arial"/>
        </w:rPr>
        <w:t>Civ</w:t>
      </w:r>
      <w:proofErr w:type="spellEnd"/>
      <w:r w:rsidR="00435547" w:rsidRPr="00435547">
        <w:rPr>
          <w:rFonts w:ascii="Book Antiqua" w:hAnsi="Book Antiqua" w:cs="Arial"/>
        </w:rPr>
        <w:t xml:space="preserve"> 662</w:t>
      </w:r>
      <w:r w:rsidR="00435547">
        <w:rPr>
          <w:rFonts w:ascii="Book Antiqua" w:hAnsi="Book Antiqua" w:cs="Arial"/>
        </w:rPr>
        <w:t>, vis-á-vis medium offenders (</w:t>
      </w:r>
      <w:r w:rsidR="00C74962">
        <w:rPr>
          <w:rFonts w:ascii="Book Antiqua" w:hAnsi="Book Antiqua" w:cs="Arial"/>
        </w:rPr>
        <w:t>i.e.</w:t>
      </w:r>
      <w:r w:rsidR="00435547">
        <w:rPr>
          <w:rFonts w:ascii="Book Antiqua" w:hAnsi="Book Antiqua" w:cs="Arial"/>
        </w:rPr>
        <w:t xml:space="preserve"> those convicted of between one and four years’ imprisonment) §27:</w:t>
      </w:r>
      <w:r w:rsidR="00435547" w:rsidRPr="00435547">
        <w:rPr>
          <w:rFonts w:ascii="Book Antiqua" w:hAnsi="Book Antiqua" w:cs="Arial"/>
        </w:rPr>
        <w:t xml:space="preserve"> </w:t>
      </w:r>
    </w:p>
    <w:p w14:paraId="0C5C5FAA" w14:textId="77777777" w:rsidR="00435547" w:rsidRPr="00C74962" w:rsidRDefault="00435547" w:rsidP="00C74962">
      <w:pPr>
        <w:pStyle w:val="ListParagraph"/>
        <w:spacing w:before="120" w:after="120"/>
        <w:ind w:left="1134" w:right="567"/>
        <w:jc w:val="both"/>
        <w:rPr>
          <w:rFonts w:ascii="Book Antiqua" w:hAnsi="Book Antiqua" w:cs="Arial"/>
          <w:sz w:val="22"/>
        </w:rPr>
      </w:pPr>
      <w:r w:rsidRPr="00C74962">
        <w:rPr>
          <w:rFonts w:ascii="Book Antiqua" w:hAnsi="Book Antiqua" w:cs="Arial"/>
          <w:sz w:val="22"/>
        </w:rPr>
        <w:t>“… [F]all back protection of the kind stated in section 117</w:t>
      </w:r>
      <w:proofErr w:type="gramStart"/>
      <w:r w:rsidRPr="00C74962">
        <w:rPr>
          <w:rFonts w:ascii="Book Antiqua" w:hAnsi="Book Antiqua" w:cs="Arial"/>
          <w:sz w:val="22"/>
        </w:rPr>
        <w:t>C(</w:t>
      </w:r>
      <w:proofErr w:type="gramEnd"/>
      <w:r w:rsidRPr="00C74962">
        <w:rPr>
          <w:rFonts w:ascii="Book Antiqua" w:hAnsi="Book Antiqua" w:cs="Arial"/>
          <w:sz w:val="22"/>
        </w:rPr>
        <w:t>6) avails both (a) serious offenders and (b) medium offenders who fall outside Exceptions 1 and 2. On a proper construction of section 117C(3), it prov</w:t>
      </w:r>
      <w:r w:rsidR="00003B61" w:rsidRPr="00C74962">
        <w:rPr>
          <w:rFonts w:ascii="Book Antiqua" w:hAnsi="Book Antiqua" w:cs="Arial"/>
          <w:sz w:val="22"/>
        </w:rPr>
        <w:t>ides that for medium offenders ‘</w:t>
      </w:r>
      <w:r w:rsidRPr="00C74962">
        <w:rPr>
          <w:rFonts w:ascii="Book Antiqua" w:hAnsi="Book Antiqua" w:cs="Arial"/>
          <w:sz w:val="22"/>
        </w:rPr>
        <w:t>the public interest requires C's deportation unless Exception 1 or Exception 2 applies or unless there are very compelling circumstances, over and above those described in Exceptions 1 and 2.</w:t>
      </w:r>
      <w:r w:rsidR="00003B61" w:rsidRPr="00C74962">
        <w:rPr>
          <w:rFonts w:ascii="Book Antiqua" w:hAnsi="Book Antiqua" w:cs="Arial"/>
          <w:sz w:val="22"/>
        </w:rPr>
        <w:t>’”</w:t>
      </w:r>
    </w:p>
    <w:p w14:paraId="6A09A271" w14:textId="77777777" w:rsidR="00003B61" w:rsidRPr="00435547" w:rsidRDefault="00003B61" w:rsidP="00003B61">
      <w:pPr>
        <w:numPr>
          <w:ilvl w:val="0"/>
          <w:numId w:val="1"/>
        </w:numPr>
        <w:tabs>
          <w:tab w:val="clear" w:pos="927"/>
          <w:tab w:val="left" w:pos="426"/>
          <w:tab w:val="num" w:pos="851"/>
        </w:tabs>
        <w:ind w:left="426" w:hanging="426"/>
        <w:jc w:val="both"/>
        <w:rPr>
          <w:rFonts w:ascii="Book Antiqua" w:hAnsi="Book Antiqua" w:cs="Arial"/>
        </w:rPr>
      </w:pPr>
      <w:r>
        <w:rPr>
          <w:rFonts w:ascii="Book Antiqua" w:hAnsi="Book Antiqua" w:cs="Arial"/>
        </w:rPr>
        <w:t xml:space="preserve">In seeking to make such a case, the Court of Appeal in </w:t>
      </w:r>
      <w:r w:rsidRPr="00435547">
        <w:rPr>
          <w:rFonts w:ascii="Book Antiqua" w:hAnsi="Book Antiqua" w:cs="Arial"/>
          <w:i/>
        </w:rPr>
        <w:t>NA (Pakistan)</w:t>
      </w:r>
      <w:r>
        <w:rPr>
          <w:rFonts w:ascii="Book Antiqua" w:hAnsi="Book Antiqua" w:cs="Arial"/>
          <w:i/>
        </w:rPr>
        <w:t xml:space="preserve"> </w:t>
      </w:r>
      <w:r>
        <w:rPr>
          <w:rFonts w:ascii="Book Antiqua" w:hAnsi="Book Antiqua" w:cs="Arial"/>
        </w:rPr>
        <w:t xml:space="preserve">went on to explain §29 that </w:t>
      </w:r>
    </w:p>
    <w:p w14:paraId="1F7E581C" w14:textId="77777777" w:rsidR="00435547" w:rsidRPr="00C74962" w:rsidRDefault="00003B61" w:rsidP="00C74962">
      <w:pPr>
        <w:pStyle w:val="ListParagraph"/>
        <w:spacing w:before="120" w:after="120"/>
        <w:ind w:left="1134" w:right="567"/>
        <w:jc w:val="both"/>
        <w:rPr>
          <w:rFonts w:ascii="Book Antiqua" w:hAnsi="Book Antiqua" w:cs="Arial"/>
          <w:sz w:val="22"/>
        </w:rPr>
      </w:pPr>
      <w:r w:rsidRPr="00C74962">
        <w:rPr>
          <w:rFonts w:ascii="Book Antiqua" w:hAnsi="Book Antiqua" w:cs="Arial"/>
          <w:sz w:val="22"/>
        </w:rPr>
        <w:t>“</w:t>
      </w:r>
      <w:r w:rsidR="00435547" w:rsidRPr="00C74962">
        <w:rPr>
          <w:rFonts w:ascii="Book Antiqua" w:hAnsi="Book Antiqua" w:cs="Arial"/>
          <w:sz w:val="22"/>
        </w:rPr>
        <w:t>A foreign offender who has to demonstrate very compelling circumstances over and above those described in the exceptions is not disentitled from seeking to rely on (factual) matters which fall within the scope of exceptions 1 and 2. A person in that position is entitled to rely both on circumstances that fall within and outside the exceptions in order to establish that his article 8 claim is sufficiently strong.</w:t>
      </w:r>
      <w:r w:rsidRPr="00C74962">
        <w:rPr>
          <w:rFonts w:ascii="Book Antiqua" w:hAnsi="Book Antiqua" w:cs="Arial"/>
          <w:sz w:val="22"/>
        </w:rPr>
        <w:t>”</w:t>
      </w:r>
    </w:p>
    <w:p w14:paraId="1FB929B5" w14:textId="77777777" w:rsidR="005334A2" w:rsidRPr="00941611" w:rsidRDefault="005334A2" w:rsidP="005334A2">
      <w:pPr>
        <w:numPr>
          <w:ilvl w:val="0"/>
          <w:numId w:val="1"/>
        </w:numPr>
        <w:tabs>
          <w:tab w:val="clear" w:pos="927"/>
          <w:tab w:val="left" w:pos="426"/>
          <w:tab w:val="num" w:pos="851"/>
        </w:tabs>
        <w:ind w:left="426" w:hanging="426"/>
        <w:jc w:val="both"/>
        <w:rPr>
          <w:rFonts w:ascii="Book Antiqua" w:hAnsi="Book Antiqua"/>
        </w:rPr>
      </w:pPr>
      <w:r w:rsidRPr="005334A2">
        <w:rPr>
          <w:rFonts w:ascii="Book Antiqua" w:hAnsi="Book Antiqua" w:cs="Arial"/>
        </w:rPr>
        <w:t xml:space="preserve">The Supreme Court in </w:t>
      </w:r>
      <w:r w:rsidRPr="005334A2">
        <w:rPr>
          <w:rFonts w:ascii="Book Antiqua" w:hAnsi="Book Antiqua" w:cs="Arial"/>
          <w:i/>
        </w:rPr>
        <w:t>Hesham Ali</w:t>
      </w:r>
      <w:r w:rsidRPr="005334A2">
        <w:rPr>
          <w:rFonts w:ascii="Book Antiqua" w:hAnsi="Book Antiqua" w:cs="Arial"/>
        </w:rPr>
        <w:t xml:space="preserve"> ma</w:t>
      </w:r>
      <w:r w:rsidR="00941611">
        <w:rPr>
          <w:rFonts w:ascii="Book Antiqua" w:hAnsi="Book Antiqua" w:cs="Arial"/>
        </w:rPr>
        <w:t xml:space="preserve">kes a series of important </w:t>
      </w:r>
      <w:r w:rsidRPr="005334A2">
        <w:rPr>
          <w:rFonts w:ascii="Book Antiqua" w:hAnsi="Book Antiqua" w:cs="Arial"/>
        </w:rPr>
        <w:t>points</w:t>
      </w:r>
      <w:r w:rsidR="00941611">
        <w:rPr>
          <w:rFonts w:ascii="Book Antiqua" w:hAnsi="Book Antiqua" w:cs="Arial"/>
        </w:rPr>
        <w:t xml:space="preserve"> </w:t>
      </w:r>
      <w:r w:rsidR="00BB27EE">
        <w:rPr>
          <w:rFonts w:ascii="Book Antiqua" w:hAnsi="Book Antiqua" w:cs="Arial"/>
        </w:rPr>
        <w:t xml:space="preserve">as to how an appeal is to be considered outside the Rules </w:t>
      </w:r>
      <w:r w:rsidR="00941611">
        <w:rPr>
          <w:rFonts w:ascii="Book Antiqua" w:hAnsi="Book Antiqua" w:cs="Arial"/>
        </w:rPr>
        <w:t>including these</w:t>
      </w:r>
      <w:r w:rsidRPr="005334A2">
        <w:rPr>
          <w:rFonts w:ascii="Book Antiqua" w:hAnsi="Book Antiqua" w:cs="Arial"/>
        </w:rPr>
        <w:t xml:space="preserve">: </w:t>
      </w:r>
    </w:p>
    <w:p w14:paraId="14DE9D19" w14:textId="77777777" w:rsidR="00941611" w:rsidRDefault="005334A2" w:rsidP="00C74962">
      <w:pPr>
        <w:pStyle w:val="ListParagraph"/>
        <w:numPr>
          <w:ilvl w:val="0"/>
          <w:numId w:val="6"/>
        </w:numPr>
        <w:tabs>
          <w:tab w:val="left" w:pos="567"/>
        </w:tabs>
        <w:spacing w:before="120" w:after="120"/>
        <w:ind w:left="1701" w:hanging="567"/>
        <w:jc w:val="both"/>
        <w:rPr>
          <w:rFonts w:ascii="Book Antiqua" w:hAnsi="Book Antiqua" w:cs="Arial"/>
        </w:rPr>
      </w:pPr>
      <w:r w:rsidRPr="005334A2">
        <w:rPr>
          <w:rFonts w:ascii="Book Antiqua" w:hAnsi="Book Antiqua" w:cs="Arial"/>
        </w:rPr>
        <w:t>The overall question is whether a fair balance has been struck between the private and family life in exi</w:t>
      </w:r>
      <w:r>
        <w:rPr>
          <w:rFonts w:ascii="Book Antiqua" w:hAnsi="Book Antiqua" w:cs="Arial"/>
        </w:rPr>
        <w:t>stence, and the public interest</w:t>
      </w:r>
      <w:r w:rsidR="00941611">
        <w:rPr>
          <w:rFonts w:ascii="Book Antiqua" w:hAnsi="Book Antiqua" w:cs="Arial"/>
        </w:rPr>
        <w:t>;</w:t>
      </w:r>
    </w:p>
    <w:p w14:paraId="4482A30A" w14:textId="77777777" w:rsidR="005334A2" w:rsidRDefault="00941611" w:rsidP="00C74962">
      <w:pPr>
        <w:pStyle w:val="ListParagraph"/>
        <w:numPr>
          <w:ilvl w:val="0"/>
          <w:numId w:val="6"/>
        </w:numPr>
        <w:tabs>
          <w:tab w:val="left" w:pos="567"/>
        </w:tabs>
        <w:spacing w:before="120" w:after="120"/>
        <w:ind w:left="1701" w:hanging="567"/>
        <w:jc w:val="both"/>
        <w:rPr>
          <w:rFonts w:ascii="Book Antiqua" w:hAnsi="Book Antiqua" w:cs="Arial"/>
        </w:rPr>
      </w:pPr>
      <w:r>
        <w:rPr>
          <w:rFonts w:ascii="Book Antiqua" w:hAnsi="Book Antiqua" w:cs="Arial"/>
        </w:rPr>
        <w:t>A</w:t>
      </w:r>
      <w:r w:rsidR="005334A2" w:rsidRPr="005334A2">
        <w:rPr>
          <w:rFonts w:ascii="Book Antiqua" w:hAnsi="Book Antiqua" w:cs="Arial"/>
        </w:rPr>
        <w:t xml:space="preserve"> national government is permitted to weight the balance in favour of the public interest if it considers that is necessary – the United K</w:t>
      </w:r>
      <w:r w:rsidR="005334A2">
        <w:rPr>
          <w:rFonts w:ascii="Book Antiqua" w:hAnsi="Book Antiqua" w:cs="Arial"/>
        </w:rPr>
        <w:t>ingdom has done this very thing</w:t>
      </w:r>
      <w:r>
        <w:rPr>
          <w:rFonts w:ascii="Book Antiqua" w:hAnsi="Book Antiqua" w:cs="Arial"/>
        </w:rPr>
        <w:t xml:space="preserve"> via the Immigration Rules cited above, alongside section 117C-D of the Nationality Immigration and Asylum Act 2002</w:t>
      </w:r>
      <w:r w:rsidR="005334A2">
        <w:rPr>
          <w:rFonts w:ascii="Book Antiqua" w:hAnsi="Book Antiqua" w:cs="Arial"/>
        </w:rPr>
        <w:t>;</w:t>
      </w:r>
    </w:p>
    <w:p w14:paraId="693AF1B9" w14:textId="77777777" w:rsidR="005334A2" w:rsidRDefault="005334A2" w:rsidP="00C74962">
      <w:pPr>
        <w:pStyle w:val="ListParagraph"/>
        <w:numPr>
          <w:ilvl w:val="0"/>
          <w:numId w:val="6"/>
        </w:numPr>
        <w:tabs>
          <w:tab w:val="left" w:pos="567"/>
        </w:tabs>
        <w:spacing w:before="120" w:after="120"/>
        <w:ind w:left="1701" w:hanging="567"/>
        <w:jc w:val="both"/>
        <w:rPr>
          <w:rFonts w:ascii="Book Antiqua" w:hAnsi="Book Antiqua" w:cs="Arial"/>
        </w:rPr>
      </w:pPr>
      <w:r w:rsidRPr="005334A2">
        <w:rPr>
          <w:rFonts w:ascii="Book Antiqua" w:hAnsi="Book Antiqua" w:cs="Arial"/>
        </w:rPr>
        <w:t xml:space="preserve">That weighting of the balance </w:t>
      </w:r>
      <w:r w:rsidR="00941611">
        <w:rPr>
          <w:rFonts w:ascii="Book Antiqua" w:hAnsi="Book Antiqua" w:cs="Arial"/>
        </w:rPr>
        <w:t xml:space="preserve">is </w:t>
      </w:r>
      <w:r w:rsidRPr="005334A2">
        <w:rPr>
          <w:rFonts w:ascii="Book Antiqua" w:hAnsi="Book Antiqua" w:cs="Arial"/>
        </w:rPr>
        <w:t>achieved by the requirement</w:t>
      </w:r>
      <w:r w:rsidR="006A47F0">
        <w:rPr>
          <w:rFonts w:ascii="Book Antiqua" w:hAnsi="Book Antiqua" w:cs="Arial"/>
        </w:rPr>
        <w:t xml:space="preserve">s expressed </w:t>
      </w:r>
      <w:r w:rsidRPr="005334A2">
        <w:rPr>
          <w:rFonts w:ascii="Book Antiqua" w:hAnsi="Book Antiqua" w:cs="Arial"/>
        </w:rPr>
        <w:t>in various government policy statements</w:t>
      </w:r>
      <w:r w:rsidR="00941611">
        <w:rPr>
          <w:rFonts w:ascii="Book Antiqua" w:hAnsi="Book Antiqua" w:cs="Arial"/>
        </w:rPr>
        <w:t xml:space="preserve"> </w:t>
      </w:r>
      <w:r w:rsidR="006A47F0">
        <w:rPr>
          <w:rFonts w:ascii="Book Antiqua" w:hAnsi="Book Antiqua" w:cs="Arial"/>
        </w:rPr>
        <w:t xml:space="preserve">and in the Rules: in </w:t>
      </w:r>
      <w:proofErr w:type="gramStart"/>
      <w:r w:rsidR="006A47F0">
        <w:rPr>
          <w:rFonts w:ascii="Book Antiqua" w:hAnsi="Book Antiqua" w:cs="Arial"/>
        </w:rPr>
        <w:t>general</w:t>
      </w:r>
      <w:proofErr w:type="gramEnd"/>
      <w:r w:rsidR="006A47F0">
        <w:rPr>
          <w:rFonts w:ascii="Book Antiqua" w:hAnsi="Book Antiqua" w:cs="Arial"/>
        </w:rPr>
        <w:t xml:space="preserve"> the focus now is on the existence </w:t>
      </w:r>
      <w:r w:rsidR="00941611">
        <w:rPr>
          <w:rFonts w:ascii="Book Antiqua" w:hAnsi="Book Antiqua" w:cs="Arial"/>
        </w:rPr>
        <w:t xml:space="preserve">of a compelling rather than </w:t>
      </w:r>
      <w:r w:rsidR="006A47F0">
        <w:rPr>
          <w:rFonts w:ascii="Book Antiqua" w:hAnsi="Book Antiqua" w:cs="Arial"/>
        </w:rPr>
        <w:t xml:space="preserve">an </w:t>
      </w:r>
      <w:r w:rsidR="00941611">
        <w:rPr>
          <w:rFonts w:ascii="Book Antiqua" w:hAnsi="Book Antiqua" w:cs="Arial"/>
        </w:rPr>
        <w:t>exceptional case</w:t>
      </w:r>
      <w:r w:rsidR="006A47F0">
        <w:rPr>
          <w:rFonts w:ascii="Book Antiqua" w:hAnsi="Book Antiqua" w:cs="Arial"/>
        </w:rPr>
        <w:t xml:space="preserve"> (in </w:t>
      </w:r>
      <w:r w:rsidR="006A47F0">
        <w:rPr>
          <w:rFonts w:ascii="Book Antiqua" w:hAnsi="Book Antiqua" w:cs="Arial"/>
          <w:i/>
        </w:rPr>
        <w:t xml:space="preserve">Hesham Ali </w:t>
      </w:r>
      <w:r w:rsidR="006A47F0">
        <w:rPr>
          <w:rFonts w:ascii="Book Antiqua" w:hAnsi="Book Antiqua" w:cs="Arial"/>
        </w:rPr>
        <w:t>the Rules then in force made exceptionality the reference point). G</w:t>
      </w:r>
      <w:r w:rsidRPr="005334A2">
        <w:rPr>
          <w:rFonts w:ascii="Book Antiqua" w:hAnsi="Book Antiqua" w:cs="Arial"/>
        </w:rPr>
        <w:t xml:space="preserve">iven the expertise that government had in assessing the public interest, courts and tribunals should attach considerable weight to the </w:t>
      </w:r>
      <w:r>
        <w:rPr>
          <w:rFonts w:ascii="Book Antiqua" w:hAnsi="Book Antiqua" w:cs="Arial"/>
        </w:rPr>
        <w:t>Secretary of State’s assessment;</w:t>
      </w:r>
    </w:p>
    <w:p w14:paraId="74D46FDC" w14:textId="77777777" w:rsidR="005334A2" w:rsidRDefault="006A47F0" w:rsidP="00C74962">
      <w:pPr>
        <w:pStyle w:val="ListParagraph"/>
        <w:numPr>
          <w:ilvl w:val="0"/>
          <w:numId w:val="6"/>
        </w:numPr>
        <w:tabs>
          <w:tab w:val="left" w:pos="567"/>
        </w:tabs>
        <w:spacing w:before="120" w:after="120"/>
        <w:ind w:left="1701" w:hanging="567"/>
        <w:jc w:val="both"/>
        <w:rPr>
          <w:rFonts w:ascii="Book Antiqua" w:hAnsi="Book Antiqua" w:cs="Arial"/>
        </w:rPr>
      </w:pPr>
      <w:r>
        <w:rPr>
          <w:rFonts w:ascii="Book Antiqua" w:hAnsi="Book Antiqua" w:cs="Arial"/>
        </w:rPr>
        <w:t>I</w:t>
      </w:r>
      <w:r w:rsidR="00D96630">
        <w:rPr>
          <w:rFonts w:ascii="Book Antiqua" w:hAnsi="Book Antiqua" w:cs="Arial"/>
        </w:rPr>
        <w:t xml:space="preserve">t would be necessary </w:t>
      </w:r>
      <w:r w:rsidR="005334A2" w:rsidRPr="005334A2">
        <w:rPr>
          <w:rFonts w:ascii="Book Antiqua" w:hAnsi="Book Antiqua" w:cs="Arial"/>
        </w:rPr>
        <w:t>to sh</w:t>
      </w:r>
      <w:r w:rsidR="00941611">
        <w:rPr>
          <w:rFonts w:ascii="Book Antiqua" w:hAnsi="Book Antiqua" w:cs="Arial"/>
        </w:rPr>
        <w:t>ow “a very strong case indeed”</w:t>
      </w:r>
      <w:r w:rsidR="00D96630">
        <w:rPr>
          <w:rFonts w:ascii="Book Antiqua" w:hAnsi="Book Antiqua" w:cs="Arial"/>
        </w:rPr>
        <w:t xml:space="preserve"> where the Rules and statute required “very compelling circumstances” to be demonstrated</w:t>
      </w:r>
      <w:r>
        <w:rPr>
          <w:rFonts w:ascii="Book Antiqua" w:hAnsi="Book Antiqua" w:cs="Arial"/>
        </w:rPr>
        <w:t>;</w:t>
      </w:r>
    </w:p>
    <w:p w14:paraId="2D3F1460" w14:textId="77777777" w:rsidR="005334A2" w:rsidRPr="005334A2" w:rsidRDefault="005334A2" w:rsidP="00C74962">
      <w:pPr>
        <w:pStyle w:val="ListParagraph"/>
        <w:numPr>
          <w:ilvl w:val="0"/>
          <w:numId w:val="6"/>
        </w:numPr>
        <w:tabs>
          <w:tab w:val="left" w:pos="567"/>
        </w:tabs>
        <w:spacing w:before="120" w:after="120"/>
        <w:ind w:left="1701" w:hanging="567"/>
        <w:jc w:val="both"/>
        <w:rPr>
          <w:rFonts w:ascii="Book Antiqua" w:hAnsi="Book Antiqua" w:cs="Arial"/>
        </w:rPr>
      </w:pPr>
      <w:r w:rsidRPr="005334A2">
        <w:rPr>
          <w:rFonts w:ascii="Book Antiqua" w:hAnsi="Book Antiqua" w:cs="Arial"/>
        </w:rPr>
        <w:t>Nevertheless, whatever the public interest to which considerable weight had to be given, it was necessary to feed into the analysis the facts of the particular case</w:t>
      </w:r>
      <w:r w:rsidR="00941611">
        <w:rPr>
          <w:rFonts w:ascii="Book Antiqua" w:hAnsi="Book Antiqua" w:cs="Arial"/>
        </w:rPr>
        <w:t>.</w:t>
      </w:r>
    </w:p>
    <w:p w14:paraId="7ECA917E" w14:textId="77777777" w:rsidR="006A47F0" w:rsidRPr="006A47F0" w:rsidRDefault="006A47F0" w:rsidP="00D96630">
      <w:pPr>
        <w:numPr>
          <w:ilvl w:val="0"/>
          <w:numId w:val="1"/>
        </w:numPr>
        <w:tabs>
          <w:tab w:val="clear" w:pos="927"/>
          <w:tab w:val="left" w:pos="426"/>
          <w:tab w:val="num" w:pos="851"/>
        </w:tabs>
        <w:ind w:left="426" w:hanging="426"/>
        <w:jc w:val="both"/>
        <w:rPr>
          <w:rFonts w:ascii="Book Antiqua" w:hAnsi="Book Antiqua"/>
        </w:rPr>
      </w:pPr>
      <w:r>
        <w:rPr>
          <w:rFonts w:ascii="Book Antiqua" w:hAnsi="Book Antiqua"/>
        </w:rPr>
        <w:t xml:space="preserve">One specific feature of this appeal is the nature of the offending involved. The Strasbourg Court regularly remarks, for example in </w:t>
      </w:r>
      <w:r w:rsidRPr="00EC0C7F">
        <w:rPr>
          <w:rFonts w:ascii="Book Antiqua" w:hAnsi="Book Antiqua" w:cs="Arial"/>
          <w:i/>
        </w:rPr>
        <w:t>Khan</w:t>
      </w:r>
      <w:r w:rsidRPr="00EC0C7F">
        <w:rPr>
          <w:rFonts w:ascii="Book Antiqua" w:hAnsi="Book Antiqua" w:cs="Arial"/>
        </w:rPr>
        <w:t xml:space="preserve"> [2010] ECHR 27</w:t>
      </w:r>
      <w:r>
        <w:rPr>
          <w:rFonts w:ascii="Book Antiqua" w:hAnsi="Book Antiqua" w:cs="Arial"/>
        </w:rPr>
        <w:t xml:space="preserve">, that </w:t>
      </w:r>
      <w:r w:rsidRPr="00EC0C7F">
        <w:rPr>
          <w:rFonts w:ascii="Book Antiqua" w:hAnsi="Book Antiqua" w:cs="Arial"/>
        </w:rPr>
        <w:t>the devastating effects of drugs on people's lives</w:t>
      </w:r>
      <w:r>
        <w:rPr>
          <w:rFonts w:ascii="Book Antiqua" w:hAnsi="Book Antiqua" w:cs="Arial"/>
        </w:rPr>
        <w:t xml:space="preserve"> requires that </w:t>
      </w:r>
      <w:r w:rsidRPr="00EC0C7F">
        <w:rPr>
          <w:rFonts w:ascii="Book Antiqua" w:hAnsi="Book Antiqua" w:cs="Arial"/>
        </w:rPr>
        <w:t xml:space="preserve">the authorities show great </w:t>
      </w:r>
      <w:r w:rsidRPr="00EC0C7F">
        <w:rPr>
          <w:rFonts w:ascii="Book Antiqua" w:hAnsi="Book Antiqua" w:cs="Arial"/>
        </w:rPr>
        <w:lastRenderedPageBreak/>
        <w:t>firmness with regard to those who actively contribute to the spread of this scourge</w:t>
      </w:r>
      <w:r>
        <w:rPr>
          <w:rFonts w:ascii="Book Antiqua" w:hAnsi="Book Antiqua" w:cs="Arial"/>
        </w:rPr>
        <w:t xml:space="preserve">. That factor was a further obstacle to the appeal’s success. </w:t>
      </w:r>
    </w:p>
    <w:p w14:paraId="3C3C80F7" w14:textId="77777777" w:rsidR="006A47F0" w:rsidRPr="006A47F0" w:rsidRDefault="006A47F0" w:rsidP="006A47F0">
      <w:pPr>
        <w:tabs>
          <w:tab w:val="left" w:pos="426"/>
        </w:tabs>
        <w:ind w:left="426"/>
        <w:jc w:val="both"/>
        <w:rPr>
          <w:rFonts w:ascii="Book Antiqua" w:hAnsi="Book Antiqua"/>
        </w:rPr>
      </w:pPr>
    </w:p>
    <w:p w14:paraId="782C56AC" w14:textId="77777777" w:rsidR="00BB27EE" w:rsidRDefault="00941611" w:rsidP="00D96630">
      <w:pPr>
        <w:numPr>
          <w:ilvl w:val="0"/>
          <w:numId w:val="1"/>
        </w:numPr>
        <w:tabs>
          <w:tab w:val="clear" w:pos="927"/>
          <w:tab w:val="left" w:pos="426"/>
          <w:tab w:val="num" w:pos="851"/>
        </w:tabs>
        <w:ind w:left="426" w:hanging="426"/>
        <w:jc w:val="both"/>
        <w:rPr>
          <w:rFonts w:ascii="Book Antiqua" w:hAnsi="Book Antiqua"/>
        </w:rPr>
      </w:pPr>
      <w:r>
        <w:rPr>
          <w:rFonts w:ascii="Book Antiqua" w:hAnsi="Book Antiqua"/>
        </w:rPr>
        <w:t xml:space="preserve">It seems to me that the First-tier Tribunal had regard to </w:t>
      </w:r>
      <w:r w:rsidR="00BB27EE">
        <w:rPr>
          <w:rFonts w:ascii="Book Antiqua" w:hAnsi="Book Antiqua"/>
        </w:rPr>
        <w:t xml:space="preserve">all relevant </w:t>
      </w:r>
      <w:r>
        <w:rPr>
          <w:rFonts w:ascii="Book Antiqua" w:hAnsi="Book Antiqua"/>
        </w:rPr>
        <w:t>considerations</w:t>
      </w:r>
      <w:r w:rsidR="00BB27EE">
        <w:rPr>
          <w:rFonts w:ascii="Book Antiqua" w:hAnsi="Book Antiqua"/>
        </w:rPr>
        <w:t xml:space="preserve"> when assessing the case outside the Rules</w:t>
      </w:r>
      <w:r>
        <w:rPr>
          <w:rFonts w:ascii="Book Antiqua" w:hAnsi="Book Antiqua"/>
        </w:rPr>
        <w:t xml:space="preserve">. </w:t>
      </w:r>
      <w:r w:rsidR="00B54AA3">
        <w:rPr>
          <w:rFonts w:ascii="Book Antiqua" w:hAnsi="Book Antiqua"/>
        </w:rPr>
        <w:t xml:space="preserve">Its decision </w:t>
      </w:r>
      <w:r w:rsidR="00B54AA3" w:rsidRPr="00936B0A">
        <w:rPr>
          <w:rFonts w:ascii="Book Antiqua" w:hAnsi="Book Antiqua"/>
        </w:rPr>
        <w:t>reads as a very balanced assessment of the relevant factors</w:t>
      </w:r>
      <w:r w:rsidR="00BB27EE">
        <w:rPr>
          <w:rFonts w:ascii="Book Antiqua" w:hAnsi="Book Antiqua"/>
        </w:rPr>
        <w:t xml:space="preserve">. </w:t>
      </w:r>
    </w:p>
    <w:p w14:paraId="5806079C" w14:textId="77777777" w:rsidR="00BB27EE" w:rsidRDefault="00BB27EE" w:rsidP="00BB27EE">
      <w:pPr>
        <w:tabs>
          <w:tab w:val="left" w:pos="426"/>
        </w:tabs>
        <w:ind w:left="426"/>
        <w:jc w:val="both"/>
        <w:rPr>
          <w:rFonts w:ascii="Book Antiqua" w:hAnsi="Book Antiqua"/>
        </w:rPr>
      </w:pPr>
    </w:p>
    <w:p w14:paraId="7A5EC0B6" w14:textId="77777777" w:rsidR="00D96630" w:rsidRDefault="00BB27EE" w:rsidP="00D96630">
      <w:pPr>
        <w:numPr>
          <w:ilvl w:val="0"/>
          <w:numId w:val="1"/>
        </w:numPr>
        <w:tabs>
          <w:tab w:val="clear" w:pos="927"/>
          <w:tab w:val="left" w:pos="426"/>
          <w:tab w:val="num" w:pos="851"/>
        </w:tabs>
        <w:ind w:left="426" w:hanging="426"/>
        <w:jc w:val="both"/>
        <w:rPr>
          <w:rFonts w:ascii="Book Antiqua" w:hAnsi="Book Antiqua"/>
        </w:rPr>
      </w:pPr>
      <w:r>
        <w:rPr>
          <w:rFonts w:ascii="Book Antiqua" w:hAnsi="Book Antiqua"/>
        </w:rPr>
        <w:t xml:space="preserve">Contrary to the assertion in the grounds, </w:t>
      </w:r>
      <w:r w:rsidR="00D96630">
        <w:rPr>
          <w:rFonts w:ascii="Book Antiqua" w:hAnsi="Book Antiqua"/>
        </w:rPr>
        <w:t xml:space="preserve">I can see no material inconsistency in the way in which </w:t>
      </w:r>
      <w:r>
        <w:rPr>
          <w:rFonts w:ascii="Book Antiqua" w:hAnsi="Book Antiqua"/>
        </w:rPr>
        <w:t xml:space="preserve">the Appellant's </w:t>
      </w:r>
      <w:r w:rsidR="00D96630">
        <w:rPr>
          <w:rFonts w:ascii="Book Antiqua" w:hAnsi="Book Antiqua"/>
        </w:rPr>
        <w:t>offending was approach</w:t>
      </w:r>
      <w:r>
        <w:rPr>
          <w:rFonts w:ascii="Book Antiqua" w:hAnsi="Book Antiqua"/>
        </w:rPr>
        <w:t>ed</w:t>
      </w:r>
      <w:r w:rsidR="00D96630">
        <w:rPr>
          <w:rFonts w:ascii="Book Antiqua" w:hAnsi="Book Antiqua"/>
        </w:rPr>
        <w:t>; the analysis cited above is a measured and sophisticated one that takes account the approach of the sentencing judge, having regard to positives such as the discounting of sentence because of age and outside influence, as well as negatives such as the fact that the sentence was at the higher end of the possible scale having regard to those factors</w:t>
      </w:r>
      <w:r w:rsidR="00B54AA3" w:rsidRPr="00936B0A">
        <w:rPr>
          <w:rFonts w:ascii="Book Antiqua" w:hAnsi="Book Antiqua"/>
        </w:rPr>
        <w:t xml:space="preserve">. </w:t>
      </w:r>
      <w:r w:rsidR="00D96630">
        <w:rPr>
          <w:rFonts w:ascii="Book Antiqua" w:hAnsi="Book Antiqua"/>
        </w:rPr>
        <w:t xml:space="preserve">There was careful attention given to the nature of the index offence and its place in the overall catalogue of offending. The fact that offending had continued notwithstanding the potential availability of family support was clearly in the forefront of the Judge’s mind. There was overt material from which an inference as to the potential availability of connections in Bangladesh by way of extended family or close family friends could legitimately be made, given the lengthy holidays taken there. </w:t>
      </w:r>
    </w:p>
    <w:p w14:paraId="20140C8A" w14:textId="77777777" w:rsidR="00D96630" w:rsidRDefault="00D96630" w:rsidP="00D96630">
      <w:pPr>
        <w:tabs>
          <w:tab w:val="left" w:pos="426"/>
        </w:tabs>
        <w:ind w:left="426"/>
        <w:jc w:val="both"/>
        <w:rPr>
          <w:rFonts w:ascii="Book Antiqua" w:hAnsi="Book Antiqua"/>
        </w:rPr>
      </w:pPr>
    </w:p>
    <w:p w14:paraId="3C31DEE1" w14:textId="35F5B476" w:rsidR="00DB2D86" w:rsidRPr="00BB27EE" w:rsidRDefault="00941611" w:rsidP="00BB27EE">
      <w:pPr>
        <w:numPr>
          <w:ilvl w:val="0"/>
          <w:numId w:val="1"/>
        </w:numPr>
        <w:tabs>
          <w:tab w:val="clear" w:pos="927"/>
          <w:tab w:val="left" w:pos="426"/>
          <w:tab w:val="num" w:pos="851"/>
        </w:tabs>
        <w:ind w:left="426" w:hanging="426"/>
        <w:jc w:val="both"/>
        <w:rPr>
          <w:rFonts w:ascii="Book Antiqua" w:hAnsi="Book Antiqua"/>
        </w:rPr>
      </w:pPr>
      <w:r w:rsidRPr="00D96630">
        <w:rPr>
          <w:rFonts w:ascii="Book Antiqua" w:hAnsi="Book Antiqua"/>
        </w:rPr>
        <w:t xml:space="preserve">The authorities at Court of Appeal </w:t>
      </w:r>
      <w:r w:rsidR="00B54AA3" w:rsidRPr="00D96630">
        <w:rPr>
          <w:rFonts w:ascii="Book Antiqua" w:hAnsi="Book Antiqua"/>
        </w:rPr>
        <w:t xml:space="preserve">level </w:t>
      </w:r>
      <w:r w:rsidRPr="00D96630">
        <w:rPr>
          <w:rFonts w:ascii="Book Antiqua" w:hAnsi="Book Antiqua"/>
        </w:rPr>
        <w:t>post-</w:t>
      </w:r>
      <w:r w:rsidRPr="00D96630">
        <w:rPr>
          <w:rFonts w:ascii="Book Antiqua" w:hAnsi="Book Antiqua"/>
          <w:i/>
        </w:rPr>
        <w:t xml:space="preserve">Hesham Ali </w:t>
      </w:r>
      <w:r w:rsidRPr="00D96630">
        <w:rPr>
          <w:rFonts w:ascii="Book Antiqua" w:hAnsi="Book Antiqua"/>
        </w:rPr>
        <w:t xml:space="preserve">make clear the height of the hurdle that confronts putative deportees. </w:t>
      </w:r>
      <w:r w:rsidR="00DB2D86" w:rsidRPr="00DB2D86">
        <w:rPr>
          <w:rFonts w:ascii="Book Antiqua" w:hAnsi="Book Antiqua"/>
        </w:rPr>
        <w:t xml:space="preserve">In </w:t>
      </w:r>
      <w:r w:rsidR="00DB2D86" w:rsidRPr="00DB2D86">
        <w:rPr>
          <w:rFonts w:ascii="Book Antiqua" w:hAnsi="Book Antiqua"/>
          <w:i/>
        </w:rPr>
        <w:t>NA (Pakistan)</w:t>
      </w:r>
      <w:r w:rsidR="00DB2D86" w:rsidRPr="00DB2D86">
        <w:rPr>
          <w:rFonts w:ascii="Book Antiqua" w:hAnsi="Book Antiqua"/>
        </w:rPr>
        <w:t xml:space="preserve"> [2016] EWCA </w:t>
      </w:r>
      <w:proofErr w:type="spellStart"/>
      <w:r w:rsidR="00DB2D86" w:rsidRPr="00DB2D86">
        <w:rPr>
          <w:rFonts w:ascii="Book Antiqua" w:hAnsi="Book Antiqua"/>
        </w:rPr>
        <w:t>Civ</w:t>
      </w:r>
      <w:proofErr w:type="spellEnd"/>
      <w:r w:rsidR="00DB2D86" w:rsidRPr="00DB2D86">
        <w:rPr>
          <w:rFonts w:ascii="Book Antiqua" w:hAnsi="Book Antiqua"/>
        </w:rPr>
        <w:t xml:space="preserve"> 662 Jackson LJ stated </w:t>
      </w:r>
      <w:r w:rsidR="00DB2D86">
        <w:rPr>
          <w:rFonts w:ascii="Book Antiqua" w:hAnsi="Book Antiqua"/>
        </w:rPr>
        <w:t>that “</w:t>
      </w:r>
      <w:r w:rsidR="00DB2D86" w:rsidRPr="00DB2D86">
        <w:rPr>
          <w:rFonts w:ascii="Book Antiqua" w:hAnsi="Book Antiqua"/>
        </w:rPr>
        <w:t>The commonplace incidents of family life, such as ageing parents in poor health or the natural love between parents and children, will not be sufficient.</w:t>
      </w:r>
      <w:r w:rsidR="00DB2D86">
        <w:rPr>
          <w:rFonts w:ascii="Book Antiqua" w:hAnsi="Book Antiqua"/>
        </w:rPr>
        <w:t xml:space="preserve">” </w:t>
      </w:r>
      <w:r w:rsidR="00DB2D86" w:rsidRPr="00DB2D86">
        <w:rPr>
          <w:rFonts w:ascii="Book Antiqua" w:hAnsi="Book Antiqua"/>
        </w:rPr>
        <w:t xml:space="preserve">In </w:t>
      </w:r>
      <w:r w:rsidR="00DB2D86" w:rsidRPr="00DB2D86">
        <w:rPr>
          <w:rFonts w:ascii="Book Antiqua" w:hAnsi="Book Antiqua"/>
          <w:i/>
        </w:rPr>
        <w:t xml:space="preserve">WZ (China) </w:t>
      </w:r>
      <w:r w:rsidR="00DB2D86" w:rsidRPr="00DB2D86">
        <w:rPr>
          <w:rFonts w:ascii="Book Antiqua" w:hAnsi="Book Antiqua"/>
        </w:rPr>
        <w:t xml:space="preserve">[2017] EWCA </w:t>
      </w:r>
      <w:proofErr w:type="spellStart"/>
      <w:r w:rsidR="00DB2D86" w:rsidRPr="00DB2D86">
        <w:rPr>
          <w:rFonts w:ascii="Book Antiqua" w:hAnsi="Book Antiqua"/>
        </w:rPr>
        <w:t>Civ</w:t>
      </w:r>
      <w:proofErr w:type="spellEnd"/>
      <w:r w:rsidR="00DB2D86" w:rsidRPr="00DB2D86">
        <w:rPr>
          <w:rFonts w:ascii="Book Antiqua" w:hAnsi="Book Antiqua"/>
        </w:rPr>
        <w:t xml:space="preserve"> 795 Sir Stanley </w:t>
      </w:r>
      <w:proofErr w:type="spellStart"/>
      <w:r w:rsidR="00DB2D86" w:rsidRPr="00DB2D86">
        <w:rPr>
          <w:rFonts w:ascii="Book Antiqua" w:hAnsi="Book Antiqua"/>
        </w:rPr>
        <w:t>Burnton</w:t>
      </w:r>
      <w:proofErr w:type="spellEnd"/>
      <w:r w:rsidR="00DB2D86" w:rsidRPr="00DB2D86">
        <w:rPr>
          <w:rFonts w:ascii="Book Antiqua" w:hAnsi="Book Antiqua"/>
        </w:rPr>
        <w:t xml:space="preserve"> opined that it was not sufficiently out of the ordinary for a man living with his wife and two British citizen children to establish a low risk of reoffending where he had been sentenced to two years’ i</w:t>
      </w:r>
      <w:r w:rsidR="006A47F0">
        <w:rPr>
          <w:rFonts w:ascii="Book Antiqua" w:hAnsi="Book Antiqua"/>
        </w:rPr>
        <w:t>mprisonment for drugs offences</w:t>
      </w:r>
      <w:r w:rsidR="00DB2D86">
        <w:rPr>
          <w:rFonts w:ascii="Book Antiqua" w:hAnsi="Book Antiqua"/>
        </w:rPr>
        <w:t xml:space="preserve">. </w:t>
      </w:r>
      <w:r w:rsidR="00BB27EE">
        <w:rPr>
          <w:rFonts w:ascii="Book Antiqua" w:hAnsi="Book Antiqua"/>
        </w:rPr>
        <w:t xml:space="preserve">A similar point is made, on facts even closer to those here, by </w:t>
      </w:r>
      <w:r w:rsidR="00BB27EE" w:rsidRPr="00BB27EE">
        <w:rPr>
          <w:rFonts w:ascii="Book Antiqua" w:hAnsi="Book Antiqua"/>
        </w:rPr>
        <w:t xml:space="preserve">Sales LJ in </w:t>
      </w:r>
      <w:proofErr w:type="spellStart"/>
      <w:r w:rsidR="00BB27EE" w:rsidRPr="00BB27EE">
        <w:rPr>
          <w:rFonts w:ascii="Book Antiqua" w:hAnsi="Book Antiqua"/>
          <w:i/>
        </w:rPr>
        <w:t>Mwesezi</w:t>
      </w:r>
      <w:proofErr w:type="spellEnd"/>
      <w:r w:rsidR="006A47F0">
        <w:rPr>
          <w:rFonts w:ascii="Book Antiqua" w:hAnsi="Book Antiqua"/>
        </w:rPr>
        <w:t xml:space="preserve"> [2018] EWCA </w:t>
      </w:r>
      <w:proofErr w:type="spellStart"/>
      <w:r w:rsidR="006A47F0">
        <w:rPr>
          <w:rFonts w:ascii="Book Antiqua" w:hAnsi="Book Antiqua"/>
        </w:rPr>
        <w:t>Civ</w:t>
      </w:r>
      <w:proofErr w:type="spellEnd"/>
      <w:r w:rsidR="006A47F0">
        <w:rPr>
          <w:rFonts w:ascii="Book Antiqua" w:hAnsi="Book Antiqua"/>
        </w:rPr>
        <w:t xml:space="preserve"> 1104. He emphasises</w:t>
      </w:r>
      <w:r w:rsidR="00BB27EE">
        <w:rPr>
          <w:rFonts w:ascii="Book Antiqua" w:hAnsi="Book Antiqua"/>
        </w:rPr>
        <w:t xml:space="preserve"> </w:t>
      </w:r>
      <w:r w:rsidR="006A47F0">
        <w:rPr>
          <w:rFonts w:ascii="Book Antiqua" w:hAnsi="Book Antiqua"/>
        </w:rPr>
        <w:t xml:space="preserve">at </w:t>
      </w:r>
      <w:r w:rsidR="00BB27EE">
        <w:rPr>
          <w:rFonts w:ascii="Book Antiqua" w:hAnsi="Book Antiqua"/>
        </w:rPr>
        <w:t xml:space="preserve">§22 that the circumstances in </w:t>
      </w:r>
      <w:proofErr w:type="spellStart"/>
      <w:r w:rsidR="00BB27EE" w:rsidRPr="00CB43A2">
        <w:rPr>
          <w:rFonts w:ascii="Book Antiqua" w:hAnsi="Book Antiqua"/>
          <w:i/>
        </w:rPr>
        <w:t>Maslov</w:t>
      </w:r>
      <w:proofErr w:type="spellEnd"/>
      <w:r w:rsidR="00BB27EE">
        <w:rPr>
          <w:rFonts w:ascii="Book Antiqua" w:hAnsi="Book Antiqua"/>
        </w:rPr>
        <w:t xml:space="preserve">, where </w:t>
      </w:r>
      <w:r w:rsidR="006A47F0">
        <w:rPr>
          <w:rFonts w:ascii="Book Antiqua" w:hAnsi="Book Antiqua"/>
        </w:rPr>
        <w:t>the Strasbourg Court indicated that “</w:t>
      </w:r>
      <w:r w:rsidR="00CB43A2">
        <w:rPr>
          <w:rFonts w:ascii="Book Antiqua" w:hAnsi="Book Antiqua"/>
        </w:rPr>
        <w:t xml:space="preserve">very </w:t>
      </w:r>
      <w:r w:rsidR="00BB27EE">
        <w:rPr>
          <w:rFonts w:ascii="Book Antiqua" w:hAnsi="Book Antiqua"/>
        </w:rPr>
        <w:t>serious reasons</w:t>
      </w:r>
      <w:r w:rsidR="006A47F0">
        <w:rPr>
          <w:rFonts w:ascii="Book Antiqua" w:hAnsi="Book Antiqua"/>
        </w:rPr>
        <w:t>”</w:t>
      </w:r>
      <w:r w:rsidR="00BB27EE">
        <w:rPr>
          <w:rFonts w:ascii="Book Antiqua" w:hAnsi="Book Antiqua"/>
        </w:rPr>
        <w:t xml:space="preserve"> were </w:t>
      </w:r>
      <w:r w:rsidR="006A47F0">
        <w:rPr>
          <w:rFonts w:ascii="Book Antiqua" w:hAnsi="Book Antiqua"/>
        </w:rPr>
        <w:t xml:space="preserve">required </w:t>
      </w:r>
      <w:r w:rsidR="00BB27EE">
        <w:rPr>
          <w:rFonts w:ascii="Book Antiqua" w:hAnsi="Book Antiqua"/>
        </w:rPr>
        <w:t xml:space="preserve">to justify the deportation of a youthful </w:t>
      </w:r>
      <w:r w:rsidR="00CB43A2">
        <w:rPr>
          <w:rFonts w:ascii="Book Antiqua" w:hAnsi="Book Antiqua"/>
        </w:rPr>
        <w:t xml:space="preserve">criminal </w:t>
      </w:r>
      <w:r w:rsidR="00BB27EE">
        <w:rPr>
          <w:rFonts w:ascii="Book Antiqua" w:hAnsi="Book Antiqua"/>
        </w:rPr>
        <w:t xml:space="preserve">who had only offended during their minority, </w:t>
      </w:r>
      <w:r w:rsidR="00BB27EE" w:rsidRPr="00BB27EE">
        <w:rPr>
          <w:rFonts w:ascii="Book Antiqua" w:hAnsi="Book Antiqua"/>
        </w:rPr>
        <w:t>w</w:t>
      </w:r>
      <w:r w:rsidR="006A47F0">
        <w:rPr>
          <w:rFonts w:ascii="Book Antiqua" w:hAnsi="Book Antiqua"/>
        </w:rPr>
        <w:t>ere</w:t>
      </w:r>
      <w:r w:rsidR="00BB27EE" w:rsidRPr="00BB27EE">
        <w:rPr>
          <w:rFonts w:ascii="Book Antiqua" w:hAnsi="Book Antiqua"/>
        </w:rPr>
        <w:t xml:space="preserve"> to be distinguished from the situation where very serious offences were committed well into adulthood</w:t>
      </w:r>
      <w:r w:rsidR="00BB27EE">
        <w:rPr>
          <w:rFonts w:ascii="Book Antiqua" w:hAnsi="Book Antiqua"/>
        </w:rPr>
        <w:t xml:space="preserve">. </w:t>
      </w:r>
      <w:r w:rsidR="00CB43A2">
        <w:rPr>
          <w:rFonts w:ascii="Book Antiqua" w:hAnsi="Book Antiqua"/>
        </w:rPr>
        <w:t xml:space="preserve">Also at §22 Sales LJ notes that the </w:t>
      </w:r>
      <w:r w:rsidR="00BB27EE" w:rsidRPr="00BB27EE">
        <w:rPr>
          <w:rFonts w:ascii="Book Antiqua" w:hAnsi="Book Antiqua"/>
        </w:rPr>
        <w:t>ordinary love and affection between family members f</w:t>
      </w:r>
      <w:r w:rsidR="00CB43A2">
        <w:rPr>
          <w:rFonts w:ascii="Book Antiqua" w:hAnsi="Book Antiqua"/>
        </w:rPr>
        <w:t>a</w:t>
      </w:r>
      <w:r w:rsidR="00BB27EE" w:rsidRPr="00BB27EE">
        <w:rPr>
          <w:rFonts w:ascii="Book Antiqua" w:hAnsi="Book Antiqua"/>
        </w:rPr>
        <w:t>ll</w:t>
      </w:r>
      <w:r w:rsidR="00CB43A2">
        <w:rPr>
          <w:rFonts w:ascii="Book Antiqua" w:hAnsi="Book Antiqua"/>
        </w:rPr>
        <w:t>s</w:t>
      </w:r>
      <w:r w:rsidR="00BB27EE" w:rsidRPr="00BB27EE">
        <w:rPr>
          <w:rFonts w:ascii="Book Antiqua" w:hAnsi="Book Antiqua"/>
        </w:rPr>
        <w:t xml:space="preserve"> well below anything amounting to compelling circumstances</w:t>
      </w:r>
      <w:r w:rsidR="00CB43A2">
        <w:rPr>
          <w:rFonts w:ascii="Book Antiqua" w:hAnsi="Book Antiqua"/>
        </w:rPr>
        <w:t>.</w:t>
      </w:r>
    </w:p>
    <w:p w14:paraId="604021EC" w14:textId="77777777" w:rsidR="00BB27EE" w:rsidRDefault="00BB27EE" w:rsidP="00DB2D86">
      <w:pPr>
        <w:pStyle w:val="ListParagraph"/>
        <w:rPr>
          <w:rFonts w:ascii="Book Antiqua" w:hAnsi="Book Antiqua"/>
        </w:rPr>
      </w:pPr>
    </w:p>
    <w:p w14:paraId="17623FD1" w14:textId="77777777" w:rsidR="00941611" w:rsidRDefault="00BB27EE" w:rsidP="00D96630">
      <w:pPr>
        <w:numPr>
          <w:ilvl w:val="0"/>
          <w:numId w:val="1"/>
        </w:numPr>
        <w:tabs>
          <w:tab w:val="clear" w:pos="927"/>
          <w:tab w:val="left" w:pos="426"/>
          <w:tab w:val="num" w:pos="851"/>
        </w:tabs>
        <w:ind w:left="426" w:hanging="426"/>
        <w:jc w:val="both"/>
        <w:rPr>
          <w:rFonts w:ascii="Book Antiqua" w:hAnsi="Book Antiqua"/>
        </w:rPr>
      </w:pPr>
      <w:r>
        <w:rPr>
          <w:rFonts w:ascii="Book Antiqua" w:hAnsi="Book Antiqua"/>
        </w:rPr>
        <w:t xml:space="preserve">Unfortunately, as </w:t>
      </w:r>
      <w:r w:rsidR="006A47F0">
        <w:rPr>
          <w:rFonts w:ascii="Book Antiqua" w:hAnsi="Book Antiqua"/>
        </w:rPr>
        <w:t xml:space="preserve">the many citations </w:t>
      </w:r>
      <w:r>
        <w:rPr>
          <w:rFonts w:ascii="Book Antiqua" w:hAnsi="Book Antiqua"/>
        </w:rPr>
        <w:t>above</w:t>
      </w:r>
      <w:r w:rsidR="006A47F0">
        <w:rPr>
          <w:rFonts w:ascii="Book Antiqua" w:hAnsi="Book Antiqua"/>
        </w:rPr>
        <w:t xml:space="preserve"> establish</w:t>
      </w:r>
      <w:r>
        <w:rPr>
          <w:rFonts w:ascii="Book Antiqua" w:hAnsi="Book Antiqua"/>
        </w:rPr>
        <w:t>, t</w:t>
      </w:r>
      <w:r w:rsidR="00B54AA3" w:rsidRPr="00D96630">
        <w:rPr>
          <w:rFonts w:ascii="Book Antiqua" w:hAnsi="Book Antiqua"/>
        </w:rPr>
        <w:t xml:space="preserve">he hurdle is </w:t>
      </w:r>
      <w:r w:rsidR="007B0753">
        <w:rPr>
          <w:rFonts w:ascii="Book Antiqua" w:hAnsi="Book Antiqua"/>
        </w:rPr>
        <w:t xml:space="preserve">an especially </w:t>
      </w:r>
      <w:r w:rsidR="00B54AA3" w:rsidRPr="00D96630">
        <w:rPr>
          <w:rFonts w:ascii="Book Antiqua" w:hAnsi="Book Antiqua"/>
        </w:rPr>
        <w:t>high</w:t>
      </w:r>
      <w:r w:rsidR="007B0753">
        <w:rPr>
          <w:rFonts w:ascii="Book Antiqua" w:hAnsi="Book Antiqua"/>
        </w:rPr>
        <w:t xml:space="preserve"> one</w:t>
      </w:r>
      <w:r w:rsidR="00B54AA3" w:rsidRPr="00D96630">
        <w:rPr>
          <w:rFonts w:ascii="Book Antiqua" w:hAnsi="Book Antiqua"/>
        </w:rPr>
        <w:t xml:space="preserve"> where, as here, none of the available routes under the Rules are accepted by the Tribunal as satisfied: then the Appellant is thrown back on the necessity of confronting the highest test of all, that which requires the establishment of “very compelling” obstacles to their expulsion. The kind of everyday relationships between parents and adult children</w:t>
      </w:r>
      <w:r>
        <w:rPr>
          <w:rFonts w:ascii="Book Antiqua" w:hAnsi="Book Antiqua"/>
        </w:rPr>
        <w:t xml:space="preserve"> and between loving and committed partners</w:t>
      </w:r>
      <w:r w:rsidR="00B54AA3" w:rsidRPr="00D96630">
        <w:rPr>
          <w:rFonts w:ascii="Book Antiqua" w:hAnsi="Book Antiqua"/>
        </w:rPr>
        <w:t>, however close their bond</w:t>
      </w:r>
      <w:r>
        <w:rPr>
          <w:rFonts w:ascii="Book Antiqua" w:hAnsi="Book Antiqua"/>
        </w:rPr>
        <w:t>s</w:t>
      </w:r>
      <w:r w:rsidR="007B0753">
        <w:rPr>
          <w:rFonts w:ascii="Book Antiqua" w:hAnsi="Book Antiqua"/>
        </w:rPr>
        <w:t xml:space="preserve"> and whatever strength of mutual affection they feel</w:t>
      </w:r>
      <w:r>
        <w:rPr>
          <w:rFonts w:ascii="Book Antiqua" w:hAnsi="Book Antiqua"/>
        </w:rPr>
        <w:t>, fall</w:t>
      </w:r>
      <w:r w:rsidR="00B54AA3" w:rsidRPr="00D96630">
        <w:rPr>
          <w:rFonts w:ascii="Book Antiqua" w:hAnsi="Book Antiqua"/>
        </w:rPr>
        <w:t xml:space="preserve"> well short of that threshold.</w:t>
      </w:r>
      <w:r w:rsidR="00D96630">
        <w:rPr>
          <w:rFonts w:ascii="Book Antiqua" w:hAnsi="Book Antiqua"/>
        </w:rPr>
        <w:t xml:space="preserve"> </w:t>
      </w:r>
      <w:r w:rsidR="007B0753">
        <w:rPr>
          <w:rFonts w:ascii="Book Antiqua" w:hAnsi="Book Antiqua"/>
        </w:rPr>
        <w:t xml:space="preserve">Indeed, any other decision than that reached by the First-tier Tribunal would have been a rather surprising one. </w:t>
      </w:r>
    </w:p>
    <w:p w14:paraId="2F36E9AD" w14:textId="77777777" w:rsidR="007B0753" w:rsidRDefault="007B0753" w:rsidP="007B0753">
      <w:pPr>
        <w:pStyle w:val="ListParagraph"/>
        <w:rPr>
          <w:rFonts w:ascii="Book Antiqua" w:hAnsi="Book Antiqua"/>
        </w:rPr>
      </w:pPr>
    </w:p>
    <w:p w14:paraId="68AF66E4" w14:textId="77777777" w:rsidR="007B0753" w:rsidRPr="00D96630" w:rsidRDefault="007B0753" w:rsidP="00D96630">
      <w:pPr>
        <w:numPr>
          <w:ilvl w:val="0"/>
          <w:numId w:val="1"/>
        </w:numPr>
        <w:tabs>
          <w:tab w:val="clear" w:pos="927"/>
          <w:tab w:val="left" w:pos="426"/>
          <w:tab w:val="num" w:pos="851"/>
        </w:tabs>
        <w:ind w:left="426" w:hanging="426"/>
        <w:jc w:val="both"/>
        <w:rPr>
          <w:rFonts w:ascii="Book Antiqua" w:hAnsi="Book Antiqua"/>
        </w:rPr>
      </w:pPr>
      <w:r>
        <w:rPr>
          <w:rFonts w:ascii="Book Antiqua" w:hAnsi="Book Antiqua"/>
        </w:rPr>
        <w:lastRenderedPageBreak/>
        <w:t xml:space="preserve">There being no material error of law established within the decision of the First-tier Tribunal, the appeal must be dismissed. </w:t>
      </w:r>
    </w:p>
    <w:p w14:paraId="2C0B18E3" w14:textId="77777777" w:rsidR="00941611" w:rsidRDefault="00941611" w:rsidP="00936B0A">
      <w:pPr>
        <w:tabs>
          <w:tab w:val="left" w:pos="567"/>
        </w:tabs>
        <w:ind w:left="208"/>
        <w:jc w:val="both"/>
        <w:rPr>
          <w:rFonts w:ascii="Book Antiqua" w:hAnsi="Book Antiqua" w:cs="Arial"/>
        </w:rPr>
      </w:pPr>
    </w:p>
    <w:p w14:paraId="40C6910F" w14:textId="77777777" w:rsidR="00936B0A" w:rsidRPr="00936B0A" w:rsidRDefault="00936B0A" w:rsidP="00936B0A">
      <w:pPr>
        <w:tabs>
          <w:tab w:val="left" w:pos="567"/>
        </w:tabs>
        <w:jc w:val="both"/>
        <w:rPr>
          <w:rFonts w:ascii="Book Antiqua" w:hAnsi="Book Antiqua" w:cs="Arial"/>
          <w:u w:val="single"/>
        </w:rPr>
      </w:pPr>
      <w:r w:rsidRPr="00936B0A">
        <w:rPr>
          <w:rFonts w:ascii="Book Antiqua" w:hAnsi="Book Antiqua" w:cs="Arial"/>
        </w:rPr>
        <w:t xml:space="preserve">      </w:t>
      </w:r>
      <w:r w:rsidRPr="00936B0A">
        <w:rPr>
          <w:rFonts w:ascii="Book Antiqua" w:hAnsi="Book Antiqua" w:cs="Arial"/>
          <w:u w:val="single"/>
        </w:rPr>
        <w:t>Decision:</w:t>
      </w:r>
    </w:p>
    <w:p w14:paraId="1CB7C910" w14:textId="77777777" w:rsidR="00936B0A" w:rsidRPr="00936B0A" w:rsidRDefault="00936B0A" w:rsidP="00936B0A">
      <w:pPr>
        <w:tabs>
          <w:tab w:val="left" w:pos="567"/>
        </w:tabs>
        <w:jc w:val="both"/>
        <w:rPr>
          <w:rFonts w:ascii="Book Antiqua" w:hAnsi="Book Antiqua" w:cs="Arial"/>
        </w:rPr>
      </w:pPr>
    </w:p>
    <w:p w14:paraId="51A931C5" w14:textId="77777777" w:rsidR="00936B0A" w:rsidRPr="00936B0A" w:rsidRDefault="00936B0A" w:rsidP="00936B0A">
      <w:pPr>
        <w:tabs>
          <w:tab w:val="left" w:pos="567"/>
        </w:tabs>
        <w:ind w:left="567"/>
        <w:jc w:val="both"/>
        <w:rPr>
          <w:rFonts w:ascii="Book Antiqua" w:hAnsi="Book Antiqua" w:cs="Arial"/>
        </w:rPr>
      </w:pPr>
      <w:r w:rsidRPr="00936B0A">
        <w:rPr>
          <w:rFonts w:ascii="Book Antiqua" w:hAnsi="Book Antiqua" w:cs="Arial"/>
        </w:rPr>
        <w:t xml:space="preserve">The decision of the First-tier Tribunal stands. </w:t>
      </w:r>
    </w:p>
    <w:p w14:paraId="62E72CEE" w14:textId="77777777" w:rsidR="00936B0A" w:rsidRPr="00936B0A" w:rsidRDefault="00936B0A" w:rsidP="00936B0A">
      <w:pPr>
        <w:tabs>
          <w:tab w:val="left" w:pos="567"/>
        </w:tabs>
        <w:ind w:left="567"/>
        <w:jc w:val="both"/>
        <w:rPr>
          <w:rFonts w:ascii="Book Antiqua" w:hAnsi="Book Antiqua" w:cs="Arial"/>
        </w:rPr>
      </w:pPr>
      <w:r w:rsidRPr="00936B0A">
        <w:rPr>
          <w:rFonts w:ascii="Book Antiqua" w:hAnsi="Book Antiqua" w:cs="Arial"/>
        </w:rPr>
        <w:t xml:space="preserve">The appeal is dismissed. </w:t>
      </w:r>
    </w:p>
    <w:p w14:paraId="59B3828C" w14:textId="77777777" w:rsidR="00936B0A" w:rsidRPr="00936B0A" w:rsidRDefault="00936B0A" w:rsidP="00936B0A">
      <w:pPr>
        <w:tabs>
          <w:tab w:val="left" w:pos="567"/>
        </w:tabs>
        <w:jc w:val="both"/>
        <w:rPr>
          <w:rFonts w:ascii="Book Antiqua" w:hAnsi="Book Antiqua" w:cs="Arial"/>
        </w:rPr>
      </w:pPr>
      <w:r w:rsidRPr="00936B0A">
        <w:rPr>
          <w:rFonts w:ascii="Book Antiqua" w:hAnsi="Book Antiqua" w:cs="Arial"/>
          <w:noProof/>
        </w:rPr>
        <w:drawing>
          <wp:inline distT="0" distB="0" distL="0" distR="0" wp14:anchorId="7819DF39" wp14:editId="1395782F">
            <wp:extent cx="2352675" cy="1057275"/>
            <wp:effectExtent l="0" t="0" r="9525" b="9525"/>
            <wp:docPr id="1" name="Picture 1" descr="\\Server-Data\home\marks\My Documents\Personal\Mark Symes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er-Data\home\marks\My Documents\Personal\Mark Symes Signatur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2675" cy="1057275"/>
                    </a:xfrm>
                    <a:prstGeom prst="rect">
                      <a:avLst/>
                    </a:prstGeom>
                    <a:noFill/>
                    <a:ln>
                      <a:noFill/>
                    </a:ln>
                  </pic:spPr>
                </pic:pic>
              </a:graphicData>
            </a:graphic>
          </wp:inline>
        </w:drawing>
      </w:r>
    </w:p>
    <w:p w14:paraId="56A417C3" w14:textId="77777777" w:rsidR="00936B0A" w:rsidRPr="00936B0A" w:rsidRDefault="00936B0A" w:rsidP="00936B0A">
      <w:pPr>
        <w:tabs>
          <w:tab w:val="left" w:pos="567"/>
        </w:tabs>
        <w:jc w:val="both"/>
        <w:rPr>
          <w:rFonts w:ascii="Book Antiqua" w:hAnsi="Book Antiqua" w:cs="Arial"/>
        </w:rPr>
      </w:pPr>
      <w:r w:rsidRPr="00936B0A">
        <w:rPr>
          <w:rFonts w:ascii="Book Antiqua" w:hAnsi="Book Antiqua" w:cs="Arial"/>
        </w:rPr>
        <w:t xml:space="preserve">Signed: </w:t>
      </w:r>
      <w:r w:rsidRPr="00936B0A">
        <w:rPr>
          <w:rFonts w:ascii="Book Antiqua" w:hAnsi="Book Antiqua" w:cs="Arial"/>
        </w:rPr>
        <w:tab/>
      </w:r>
      <w:r w:rsidRPr="00936B0A">
        <w:rPr>
          <w:rFonts w:ascii="Book Antiqua" w:hAnsi="Book Antiqua" w:cs="Arial"/>
        </w:rPr>
        <w:tab/>
      </w:r>
      <w:r w:rsidRPr="00936B0A">
        <w:rPr>
          <w:rFonts w:ascii="Book Antiqua" w:hAnsi="Book Antiqua" w:cs="Arial"/>
        </w:rPr>
        <w:tab/>
      </w:r>
      <w:r w:rsidRPr="00936B0A">
        <w:rPr>
          <w:rFonts w:ascii="Book Antiqua" w:hAnsi="Book Antiqua" w:cs="Arial"/>
        </w:rPr>
        <w:tab/>
      </w:r>
      <w:r w:rsidRPr="00936B0A">
        <w:rPr>
          <w:rFonts w:ascii="Book Antiqua" w:hAnsi="Book Antiqua" w:cs="Arial"/>
        </w:rPr>
        <w:tab/>
      </w:r>
      <w:r w:rsidRPr="00936B0A">
        <w:rPr>
          <w:rFonts w:ascii="Book Antiqua" w:hAnsi="Book Antiqua" w:cs="Arial"/>
        </w:rPr>
        <w:tab/>
      </w:r>
      <w:r w:rsidRPr="00936B0A">
        <w:rPr>
          <w:rFonts w:ascii="Book Antiqua" w:hAnsi="Book Antiqua" w:cs="Arial"/>
        </w:rPr>
        <w:tab/>
      </w:r>
      <w:r w:rsidRPr="00936B0A">
        <w:rPr>
          <w:rFonts w:ascii="Book Antiqua" w:hAnsi="Book Antiqua" w:cs="Arial"/>
        </w:rPr>
        <w:tab/>
      </w:r>
      <w:r w:rsidR="00DB2D86">
        <w:rPr>
          <w:rFonts w:ascii="Book Antiqua" w:hAnsi="Book Antiqua" w:cs="Arial"/>
        </w:rPr>
        <w:t>Date: 12</w:t>
      </w:r>
      <w:r w:rsidRPr="00936B0A">
        <w:rPr>
          <w:rFonts w:ascii="Book Antiqua" w:hAnsi="Book Antiqua" w:cs="Arial"/>
        </w:rPr>
        <w:t xml:space="preserve"> June 2018</w:t>
      </w:r>
    </w:p>
    <w:p w14:paraId="70308B0C" w14:textId="77777777" w:rsidR="004D0558" w:rsidRPr="005334A2" w:rsidRDefault="00936B0A" w:rsidP="005334A2">
      <w:pPr>
        <w:tabs>
          <w:tab w:val="left" w:pos="567"/>
        </w:tabs>
        <w:jc w:val="both"/>
        <w:rPr>
          <w:rFonts w:ascii="Book Antiqua" w:hAnsi="Book Antiqua" w:cs="Arial"/>
        </w:rPr>
      </w:pPr>
      <w:r w:rsidRPr="00936B0A">
        <w:rPr>
          <w:rFonts w:ascii="Book Antiqua" w:hAnsi="Book Antiqua" w:cs="Arial"/>
        </w:rPr>
        <w:t xml:space="preserve">Deputy Upper Tribunal Judge </w:t>
      </w:r>
      <w:proofErr w:type="spellStart"/>
      <w:r w:rsidRPr="00936B0A">
        <w:rPr>
          <w:rFonts w:ascii="Book Antiqua" w:hAnsi="Book Antiqua" w:cs="Arial"/>
        </w:rPr>
        <w:t>Symes</w:t>
      </w:r>
      <w:proofErr w:type="spellEnd"/>
    </w:p>
    <w:sectPr w:rsidR="004D0558" w:rsidRPr="005334A2" w:rsidSect="00614E94">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06B73" w14:textId="77777777" w:rsidR="00936B0A" w:rsidRDefault="00936B0A" w:rsidP="00936B0A">
      <w:r>
        <w:separator/>
      </w:r>
    </w:p>
  </w:endnote>
  <w:endnote w:type="continuationSeparator" w:id="0">
    <w:p w14:paraId="3590495A" w14:textId="77777777" w:rsidR="00936B0A" w:rsidRDefault="00936B0A" w:rsidP="00936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716F9" w14:textId="60A84EFC" w:rsidR="00614E94" w:rsidRPr="00593795" w:rsidRDefault="005334A2"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FD54A6">
      <w:rPr>
        <w:rStyle w:val="PageNumber"/>
        <w:rFonts w:ascii="Arial" w:hAnsi="Arial" w:cs="Arial"/>
        <w:noProof/>
        <w:sz w:val="16"/>
        <w:szCs w:val="16"/>
      </w:rPr>
      <w:t>9</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F0F21" w14:textId="56471863" w:rsidR="00614E94" w:rsidRPr="00090CF9" w:rsidRDefault="005334A2" w:rsidP="00614E94">
    <w:pPr>
      <w:jc w:val="center"/>
      <w:rPr>
        <w:rFonts w:ascii="Arial" w:hAnsi="Arial" w:cs="Arial"/>
        <w:b/>
      </w:rPr>
    </w:pPr>
    <w:r w:rsidRPr="00090CF9">
      <w:rPr>
        <w:rFonts w:ascii="Arial" w:hAnsi="Arial" w:cs="Arial"/>
        <w:b/>
        <w:spacing w:val="-6"/>
      </w:rPr>
      <w:t>©</w:t>
    </w:r>
    <w:r w:rsidR="00C74962">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7186FD" w14:textId="77777777" w:rsidR="00936B0A" w:rsidRDefault="00936B0A" w:rsidP="00936B0A">
      <w:r>
        <w:separator/>
      </w:r>
    </w:p>
  </w:footnote>
  <w:footnote w:type="continuationSeparator" w:id="0">
    <w:p w14:paraId="53013FE5" w14:textId="77777777" w:rsidR="00936B0A" w:rsidRDefault="00936B0A" w:rsidP="00936B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8B6AA" w14:textId="77777777" w:rsidR="00614E94" w:rsidRPr="003C5CE5" w:rsidRDefault="005334A2" w:rsidP="00614E94">
    <w:pPr>
      <w:pStyle w:val="Header"/>
      <w:jc w:val="right"/>
      <w:rPr>
        <w:rFonts w:ascii="Arial" w:hAnsi="Arial" w:cs="Arial"/>
        <w:sz w:val="16"/>
        <w:szCs w:val="16"/>
      </w:rPr>
    </w:pPr>
    <w:r>
      <w:rPr>
        <w:rFonts w:ascii="Arial" w:hAnsi="Arial" w:cs="Arial"/>
        <w:sz w:val="16"/>
        <w:szCs w:val="16"/>
      </w:rPr>
      <w:t xml:space="preserve">Appeal Number: </w:t>
    </w:r>
    <w:r w:rsidR="00936B0A" w:rsidRPr="00936B0A">
      <w:rPr>
        <w:sz w:val="18"/>
        <w:szCs w:val="18"/>
      </w:rPr>
      <w:t>HU/00321/2018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E7209"/>
    <w:multiLevelType w:val="hybridMultilevel"/>
    <w:tmpl w:val="7A0A305C"/>
    <w:lvl w:ilvl="0" w:tplc="5D026EF8">
      <w:start w:val="1"/>
      <w:numFmt w:val="lowerLetter"/>
      <w:lvlText w:val="(%1)"/>
      <w:lvlJc w:val="left"/>
      <w:pPr>
        <w:ind w:left="568" w:hanging="360"/>
      </w:pPr>
      <w:rPr>
        <w:rFonts w:hint="default"/>
      </w:rPr>
    </w:lvl>
    <w:lvl w:ilvl="1" w:tplc="08090019" w:tentative="1">
      <w:start w:val="1"/>
      <w:numFmt w:val="lowerLetter"/>
      <w:lvlText w:val="%2."/>
      <w:lvlJc w:val="left"/>
      <w:pPr>
        <w:ind w:left="1288" w:hanging="360"/>
      </w:pPr>
    </w:lvl>
    <w:lvl w:ilvl="2" w:tplc="0809001B" w:tentative="1">
      <w:start w:val="1"/>
      <w:numFmt w:val="lowerRoman"/>
      <w:lvlText w:val="%3."/>
      <w:lvlJc w:val="right"/>
      <w:pPr>
        <w:ind w:left="2008" w:hanging="180"/>
      </w:pPr>
    </w:lvl>
    <w:lvl w:ilvl="3" w:tplc="0809000F" w:tentative="1">
      <w:start w:val="1"/>
      <w:numFmt w:val="decimal"/>
      <w:lvlText w:val="%4."/>
      <w:lvlJc w:val="left"/>
      <w:pPr>
        <w:ind w:left="2728" w:hanging="360"/>
      </w:pPr>
    </w:lvl>
    <w:lvl w:ilvl="4" w:tplc="08090019" w:tentative="1">
      <w:start w:val="1"/>
      <w:numFmt w:val="lowerLetter"/>
      <w:lvlText w:val="%5."/>
      <w:lvlJc w:val="left"/>
      <w:pPr>
        <w:ind w:left="3448" w:hanging="360"/>
      </w:pPr>
    </w:lvl>
    <w:lvl w:ilvl="5" w:tplc="0809001B" w:tentative="1">
      <w:start w:val="1"/>
      <w:numFmt w:val="lowerRoman"/>
      <w:lvlText w:val="%6."/>
      <w:lvlJc w:val="right"/>
      <w:pPr>
        <w:ind w:left="4168" w:hanging="180"/>
      </w:pPr>
    </w:lvl>
    <w:lvl w:ilvl="6" w:tplc="0809000F" w:tentative="1">
      <w:start w:val="1"/>
      <w:numFmt w:val="decimal"/>
      <w:lvlText w:val="%7."/>
      <w:lvlJc w:val="left"/>
      <w:pPr>
        <w:ind w:left="4888" w:hanging="360"/>
      </w:pPr>
    </w:lvl>
    <w:lvl w:ilvl="7" w:tplc="08090019" w:tentative="1">
      <w:start w:val="1"/>
      <w:numFmt w:val="lowerLetter"/>
      <w:lvlText w:val="%8."/>
      <w:lvlJc w:val="left"/>
      <w:pPr>
        <w:ind w:left="5608" w:hanging="360"/>
      </w:pPr>
    </w:lvl>
    <w:lvl w:ilvl="8" w:tplc="0809001B" w:tentative="1">
      <w:start w:val="1"/>
      <w:numFmt w:val="lowerRoman"/>
      <w:lvlText w:val="%9."/>
      <w:lvlJc w:val="right"/>
      <w:pPr>
        <w:ind w:left="6328" w:hanging="180"/>
      </w:pPr>
    </w:lvl>
  </w:abstractNum>
  <w:abstractNum w:abstractNumId="1" w15:restartNumberingAfterBreak="0">
    <w:nsid w:val="1D9B7D0E"/>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2" w15:restartNumberingAfterBreak="0">
    <w:nsid w:val="221651C4"/>
    <w:multiLevelType w:val="hybridMultilevel"/>
    <w:tmpl w:val="8E3045BE"/>
    <w:lvl w:ilvl="0" w:tplc="9BA8148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1142BE"/>
    <w:multiLevelType w:val="hybridMultilevel"/>
    <w:tmpl w:val="89C241E8"/>
    <w:lvl w:ilvl="0" w:tplc="6590A7EC">
      <w:start w:val="2"/>
      <w:numFmt w:val="bullet"/>
      <w:lvlText w:val="-"/>
      <w:lvlJc w:val="left"/>
      <w:pPr>
        <w:ind w:left="927" w:hanging="360"/>
      </w:pPr>
      <w:rPr>
        <w:rFonts w:ascii="Book Antiqua" w:eastAsia="Times New Roman" w:hAnsi="Book Antiqua" w:cs="Aria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4"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5" w15:restartNumberingAfterBreak="0">
    <w:nsid w:val="562B6EF4"/>
    <w:multiLevelType w:val="hybridMultilevel"/>
    <w:tmpl w:val="B3DA641C"/>
    <w:lvl w:ilvl="0" w:tplc="0578059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E8611C4"/>
    <w:multiLevelType w:val="hybridMultilevel"/>
    <w:tmpl w:val="BB78A388"/>
    <w:lvl w:ilvl="0" w:tplc="E368B91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6"/>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B0A"/>
    <w:rsid w:val="00003B61"/>
    <w:rsid w:val="003542A7"/>
    <w:rsid w:val="00435547"/>
    <w:rsid w:val="004D0558"/>
    <w:rsid w:val="005334A2"/>
    <w:rsid w:val="006A47F0"/>
    <w:rsid w:val="007464BA"/>
    <w:rsid w:val="007B0753"/>
    <w:rsid w:val="00936B0A"/>
    <w:rsid w:val="00941611"/>
    <w:rsid w:val="00985A8C"/>
    <w:rsid w:val="00B54AA3"/>
    <w:rsid w:val="00BB27EE"/>
    <w:rsid w:val="00C74962"/>
    <w:rsid w:val="00CB43A2"/>
    <w:rsid w:val="00D67EE7"/>
    <w:rsid w:val="00D96630"/>
    <w:rsid w:val="00DB2D86"/>
    <w:rsid w:val="00EC0C7F"/>
    <w:rsid w:val="00F6389D"/>
    <w:rsid w:val="00FD54A6"/>
    <w:rsid w:val="00FF56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6025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6B0A"/>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36B0A"/>
    <w:pPr>
      <w:tabs>
        <w:tab w:val="center" w:pos="4153"/>
        <w:tab w:val="right" w:pos="8306"/>
      </w:tabs>
    </w:pPr>
  </w:style>
  <w:style w:type="character" w:customStyle="1" w:styleId="HeaderChar">
    <w:name w:val="Header Char"/>
    <w:basedOn w:val="DefaultParagraphFont"/>
    <w:link w:val="Header"/>
    <w:uiPriority w:val="99"/>
    <w:rsid w:val="00936B0A"/>
    <w:rPr>
      <w:rFonts w:ascii="Times New Roman" w:eastAsia="Times New Roman" w:hAnsi="Times New Roman" w:cs="Times New Roman"/>
      <w:sz w:val="24"/>
      <w:szCs w:val="24"/>
      <w:lang w:eastAsia="en-GB"/>
    </w:rPr>
  </w:style>
  <w:style w:type="paragraph" w:styleId="Footer">
    <w:name w:val="footer"/>
    <w:basedOn w:val="Normal"/>
    <w:link w:val="FooterChar"/>
    <w:rsid w:val="00936B0A"/>
    <w:pPr>
      <w:tabs>
        <w:tab w:val="center" w:pos="4153"/>
        <w:tab w:val="right" w:pos="8306"/>
      </w:tabs>
    </w:pPr>
  </w:style>
  <w:style w:type="character" w:customStyle="1" w:styleId="FooterChar">
    <w:name w:val="Footer Char"/>
    <w:basedOn w:val="DefaultParagraphFont"/>
    <w:link w:val="Footer"/>
    <w:rsid w:val="00936B0A"/>
    <w:rPr>
      <w:rFonts w:ascii="Times New Roman" w:eastAsia="Times New Roman" w:hAnsi="Times New Roman" w:cs="Times New Roman"/>
      <w:sz w:val="24"/>
      <w:szCs w:val="24"/>
      <w:lang w:eastAsia="en-GB"/>
    </w:rPr>
  </w:style>
  <w:style w:type="character" w:styleId="PageNumber">
    <w:name w:val="page number"/>
    <w:basedOn w:val="DefaultParagraphFont"/>
    <w:rsid w:val="00936B0A"/>
  </w:style>
  <w:style w:type="paragraph" w:styleId="ListParagraph">
    <w:name w:val="List Paragraph"/>
    <w:aliases w:val="Comments,Colorful List - Accent 11,List Paragraph1,Dot pt,List Paragraph11,Bullet 1,Bullet Points,MAIN CONTENT,F5 List Paragraph,No Spacing1,List Paragraph Char Char Char,Indicator Text,Numbered Para 1,Párrafo de lista,Recommendation"/>
    <w:basedOn w:val="Normal"/>
    <w:link w:val="ListParagraphChar"/>
    <w:uiPriority w:val="34"/>
    <w:qFormat/>
    <w:rsid w:val="00936B0A"/>
    <w:pPr>
      <w:ind w:left="720"/>
    </w:pPr>
  </w:style>
  <w:style w:type="paragraph" w:styleId="BalloonText">
    <w:name w:val="Balloon Text"/>
    <w:basedOn w:val="Normal"/>
    <w:link w:val="BalloonTextChar"/>
    <w:uiPriority w:val="99"/>
    <w:semiHidden/>
    <w:unhideWhenUsed/>
    <w:rsid w:val="005334A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4A2"/>
    <w:rPr>
      <w:rFonts w:ascii="Segoe UI" w:eastAsia="Times New Roman" w:hAnsi="Segoe UI" w:cs="Segoe UI"/>
      <w:sz w:val="18"/>
      <w:szCs w:val="18"/>
      <w:lang w:eastAsia="en-GB"/>
    </w:rPr>
  </w:style>
  <w:style w:type="character" w:customStyle="1" w:styleId="ListParagraphChar">
    <w:name w:val="List Paragraph Char"/>
    <w:aliases w:val="Comments Char,Colorful List - Accent 11 Char,List Paragraph1 Char,Dot pt Char,List Paragraph11 Char,Bullet 1 Char,Bullet Points Char,MAIN CONTENT Char,F5 List Paragraph Char,No Spacing1 Char,List Paragraph Char Char Char Char"/>
    <w:link w:val="ListParagraph"/>
    <w:uiPriority w:val="34"/>
    <w:locked/>
    <w:rsid w:val="00D96630"/>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3532</Words>
  <Characters>20139</Characters>
  <Application>Microsoft Office Word</Application>
  <DocSecurity>0</DocSecurity>
  <Lines>167</Lines>
  <Paragraphs>47</Paragraphs>
  <ScaleCrop>false</ScaleCrop>
  <Company/>
  <LinksUpToDate>false</LinksUpToDate>
  <CharactersWithSpaces>23624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2018-07-12T12:14:00Z</dcterms:created>
  <dcterms:modified xsi:type="dcterms:W3CDTF">2018-07-12T12:14:00Z</dcterms:modified>
</cp:coreProperties>
</file>