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E7E" w:rsidRDefault="00071E7E" w:rsidP="00071E7E"/>
    <w:p w:rsidR="00071E7E" w:rsidRDefault="00071E7E" w:rsidP="00071E7E"/>
    <w:p w:rsidR="00071E7E" w:rsidRPr="00F97703" w:rsidRDefault="00071E7E" w:rsidP="00071E7E">
      <w:pPr>
        <w:rPr>
          <w:rFonts w:ascii="Book Antiqua" w:hAnsi="Book Antiqua" w:cs="Arial"/>
          <w:color w:val="000000"/>
          <w:sz w:val="16"/>
          <w:szCs w:val="16"/>
        </w:rPr>
      </w:pPr>
    </w:p>
    <w:p w:rsidR="00071E7E" w:rsidRDefault="00071E7E" w:rsidP="00363573">
      <w:pPr>
        <w:jc w:val="center"/>
        <w:rPr>
          <w:rFonts w:ascii="Book Antiqua" w:hAnsi="Book Antiqua" w:cs="Arial"/>
          <w:color w:val="000000"/>
        </w:rPr>
      </w:pPr>
      <w:r>
        <w:rPr>
          <w:noProof/>
        </w:rPr>
        <w:drawing>
          <wp:inline distT="0" distB="0" distL="0" distR="0">
            <wp:extent cx="1400400" cy="1065600"/>
            <wp:effectExtent l="0" t="0" r="9525" b="0"/>
            <wp:docPr id="4"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00400" cy="1065600"/>
                    </a:xfrm>
                    <a:prstGeom prst="rect">
                      <a:avLst/>
                    </a:prstGeom>
                    <a:noFill/>
                    <a:ln w="9525">
                      <a:noFill/>
                      <a:miter lim="800000"/>
                      <a:headEnd/>
                      <a:tailEnd/>
                    </a:ln>
                  </pic:spPr>
                </pic:pic>
              </a:graphicData>
            </a:graphic>
          </wp:inline>
        </w:drawing>
      </w:r>
    </w:p>
    <w:p w:rsidR="00071E7E" w:rsidRPr="00F97703" w:rsidRDefault="00071E7E" w:rsidP="00071E7E">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071E7E" w:rsidRDefault="00071E7E" w:rsidP="00071E7E">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363573">
        <w:rPr>
          <w:rFonts w:ascii="Book Antiqua" w:hAnsi="Book Antiqua" w:cs="Arial"/>
          <w:b/>
          <w:color w:val="000000"/>
        </w:rPr>
        <w:t xml:space="preserve">Appeal Number: </w:t>
      </w:r>
      <w:r w:rsidR="00530DE8" w:rsidRPr="00363573">
        <w:rPr>
          <w:rFonts w:ascii="Book Antiqua" w:hAnsi="Book Antiqua" w:cs="Arial"/>
          <w:b/>
          <w:caps/>
          <w:color w:val="000000"/>
        </w:rPr>
        <w:t>HU/00477</w:t>
      </w:r>
      <w:r w:rsidRPr="00363573">
        <w:rPr>
          <w:rFonts w:ascii="Book Antiqua" w:hAnsi="Book Antiqua" w:cs="Arial"/>
          <w:b/>
          <w:caps/>
          <w:color w:val="000000"/>
        </w:rPr>
        <w:t>/2016</w:t>
      </w:r>
      <w:r>
        <w:rPr>
          <w:rFonts w:ascii="Book Antiqua" w:hAnsi="Book Antiqua" w:cs="Arial"/>
          <w:caps/>
          <w:color w:val="000000"/>
        </w:rPr>
        <w:t xml:space="preserve"> </w:t>
      </w:r>
    </w:p>
    <w:p w:rsidR="00071E7E" w:rsidRPr="00F97703" w:rsidRDefault="00071E7E" w:rsidP="00071E7E">
      <w:pPr>
        <w:jc w:val="center"/>
        <w:rPr>
          <w:rFonts w:ascii="Book Antiqua" w:hAnsi="Book Antiqua" w:cs="Arial"/>
          <w:color w:val="000000"/>
        </w:rPr>
      </w:pPr>
    </w:p>
    <w:p w:rsidR="00071E7E" w:rsidRPr="00F97703" w:rsidRDefault="00071E7E" w:rsidP="00071E7E">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71E7E" w:rsidRPr="00F97703" w:rsidRDefault="00071E7E" w:rsidP="00071E7E">
      <w:pPr>
        <w:jc w:val="center"/>
        <w:rPr>
          <w:rFonts w:ascii="Book Antiqua" w:hAnsi="Book Antiqua" w:cs="Arial"/>
          <w:b/>
          <w:u w:val="single"/>
        </w:rPr>
      </w:pPr>
    </w:p>
    <w:tbl>
      <w:tblPr>
        <w:tblW w:w="8647" w:type="dxa"/>
        <w:tblLook w:val="01E0" w:firstRow="1" w:lastRow="1" w:firstColumn="1" w:lastColumn="1" w:noHBand="0" w:noVBand="0"/>
      </w:tblPr>
      <w:tblGrid>
        <w:gridCol w:w="4242"/>
        <w:gridCol w:w="4405"/>
      </w:tblGrid>
      <w:tr w:rsidR="00071E7E" w:rsidRPr="00B22334" w:rsidTr="00363573">
        <w:tc>
          <w:tcPr>
            <w:tcW w:w="4242" w:type="dxa"/>
          </w:tcPr>
          <w:p w:rsidR="00071E7E" w:rsidRPr="00B22334" w:rsidRDefault="00071E7E" w:rsidP="003109E0">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Liverpool</w:t>
            </w:r>
          </w:p>
        </w:tc>
        <w:tc>
          <w:tcPr>
            <w:tcW w:w="4405" w:type="dxa"/>
          </w:tcPr>
          <w:p w:rsidR="00071E7E" w:rsidRPr="00B22334" w:rsidRDefault="00847D2B" w:rsidP="003109E0">
            <w:pPr>
              <w:jc w:val="both"/>
              <w:rPr>
                <w:rFonts w:ascii="Book Antiqua" w:hAnsi="Book Antiqua" w:cs="Arial"/>
                <w:b/>
                <w:color w:val="000000"/>
              </w:rPr>
            </w:pPr>
            <w:r>
              <w:rPr>
                <w:rFonts w:ascii="Book Antiqua" w:hAnsi="Book Antiqua" w:cs="Arial"/>
                <w:b/>
                <w:color w:val="000000"/>
              </w:rPr>
              <w:t xml:space="preserve">   </w:t>
            </w:r>
            <w:r w:rsidR="00363573">
              <w:rPr>
                <w:rFonts w:ascii="Book Antiqua" w:hAnsi="Book Antiqua" w:cs="Arial"/>
                <w:b/>
                <w:color w:val="000000"/>
              </w:rPr>
              <w:t xml:space="preserve">      </w:t>
            </w:r>
            <w:r w:rsidRPr="00847D2B">
              <w:rPr>
                <w:rFonts w:ascii="Book Antiqua" w:hAnsi="Book Antiqua" w:cs="Arial"/>
                <w:b/>
                <w:color w:val="000000"/>
              </w:rPr>
              <w:t>Decision &amp; Reasons Promulgated</w:t>
            </w:r>
          </w:p>
        </w:tc>
      </w:tr>
      <w:tr w:rsidR="00071E7E" w:rsidRPr="00B22334" w:rsidTr="00363573">
        <w:tc>
          <w:tcPr>
            <w:tcW w:w="4242" w:type="dxa"/>
          </w:tcPr>
          <w:p w:rsidR="00071E7E" w:rsidRPr="00B22334" w:rsidRDefault="00071E7E" w:rsidP="003109E0">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26 June 2018</w:t>
            </w:r>
          </w:p>
        </w:tc>
        <w:tc>
          <w:tcPr>
            <w:tcW w:w="4405" w:type="dxa"/>
          </w:tcPr>
          <w:p w:rsidR="00071E7E" w:rsidRPr="00B22334" w:rsidRDefault="00071E7E" w:rsidP="003109E0">
            <w:pPr>
              <w:jc w:val="both"/>
              <w:rPr>
                <w:rFonts w:ascii="Book Antiqua" w:hAnsi="Book Antiqua" w:cs="Arial"/>
                <w:b/>
              </w:rPr>
            </w:pPr>
            <w:r>
              <w:rPr>
                <w:rFonts w:ascii="Book Antiqua" w:hAnsi="Book Antiqua" w:cs="Arial"/>
                <w:b/>
              </w:rPr>
              <w:t xml:space="preserve"> </w:t>
            </w:r>
            <w:r w:rsidR="00847D2B">
              <w:rPr>
                <w:rFonts w:ascii="Book Antiqua" w:hAnsi="Book Antiqua" w:cs="Arial"/>
                <w:b/>
              </w:rPr>
              <w:t xml:space="preserve">   </w:t>
            </w:r>
            <w:r w:rsidR="00363573">
              <w:rPr>
                <w:rFonts w:ascii="Book Antiqua" w:hAnsi="Book Antiqua" w:cs="Arial"/>
                <w:b/>
              </w:rPr>
              <w:t xml:space="preserve">     </w:t>
            </w:r>
            <w:r w:rsidR="00847D2B">
              <w:rPr>
                <w:rFonts w:ascii="Book Antiqua" w:hAnsi="Book Antiqua" w:cs="Arial"/>
                <w:b/>
              </w:rPr>
              <w:t xml:space="preserve">On 19 July 2018 </w:t>
            </w:r>
          </w:p>
        </w:tc>
      </w:tr>
      <w:tr w:rsidR="00071E7E" w:rsidRPr="00B22334" w:rsidTr="00363573">
        <w:tc>
          <w:tcPr>
            <w:tcW w:w="4242" w:type="dxa"/>
          </w:tcPr>
          <w:p w:rsidR="00071E7E" w:rsidRPr="00B22334" w:rsidRDefault="00071E7E" w:rsidP="003109E0">
            <w:pPr>
              <w:jc w:val="both"/>
              <w:rPr>
                <w:rFonts w:ascii="Book Antiqua" w:hAnsi="Book Antiqua" w:cs="Arial"/>
                <w:b/>
              </w:rPr>
            </w:pPr>
          </w:p>
        </w:tc>
        <w:tc>
          <w:tcPr>
            <w:tcW w:w="4405" w:type="dxa"/>
          </w:tcPr>
          <w:p w:rsidR="00071E7E" w:rsidRPr="00B22334" w:rsidRDefault="00071E7E" w:rsidP="003109E0">
            <w:pPr>
              <w:jc w:val="both"/>
              <w:rPr>
                <w:rFonts w:ascii="Book Antiqua" w:hAnsi="Book Antiqua" w:cs="Arial"/>
                <w:b/>
              </w:rPr>
            </w:pPr>
          </w:p>
        </w:tc>
      </w:tr>
    </w:tbl>
    <w:p w:rsidR="00071E7E" w:rsidRPr="00F97703" w:rsidRDefault="00071E7E" w:rsidP="00071E7E">
      <w:pPr>
        <w:jc w:val="center"/>
        <w:rPr>
          <w:rFonts w:ascii="Book Antiqua" w:hAnsi="Book Antiqua" w:cs="Arial"/>
        </w:rPr>
      </w:pPr>
    </w:p>
    <w:p w:rsidR="00071E7E" w:rsidRPr="00F97703" w:rsidRDefault="00071E7E" w:rsidP="00071E7E">
      <w:pPr>
        <w:jc w:val="center"/>
        <w:rPr>
          <w:rFonts w:ascii="Book Antiqua" w:hAnsi="Book Antiqua" w:cs="Arial"/>
          <w:b/>
        </w:rPr>
      </w:pPr>
      <w:r w:rsidRPr="00F97703">
        <w:rPr>
          <w:rFonts w:ascii="Book Antiqua" w:hAnsi="Book Antiqua" w:cs="Arial"/>
          <w:b/>
        </w:rPr>
        <w:t>Before</w:t>
      </w:r>
    </w:p>
    <w:p w:rsidR="00071E7E" w:rsidRPr="00F97703" w:rsidRDefault="00071E7E" w:rsidP="00071E7E">
      <w:pPr>
        <w:jc w:val="center"/>
        <w:rPr>
          <w:rFonts w:ascii="Book Antiqua" w:hAnsi="Book Antiqua" w:cs="Arial"/>
          <w:b/>
        </w:rPr>
      </w:pPr>
    </w:p>
    <w:p w:rsidR="00071E7E" w:rsidRDefault="00071E7E" w:rsidP="00071E7E">
      <w:pPr>
        <w:jc w:val="center"/>
        <w:rPr>
          <w:rFonts w:ascii="Book Antiqua" w:hAnsi="Book Antiqua" w:cs="Arial"/>
          <w:b/>
          <w:color w:val="000000"/>
        </w:rPr>
      </w:pPr>
      <w:r>
        <w:rPr>
          <w:rFonts w:ascii="Book Antiqua" w:hAnsi="Book Antiqua" w:cs="Arial"/>
          <w:b/>
          <w:color w:val="000000"/>
        </w:rPr>
        <w:t>DEPUTY UPPER TRIBUNAL JUDGE CHAPMAN</w:t>
      </w:r>
    </w:p>
    <w:p w:rsidR="00071E7E" w:rsidRPr="00F97703" w:rsidRDefault="00071E7E" w:rsidP="00071E7E">
      <w:pPr>
        <w:jc w:val="center"/>
        <w:rPr>
          <w:rFonts w:ascii="Book Antiqua" w:hAnsi="Book Antiqua" w:cs="Arial"/>
          <w:b/>
        </w:rPr>
      </w:pPr>
    </w:p>
    <w:p w:rsidR="00071E7E" w:rsidRDefault="00071E7E" w:rsidP="00071E7E">
      <w:pPr>
        <w:jc w:val="center"/>
        <w:rPr>
          <w:rFonts w:ascii="Book Antiqua" w:hAnsi="Book Antiqua" w:cs="Arial"/>
          <w:b/>
        </w:rPr>
      </w:pPr>
      <w:r w:rsidRPr="00F97703">
        <w:rPr>
          <w:rFonts w:ascii="Book Antiqua" w:hAnsi="Book Antiqua" w:cs="Arial"/>
          <w:b/>
        </w:rPr>
        <w:t>Between</w:t>
      </w:r>
    </w:p>
    <w:p w:rsidR="00071E7E" w:rsidRDefault="00071E7E" w:rsidP="00071E7E">
      <w:pPr>
        <w:jc w:val="center"/>
        <w:rPr>
          <w:rFonts w:ascii="Book Antiqua" w:hAnsi="Book Antiqua" w:cs="Arial"/>
          <w:b/>
        </w:rPr>
      </w:pPr>
    </w:p>
    <w:p w:rsidR="00071E7E" w:rsidRPr="000653E4" w:rsidRDefault="00F31DB4" w:rsidP="00071E7E">
      <w:pPr>
        <w:jc w:val="center"/>
        <w:rPr>
          <w:rFonts w:ascii="Book Antiqua" w:hAnsi="Book Antiqua" w:cs="Arial"/>
          <w:b/>
        </w:rPr>
      </w:pPr>
      <w:r>
        <w:rPr>
          <w:rFonts w:ascii="Book Antiqua" w:hAnsi="Book Antiqua" w:cs="Arial"/>
          <w:b/>
        </w:rPr>
        <w:t xml:space="preserve">        ENTRY CLEARANCE OFFICER</w:t>
      </w:r>
    </w:p>
    <w:p w:rsidR="00071E7E" w:rsidRPr="00F97703" w:rsidRDefault="00071E7E" w:rsidP="00071E7E">
      <w:pPr>
        <w:jc w:val="center"/>
        <w:rPr>
          <w:rFonts w:ascii="Book Antiqua" w:hAnsi="Book Antiqua" w:cs="Arial"/>
          <w:u w:val="single"/>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F97703">
        <w:rPr>
          <w:rFonts w:ascii="Book Antiqua" w:hAnsi="Book Antiqua" w:cs="Arial"/>
          <w:u w:val="single"/>
        </w:rPr>
        <w:t>Appellant</w:t>
      </w:r>
    </w:p>
    <w:p w:rsidR="00071E7E" w:rsidRDefault="00071E7E" w:rsidP="00071E7E">
      <w:pPr>
        <w:jc w:val="center"/>
        <w:rPr>
          <w:rFonts w:ascii="Book Antiqua" w:hAnsi="Book Antiqua" w:cs="Arial"/>
          <w:b/>
        </w:rPr>
      </w:pPr>
    </w:p>
    <w:p w:rsidR="00071E7E" w:rsidRPr="00F97703" w:rsidRDefault="00363573" w:rsidP="00071E7E">
      <w:pPr>
        <w:jc w:val="center"/>
        <w:rPr>
          <w:rFonts w:ascii="Book Antiqua" w:hAnsi="Book Antiqua" w:cs="Arial"/>
          <w:b/>
        </w:rPr>
      </w:pPr>
      <w:r>
        <w:rPr>
          <w:rFonts w:ascii="Book Antiqua" w:hAnsi="Book Antiqua" w:cs="Arial"/>
          <w:b/>
        </w:rPr>
        <w:t>and</w:t>
      </w:r>
    </w:p>
    <w:p w:rsidR="00071E7E" w:rsidRDefault="00071E7E" w:rsidP="00071E7E">
      <w:pPr>
        <w:jc w:val="center"/>
        <w:rPr>
          <w:rFonts w:ascii="Book Antiqua" w:hAnsi="Book Antiqua" w:cs="Arial"/>
          <w:b/>
        </w:rPr>
      </w:pPr>
    </w:p>
    <w:p w:rsidR="00071E7E" w:rsidRPr="00F97703" w:rsidRDefault="00071E7E" w:rsidP="00071E7E">
      <w:pPr>
        <w:jc w:val="center"/>
        <w:rPr>
          <w:rFonts w:ascii="Book Antiqua" w:hAnsi="Book Antiqua" w:cs="Arial"/>
          <w:b/>
        </w:rPr>
      </w:pPr>
      <w:r>
        <w:rPr>
          <w:rFonts w:ascii="Book Antiqua" w:hAnsi="Book Antiqua" w:cs="Arial"/>
          <w:b/>
        </w:rPr>
        <w:tab/>
      </w:r>
      <w:r w:rsidR="00530DE8">
        <w:rPr>
          <w:rFonts w:ascii="Book Antiqua" w:hAnsi="Book Antiqua" w:cs="Arial"/>
          <w:b/>
        </w:rPr>
        <w:t>MRS ZAIBUNNISA MOHMED PATEL</w:t>
      </w:r>
    </w:p>
    <w:p w:rsidR="00071E7E" w:rsidRPr="00F97703" w:rsidRDefault="00071E7E" w:rsidP="00071E7E">
      <w:pPr>
        <w:jc w:val="center"/>
        <w:rPr>
          <w:rFonts w:ascii="Book Antiqua" w:hAnsi="Book Antiqua" w:cs="Arial"/>
          <w:u w:val="single"/>
        </w:rPr>
      </w:pP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Pr>
          <w:rFonts w:ascii="Book Antiqua" w:hAnsi="Book Antiqua" w:cs="Arial"/>
        </w:rPr>
        <w:t xml:space="preserve">         </w:t>
      </w:r>
      <w:r w:rsidRPr="00F97703">
        <w:rPr>
          <w:rFonts w:ascii="Book Antiqua" w:hAnsi="Book Antiqua" w:cs="Arial"/>
          <w:u w:val="single"/>
        </w:rPr>
        <w:t>Respondent</w:t>
      </w:r>
    </w:p>
    <w:p w:rsidR="00363573" w:rsidRDefault="00363573" w:rsidP="00071E7E">
      <w:pPr>
        <w:rPr>
          <w:rFonts w:ascii="Book Antiqua" w:hAnsi="Book Antiqua" w:cs="Arial"/>
          <w:b/>
          <w:u w:val="single"/>
        </w:rPr>
      </w:pPr>
    </w:p>
    <w:p w:rsidR="00071E7E" w:rsidRPr="00F97703" w:rsidRDefault="00071E7E" w:rsidP="00071E7E">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071E7E" w:rsidRPr="00F97703" w:rsidRDefault="00071E7E" w:rsidP="00071E7E">
      <w:pPr>
        <w:rPr>
          <w:rFonts w:ascii="Book Antiqua" w:hAnsi="Book Antiqua" w:cs="Arial"/>
        </w:rPr>
      </w:pPr>
    </w:p>
    <w:p w:rsidR="00071E7E" w:rsidRDefault="00071E7E" w:rsidP="00071E7E">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proofErr w:type="spellStart"/>
      <w:r w:rsidR="007022CD">
        <w:rPr>
          <w:rFonts w:ascii="Book Antiqua" w:hAnsi="Book Antiqua" w:cs="Arial"/>
        </w:rPr>
        <w:t>M</w:t>
      </w:r>
      <w:r w:rsidR="00530DE8">
        <w:rPr>
          <w:rFonts w:ascii="Book Antiqua" w:hAnsi="Book Antiqua" w:cs="Arial"/>
        </w:rPr>
        <w:t>s</w:t>
      </w:r>
      <w:proofErr w:type="spellEnd"/>
      <w:r w:rsidR="00530DE8">
        <w:rPr>
          <w:rFonts w:ascii="Book Antiqua" w:hAnsi="Book Antiqua" w:cs="Arial"/>
        </w:rPr>
        <w:t xml:space="preserve"> </w:t>
      </w:r>
      <w:proofErr w:type="spellStart"/>
      <w:r w:rsidR="00530DE8">
        <w:rPr>
          <w:rFonts w:ascii="Book Antiqua" w:hAnsi="Book Antiqua" w:cs="Arial"/>
        </w:rPr>
        <w:t>Aboni</w:t>
      </w:r>
      <w:proofErr w:type="spellEnd"/>
      <w:r>
        <w:rPr>
          <w:rFonts w:ascii="Book Antiqua" w:hAnsi="Book Antiqua" w:cs="Arial"/>
        </w:rPr>
        <w:t>, Presenting Officer</w:t>
      </w:r>
    </w:p>
    <w:p w:rsidR="00071E7E" w:rsidRPr="00F97703" w:rsidRDefault="00071E7E" w:rsidP="00071E7E">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proofErr w:type="spellStart"/>
      <w:r w:rsidR="007022CD">
        <w:rPr>
          <w:rFonts w:ascii="Book Antiqua" w:hAnsi="Book Antiqua" w:cs="Arial"/>
        </w:rPr>
        <w:t>M</w:t>
      </w:r>
      <w:r w:rsidR="00530DE8">
        <w:rPr>
          <w:rFonts w:ascii="Book Antiqua" w:hAnsi="Book Antiqua" w:cs="Arial"/>
        </w:rPr>
        <w:t>s</w:t>
      </w:r>
      <w:proofErr w:type="spellEnd"/>
      <w:r w:rsidR="00530DE8">
        <w:rPr>
          <w:rFonts w:ascii="Book Antiqua" w:hAnsi="Book Antiqua" w:cs="Arial"/>
        </w:rPr>
        <w:t xml:space="preserve"> </w:t>
      </w:r>
      <w:proofErr w:type="spellStart"/>
      <w:r w:rsidR="00530DE8">
        <w:rPr>
          <w:rFonts w:ascii="Book Antiqua" w:hAnsi="Book Antiqua" w:cs="Arial"/>
        </w:rPr>
        <w:t>Faryl</w:t>
      </w:r>
      <w:proofErr w:type="spellEnd"/>
      <w:r w:rsidR="00530DE8">
        <w:rPr>
          <w:rFonts w:ascii="Book Antiqua" w:hAnsi="Book Antiqua" w:cs="Arial"/>
        </w:rPr>
        <w:t>, AMS Solicitors</w:t>
      </w:r>
      <w:r>
        <w:rPr>
          <w:rFonts w:ascii="Book Antiqua" w:hAnsi="Book Antiqua" w:cs="Arial"/>
        </w:rPr>
        <w:t xml:space="preserve"> </w:t>
      </w:r>
    </w:p>
    <w:p w:rsidR="00071E7E" w:rsidRDefault="00071E7E" w:rsidP="00071E7E"/>
    <w:p w:rsidR="00071E7E" w:rsidRDefault="00071E7E" w:rsidP="00071E7E">
      <w:r>
        <w:tab/>
      </w:r>
      <w:r>
        <w:tab/>
      </w:r>
      <w:r>
        <w:tab/>
        <w:t>____________________________________________</w:t>
      </w:r>
    </w:p>
    <w:p w:rsidR="00071E7E" w:rsidRDefault="00071E7E" w:rsidP="00071E7E"/>
    <w:p w:rsidR="00071E7E" w:rsidRPr="00726454" w:rsidRDefault="00071E7E" w:rsidP="00071E7E">
      <w:pPr>
        <w:rPr>
          <w:rFonts w:ascii="Book Antiqua" w:hAnsi="Book Antiqua"/>
          <w:b/>
        </w:rPr>
      </w:pPr>
      <w:r>
        <w:tab/>
      </w:r>
      <w:r>
        <w:tab/>
      </w:r>
      <w:r>
        <w:tab/>
        <w:t xml:space="preserve">        </w:t>
      </w:r>
      <w:r w:rsidRPr="00726454">
        <w:rPr>
          <w:rFonts w:ascii="Book Antiqua" w:hAnsi="Book Antiqua"/>
          <w:b/>
        </w:rPr>
        <w:t>DECISION AND REASONS</w:t>
      </w:r>
    </w:p>
    <w:p w:rsidR="00071E7E" w:rsidRDefault="00071E7E" w:rsidP="00071E7E">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rsidR="00530DE8" w:rsidRDefault="00530DE8">
      <w:pPr>
        <w:rPr>
          <w:rFonts w:ascii="Book Antiqua" w:hAnsi="Book Antiqua"/>
        </w:rPr>
      </w:pPr>
    </w:p>
    <w:p w:rsidR="00F31DB4" w:rsidRDefault="00530DE8">
      <w:pPr>
        <w:rPr>
          <w:rFonts w:ascii="Book Antiqua" w:hAnsi="Book Antiqua"/>
        </w:rPr>
      </w:pPr>
      <w:r>
        <w:rPr>
          <w:rFonts w:ascii="Book Antiqua" w:hAnsi="Book Antiqua"/>
        </w:rPr>
        <w:t xml:space="preserve">1. </w:t>
      </w:r>
      <w:r w:rsidR="003109E0">
        <w:rPr>
          <w:rFonts w:ascii="Book Antiqua" w:hAnsi="Book Antiqua"/>
        </w:rPr>
        <w:t xml:space="preserve">The Respondent, to whom I shall refer as the Claimant, is a national of India born on 13.5.65. </w:t>
      </w:r>
      <w:r w:rsidR="00F31DB4">
        <w:rPr>
          <w:rFonts w:ascii="Book Antiqua" w:hAnsi="Book Antiqua"/>
        </w:rPr>
        <w:t xml:space="preserve">She made an application for entry clearance to join her husband and Sponsor in October 2015, having married in March 2015. This application was refused in a decision dated 7 December 2015. The Claimant appealed against this decision and her appeal came before First </w:t>
      </w:r>
      <w:proofErr w:type="gramStart"/>
      <w:r w:rsidR="00F31DB4">
        <w:rPr>
          <w:rFonts w:ascii="Book Antiqua" w:hAnsi="Book Antiqua"/>
        </w:rPr>
        <w:t>tier</w:t>
      </w:r>
      <w:proofErr w:type="gramEnd"/>
      <w:r w:rsidR="00F31DB4">
        <w:rPr>
          <w:rFonts w:ascii="Book Antiqua" w:hAnsi="Book Antiqua"/>
        </w:rPr>
        <w:t xml:space="preserve"> Tribunal Judge Andrew Davies for hearing on 14 July 2017. In a decision and reasons promulgated on 2 August 2017 he allowed the appeal.</w:t>
      </w:r>
    </w:p>
    <w:p w:rsidR="00F31DB4" w:rsidRDefault="00F31DB4">
      <w:pPr>
        <w:rPr>
          <w:rFonts w:ascii="Book Antiqua" w:hAnsi="Book Antiqua"/>
        </w:rPr>
      </w:pPr>
    </w:p>
    <w:p w:rsidR="00F31DB4" w:rsidRDefault="00F31DB4">
      <w:pPr>
        <w:rPr>
          <w:rFonts w:ascii="Book Antiqua" w:hAnsi="Book Antiqua"/>
        </w:rPr>
      </w:pPr>
      <w:r>
        <w:rPr>
          <w:rFonts w:ascii="Book Antiqua" w:hAnsi="Book Antiqua"/>
        </w:rPr>
        <w:t>2. The Entry Clearance Officer sought permission to appeal to the Upper Tribunal, in time, on the basis that</w:t>
      </w:r>
      <w:bookmarkStart w:id="0" w:name="_GoBack"/>
      <w:bookmarkEnd w:id="0"/>
      <w:r>
        <w:rPr>
          <w:rFonts w:ascii="Book Antiqua" w:hAnsi="Book Antiqua"/>
        </w:rPr>
        <w:t xml:space="preserve"> the Judge had materially erred in finding </w:t>
      </w:r>
      <w:r>
        <w:rPr>
          <w:rFonts w:ascii="Book Antiqua" w:hAnsi="Book Antiqua"/>
        </w:rPr>
        <w:lastRenderedPageBreak/>
        <w:t>that the Claimant was able to meet the requirements of the Immigration Rules, given that the letter from the Sponsor’s employer failed to comply with FM-SE [2] as it did not provide the period over which the Sponsor has been paid the level of salary nor whether his employment if permanent, fixed contract or agency.</w:t>
      </w:r>
    </w:p>
    <w:p w:rsidR="00F31DB4" w:rsidRDefault="00F31DB4">
      <w:pPr>
        <w:rPr>
          <w:rFonts w:ascii="Book Antiqua" w:hAnsi="Book Antiqua"/>
        </w:rPr>
      </w:pPr>
    </w:p>
    <w:p w:rsidR="00530DE8" w:rsidRDefault="00F31DB4">
      <w:pPr>
        <w:rPr>
          <w:rFonts w:ascii="Book Antiqua" w:hAnsi="Book Antiqua"/>
        </w:rPr>
      </w:pPr>
      <w:r>
        <w:rPr>
          <w:rFonts w:ascii="Book Antiqua" w:hAnsi="Book Antiqua"/>
        </w:rPr>
        <w:t xml:space="preserve">3. Permission to appeal was granted by Judge of the First </w:t>
      </w:r>
      <w:proofErr w:type="gramStart"/>
      <w:r>
        <w:rPr>
          <w:rFonts w:ascii="Book Antiqua" w:hAnsi="Book Antiqua"/>
        </w:rPr>
        <w:t>tier</w:t>
      </w:r>
      <w:proofErr w:type="gramEnd"/>
      <w:r>
        <w:rPr>
          <w:rFonts w:ascii="Book Antiqua" w:hAnsi="Book Antiqua"/>
        </w:rPr>
        <w:t xml:space="preserve"> Tribunal Keane in a decision dated 16 February 2018, on the basis that arguably the Judge may have decided the Article 8 issue differently if his assessment had</w:t>
      </w:r>
      <w:r w:rsidR="003970D1">
        <w:rPr>
          <w:rFonts w:ascii="Book Antiqua" w:hAnsi="Book Antiqua"/>
        </w:rPr>
        <w:t xml:space="preserve"> taken account of the fact that the Claimant was unable to meet the requirements of Appendix FM-SE and thus the Rules</w:t>
      </w:r>
      <w:r w:rsidR="007022CD">
        <w:rPr>
          <w:rFonts w:ascii="Book Antiqua" w:hAnsi="Book Antiqua"/>
        </w:rPr>
        <w:t>.</w:t>
      </w:r>
    </w:p>
    <w:p w:rsidR="007022CD" w:rsidRDefault="007022CD">
      <w:pPr>
        <w:rPr>
          <w:rFonts w:ascii="Book Antiqua" w:hAnsi="Book Antiqua"/>
        </w:rPr>
      </w:pPr>
    </w:p>
    <w:p w:rsidR="007022CD" w:rsidRDefault="007022CD">
      <w:pPr>
        <w:rPr>
          <w:rFonts w:ascii="Book Antiqua" w:hAnsi="Book Antiqua"/>
          <w:i/>
        </w:rPr>
      </w:pPr>
      <w:r>
        <w:rPr>
          <w:rFonts w:ascii="Book Antiqua" w:hAnsi="Book Antiqua"/>
          <w:i/>
        </w:rPr>
        <w:t>Hearing</w:t>
      </w:r>
    </w:p>
    <w:p w:rsidR="00530DE8" w:rsidRPr="007022CD" w:rsidRDefault="00530DE8">
      <w:pPr>
        <w:rPr>
          <w:rFonts w:ascii="Book Antiqua" w:hAnsi="Book Antiqua"/>
          <w:i/>
        </w:rPr>
      </w:pPr>
    </w:p>
    <w:p w:rsidR="00530DE8" w:rsidRDefault="007022CD" w:rsidP="00530DE8">
      <w:pPr>
        <w:rPr>
          <w:rFonts w:ascii="Book Antiqua" w:hAnsi="Book Antiqua"/>
        </w:rPr>
      </w:pPr>
      <w:r>
        <w:rPr>
          <w:rFonts w:ascii="Book Antiqua" w:hAnsi="Book Antiqua"/>
        </w:rPr>
        <w:t xml:space="preserve">4. </w:t>
      </w:r>
      <w:proofErr w:type="spellStart"/>
      <w:r>
        <w:rPr>
          <w:rFonts w:ascii="Book Antiqua" w:hAnsi="Book Antiqua"/>
        </w:rPr>
        <w:t>M</w:t>
      </w:r>
      <w:r w:rsidR="00530DE8">
        <w:rPr>
          <w:rFonts w:ascii="Book Antiqua" w:hAnsi="Book Antiqua"/>
        </w:rPr>
        <w:t>s</w:t>
      </w:r>
      <w:proofErr w:type="spellEnd"/>
      <w:r w:rsidR="00530DE8">
        <w:rPr>
          <w:rFonts w:ascii="Book Antiqua" w:hAnsi="Book Antiqua"/>
        </w:rPr>
        <w:t xml:space="preserve"> </w:t>
      </w:r>
      <w:proofErr w:type="spellStart"/>
      <w:r w:rsidR="00530DE8">
        <w:rPr>
          <w:rFonts w:ascii="Book Antiqua" w:hAnsi="Book Antiqua"/>
        </w:rPr>
        <w:t>Aboni</w:t>
      </w:r>
      <w:proofErr w:type="spellEnd"/>
      <w:r>
        <w:rPr>
          <w:rFonts w:ascii="Book Antiqua" w:hAnsi="Book Antiqua"/>
        </w:rPr>
        <w:t xml:space="preserve"> on behalf of the Entry Clearance Officer submitted that the requirements of Appendix FM-SE were not met and there were</w:t>
      </w:r>
      <w:r w:rsidR="00530DE8">
        <w:rPr>
          <w:rFonts w:ascii="Book Antiqua" w:hAnsi="Book Antiqua"/>
        </w:rPr>
        <w:t xml:space="preserve"> still deficiencies in the documentation.</w:t>
      </w:r>
      <w:r>
        <w:rPr>
          <w:rFonts w:ascii="Book Antiqua" w:hAnsi="Book Antiqua"/>
        </w:rPr>
        <w:t xml:space="preserve"> Whilst the g</w:t>
      </w:r>
      <w:r w:rsidR="00530DE8">
        <w:rPr>
          <w:rFonts w:ascii="Book Antiqua" w:hAnsi="Book Antiqua"/>
        </w:rPr>
        <w:t>rounds</w:t>
      </w:r>
      <w:r>
        <w:rPr>
          <w:rFonts w:ascii="Book Antiqua" w:hAnsi="Book Antiqua"/>
        </w:rPr>
        <w:t xml:space="preserve"> of appeal are </w:t>
      </w:r>
      <w:proofErr w:type="gramStart"/>
      <w:r>
        <w:rPr>
          <w:rFonts w:ascii="Book Antiqua" w:hAnsi="Book Antiqua"/>
        </w:rPr>
        <w:t>fairly brief</w:t>
      </w:r>
      <w:proofErr w:type="gramEnd"/>
      <w:r>
        <w:rPr>
          <w:rFonts w:ascii="Book Antiqua" w:hAnsi="Book Antiqua"/>
        </w:rPr>
        <w:t xml:space="preserve">, the Judge relied on the Claimant being able to demonstrate that </w:t>
      </w:r>
      <w:r w:rsidR="00530DE8">
        <w:rPr>
          <w:rFonts w:ascii="Book Antiqua" w:hAnsi="Book Antiqua"/>
        </w:rPr>
        <w:t xml:space="preserve">the Rules </w:t>
      </w:r>
      <w:r>
        <w:rPr>
          <w:rFonts w:ascii="Book Antiqua" w:hAnsi="Book Antiqua"/>
        </w:rPr>
        <w:t xml:space="preserve">were satisfied </w:t>
      </w:r>
      <w:r w:rsidR="00530DE8">
        <w:rPr>
          <w:rFonts w:ascii="Book Antiqua" w:hAnsi="Book Antiqua"/>
        </w:rPr>
        <w:t xml:space="preserve">does add weight in </w:t>
      </w:r>
      <w:r>
        <w:rPr>
          <w:rFonts w:ascii="Book Antiqua" w:hAnsi="Book Antiqua"/>
        </w:rPr>
        <w:t xml:space="preserve">the proportionality assessment. She submitted that </w:t>
      </w:r>
      <w:r w:rsidR="00530DE8">
        <w:rPr>
          <w:rFonts w:ascii="Book Antiqua" w:hAnsi="Book Antiqua"/>
        </w:rPr>
        <w:t>the E</w:t>
      </w:r>
      <w:r>
        <w:rPr>
          <w:rFonts w:ascii="Book Antiqua" w:hAnsi="Book Antiqua"/>
        </w:rPr>
        <w:t xml:space="preserve">ntry </w:t>
      </w:r>
      <w:r w:rsidR="00530DE8">
        <w:rPr>
          <w:rFonts w:ascii="Book Antiqua" w:hAnsi="Book Antiqua"/>
        </w:rPr>
        <w:t>C</w:t>
      </w:r>
      <w:r>
        <w:rPr>
          <w:rFonts w:ascii="Book Antiqua" w:hAnsi="Book Antiqua"/>
        </w:rPr>
        <w:t xml:space="preserve">learance </w:t>
      </w:r>
      <w:r w:rsidR="00530DE8">
        <w:rPr>
          <w:rFonts w:ascii="Book Antiqua" w:hAnsi="Book Antiqua"/>
        </w:rPr>
        <w:t>O</w:t>
      </w:r>
      <w:r>
        <w:rPr>
          <w:rFonts w:ascii="Book Antiqua" w:hAnsi="Book Antiqua"/>
        </w:rPr>
        <w:t>fficer</w:t>
      </w:r>
      <w:r w:rsidR="00530DE8">
        <w:rPr>
          <w:rFonts w:ascii="Book Antiqua" w:hAnsi="Book Antiqua"/>
        </w:rPr>
        <w:t xml:space="preserve"> is the pri</w:t>
      </w:r>
      <w:r>
        <w:rPr>
          <w:rFonts w:ascii="Book Antiqua" w:hAnsi="Book Antiqua"/>
        </w:rPr>
        <w:t>mary decision maker and if the Claimant</w:t>
      </w:r>
      <w:r w:rsidR="00530DE8">
        <w:rPr>
          <w:rFonts w:ascii="Book Antiqua" w:hAnsi="Book Antiqua"/>
        </w:rPr>
        <w:t xml:space="preserve"> does satisfy the Rules </w:t>
      </w:r>
      <w:r>
        <w:rPr>
          <w:rFonts w:ascii="Book Antiqua" w:hAnsi="Book Antiqua"/>
        </w:rPr>
        <w:t xml:space="preserve">it is </w:t>
      </w:r>
      <w:r w:rsidR="00530DE8">
        <w:rPr>
          <w:rFonts w:ascii="Book Antiqua" w:hAnsi="Book Antiqua"/>
        </w:rPr>
        <w:t xml:space="preserve">up to her to make a fresh application. </w:t>
      </w:r>
      <w:r>
        <w:rPr>
          <w:rFonts w:ascii="Book Antiqua" w:hAnsi="Book Antiqua"/>
        </w:rPr>
        <w:t xml:space="preserve">The </w:t>
      </w:r>
      <w:r w:rsidR="00530DE8">
        <w:rPr>
          <w:rFonts w:ascii="Book Antiqua" w:hAnsi="Book Antiqua"/>
        </w:rPr>
        <w:t>Judge has failed to identify any compelling circumstances that should justify a grant of le</w:t>
      </w:r>
      <w:r>
        <w:rPr>
          <w:rFonts w:ascii="Book Antiqua" w:hAnsi="Book Antiqua"/>
        </w:rPr>
        <w:t>ave outside the Rules when the Claimant</w:t>
      </w:r>
      <w:r w:rsidR="00530DE8">
        <w:rPr>
          <w:rFonts w:ascii="Book Antiqua" w:hAnsi="Book Antiqua"/>
        </w:rPr>
        <w:t xml:space="preserve"> has not sa</w:t>
      </w:r>
      <w:r>
        <w:rPr>
          <w:rFonts w:ascii="Book Antiqua" w:hAnsi="Book Antiqua"/>
        </w:rPr>
        <w:t>tisfied the Rules themselves</w:t>
      </w:r>
      <w:r w:rsidR="00530DE8">
        <w:rPr>
          <w:rFonts w:ascii="Book Antiqua" w:hAnsi="Book Antiqua"/>
        </w:rPr>
        <w:t>.</w:t>
      </w:r>
      <w:r>
        <w:rPr>
          <w:rFonts w:ascii="Book Antiqua" w:hAnsi="Book Antiqua"/>
        </w:rPr>
        <w:t xml:space="preserve"> She submitted that he made a material error in allowing the appeal.</w:t>
      </w:r>
    </w:p>
    <w:p w:rsidR="00530DE8" w:rsidRDefault="00530DE8" w:rsidP="00530DE8">
      <w:pPr>
        <w:rPr>
          <w:rFonts w:ascii="Book Antiqua" w:hAnsi="Book Antiqua"/>
        </w:rPr>
      </w:pPr>
    </w:p>
    <w:p w:rsidR="007022CD" w:rsidRDefault="007022CD" w:rsidP="00530DE8">
      <w:pPr>
        <w:rPr>
          <w:rFonts w:ascii="Book Antiqua" w:hAnsi="Book Antiqua"/>
        </w:rPr>
      </w:pPr>
      <w:r>
        <w:rPr>
          <w:rFonts w:ascii="Book Antiqua" w:hAnsi="Book Antiqua"/>
        </w:rPr>
        <w:t xml:space="preserve">5. In her submissions, </w:t>
      </w:r>
      <w:proofErr w:type="spellStart"/>
      <w:r>
        <w:rPr>
          <w:rFonts w:ascii="Book Antiqua" w:hAnsi="Book Antiqua"/>
        </w:rPr>
        <w:t>M</w:t>
      </w:r>
      <w:r w:rsidR="00530DE8">
        <w:rPr>
          <w:rFonts w:ascii="Book Antiqua" w:hAnsi="Book Antiqua"/>
        </w:rPr>
        <w:t>s</w:t>
      </w:r>
      <w:proofErr w:type="spellEnd"/>
      <w:r w:rsidR="00530DE8">
        <w:rPr>
          <w:rFonts w:ascii="Book Antiqua" w:hAnsi="Book Antiqua"/>
        </w:rPr>
        <w:t xml:space="preserve"> </w:t>
      </w:r>
      <w:proofErr w:type="spellStart"/>
      <w:r w:rsidR="00530DE8">
        <w:rPr>
          <w:rFonts w:ascii="Book Antiqua" w:hAnsi="Book Antiqua"/>
        </w:rPr>
        <w:t>Faryl</w:t>
      </w:r>
      <w:proofErr w:type="spellEnd"/>
      <w:r>
        <w:rPr>
          <w:rFonts w:ascii="Book Antiqua" w:hAnsi="Book Antiqua"/>
        </w:rPr>
        <w:t xml:space="preserve"> submitted that the Judge </w:t>
      </w:r>
      <w:r w:rsidR="00530DE8">
        <w:rPr>
          <w:rFonts w:ascii="Book Antiqua" w:hAnsi="Book Antiqua"/>
        </w:rPr>
        <w:t>did in fact set out that the issues to be met under the Rules assist him whe</w:t>
      </w:r>
      <w:r>
        <w:rPr>
          <w:rFonts w:ascii="Book Antiqua" w:hAnsi="Book Antiqua"/>
        </w:rPr>
        <w:t xml:space="preserve">n considering proportionality. She accepted that </w:t>
      </w:r>
      <w:r w:rsidR="00530DE8">
        <w:rPr>
          <w:rFonts w:ascii="Book Antiqua" w:hAnsi="Book Antiqua"/>
        </w:rPr>
        <w:t>the E</w:t>
      </w:r>
      <w:r>
        <w:rPr>
          <w:rFonts w:ascii="Book Antiqua" w:hAnsi="Book Antiqua"/>
        </w:rPr>
        <w:t xml:space="preserve">ntry </w:t>
      </w:r>
      <w:r w:rsidR="00530DE8">
        <w:rPr>
          <w:rFonts w:ascii="Book Antiqua" w:hAnsi="Book Antiqua"/>
        </w:rPr>
        <w:t>C</w:t>
      </w:r>
      <w:r>
        <w:rPr>
          <w:rFonts w:ascii="Book Antiqua" w:hAnsi="Book Antiqua"/>
        </w:rPr>
        <w:t xml:space="preserve">learance </w:t>
      </w:r>
      <w:r w:rsidR="00530DE8">
        <w:rPr>
          <w:rFonts w:ascii="Book Antiqua" w:hAnsi="Book Antiqua"/>
        </w:rPr>
        <w:t>O</w:t>
      </w:r>
      <w:r>
        <w:rPr>
          <w:rFonts w:ascii="Book Antiqua" w:hAnsi="Book Antiqua"/>
        </w:rPr>
        <w:t>fficer</w:t>
      </w:r>
      <w:r w:rsidR="00530DE8">
        <w:rPr>
          <w:rFonts w:ascii="Book Antiqua" w:hAnsi="Book Antiqua"/>
        </w:rPr>
        <w:t xml:space="preserve"> was the primary decision maker at the date of decision and </w:t>
      </w:r>
      <w:r>
        <w:rPr>
          <w:rFonts w:ascii="Book Antiqua" w:hAnsi="Book Antiqua"/>
        </w:rPr>
        <w:t xml:space="preserve">the </w:t>
      </w:r>
      <w:r w:rsidR="00530DE8">
        <w:rPr>
          <w:rFonts w:ascii="Book Antiqua" w:hAnsi="Book Antiqua"/>
        </w:rPr>
        <w:t xml:space="preserve">decision </w:t>
      </w:r>
      <w:r>
        <w:rPr>
          <w:rFonts w:ascii="Book Antiqua" w:hAnsi="Book Antiqua"/>
        </w:rPr>
        <w:t xml:space="preserve">was </w:t>
      </w:r>
      <w:r w:rsidR="00530DE8">
        <w:rPr>
          <w:rFonts w:ascii="Book Antiqua" w:hAnsi="Book Antiqua"/>
        </w:rPr>
        <w:t>supported by the E</w:t>
      </w:r>
      <w:r>
        <w:rPr>
          <w:rFonts w:ascii="Book Antiqua" w:hAnsi="Book Antiqua"/>
        </w:rPr>
        <w:t xml:space="preserve">ntry </w:t>
      </w:r>
      <w:r w:rsidR="00530DE8">
        <w:rPr>
          <w:rFonts w:ascii="Book Antiqua" w:hAnsi="Book Antiqua"/>
        </w:rPr>
        <w:t>C</w:t>
      </w:r>
      <w:r>
        <w:rPr>
          <w:rFonts w:ascii="Book Antiqua" w:hAnsi="Book Antiqua"/>
        </w:rPr>
        <w:t xml:space="preserve">learance </w:t>
      </w:r>
      <w:r w:rsidR="00530DE8">
        <w:rPr>
          <w:rFonts w:ascii="Book Antiqua" w:hAnsi="Book Antiqua"/>
        </w:rPr>
        <w:t>M</w:t>
      </w:r>
      <w:r>
        <w:rPr>
          <w:rFonts w:ascii="Book Antiqua" w:hAnsi="Book Antiqua"/>
        </w:rPr>
        <w:t>anager</w:t>
      </w:r>
      <w:r w:rsidR="00530DE8">
        <w:rPr>
          <w:rFonts w:ascii="Book Antiqua" w:hAnsi="Book Antiqua"/>
        </w:rPr>
        <w:t>. The Judge found against the E</w:t>
      </w:r>
      <w:r>
        <w:rPr>
          <w:rFonts w:ascii="Book Antiqua" w:hAnsi="Book Antiqua"/>
        </w:rPr>
        <w:t xml:space="preserve">ntry </w:t>
      </w:r>
      <w:r w:rsidR="00530DE8">
        <w:rPr>
          <w:rFonts w:ascii="Book Antiqua" w:hAnsi="Book Antiqua"/>
        </w:rPr>
        <w:t>C</w:t>
      </w:r>
      <w:r>
        <w:rPr>
          <w:rFonts w:ascii="Book Antiqua" w:hAnsi="Book Antiqua"/>
        </w:rPr>
        <w:t xml:space="preserve">learance </w:t>
      </w:r>
      <w:r w:rsidR="00530DE8">
        <w:rPr>
          <w:rFonts w:ascii="Book Antiqua" w:hAnsi="Book Antiqua"/>
        </w:rPr>
        <w:t>O</w:t>
      </w:r>
      <w:r>
        <w:rPr>
          <w:rFonts w:ascii="Book Antiqua" w:hAnsi="Book Antiqua"/>
        </w:rPr>
        <w:t xml:space="preserve">fficer and found in </w:t>
      </w:r>
      <w:proofErr w:type="spellStart"/>
      <w:r>
        <w:rPr>
          <w:rFonts w:ascii="Book Antiqua" w:hAnsi="Book Antiqua"/>
        </w:rPr>
        <w:t>favour</w:t>
      </w:r>
      <w:proofErr w:type="spellEnd"/>
      <w:r>
        <w:rPr>
          <w:rFonts w:ascii="Book Antiqua" w:hAnsi="Book Antiqua"/>
        </w:rPr>
        <w:t xml:space="preserve"> of the Claimant</w:t>
      </w:r>
      <w:r w:rsidR="00530DE8">
        <w:rPr>
          <w:rFonts w:ascii="Book Antiqua" w:hAnsi="Book Antiqua"/>
        </w:rPr>
        <w:t>. The Judge shou</w:t>
      </w:r>
      <w:r>
        <w:rPr>
          <w:rFonts w:ascii="Book Antiqua" w:hAnsi="Book Antiqua"/>
        </w:rPr>
        <w:t>ld have considered whether the Claimant</w:t>
      </w:r>
      <w:r w:rsidR="00530DE8">
        <w:rPr>
          <w:rFonts w:ascii="Book Antiqua" w:hAnsi="Book Antiqua"/>
        </w:rPr>
        <w:t xml:space="preserve"> shoul</w:t>
      </w:r>
      <w:r>
        <w:rPr>
          <w:rFonts w:ascii="Book Antiqua" w:hAnsi="Book Antiqua"/>
        </w:rPr>
        <w:t>d be required to make a fresh entry clearance</w:t>
      </w:r>
      <w:r w:rsidR="00530DE8">
        <w:rPr>
          <w:rFonts w:ascii="Book Antiqua" w:hAnsi="Book Antiqua"/>
        </w:rPr>
        <w:t xml:space="preserve"> application. </w:t>
      </w:r>
      <w:r>
        <w:rPr>
          <w:rFonts w:ascii="Book Antiqua" w:hAnsi="Book Antiqua"/>
        </w:rPr>
        <w:t>T</w:t>
      </w:r>
      <w:r w:rsidR="00530DE8">
        <w:rPr>
          <w:rFonts w:ascii="Book Antiqua" w:hAnsi="Book Antiqua"/>
        </w:rPr>
        <w:t xml:space="preserve">he Judge did consider </w:t>
      </w:r>
      <w:proofErr w:type="spellStart"/>
      <w:r w:rsidR="00530DE8" w:rsidRPr="007022CD">
        <w:rPr>
          <w:rFonts w:ascii="Book Antiqua" w:hAnsi="Book Antiqua"/>
          <w:u w:val="single"/>
        </w:rPr>
        <w:t>Chikwamba</w:t>
      </w:r>
      <w:proofErr w:type="spellEnd"/>
      <w:r w:rsidR="00530DE8">
        <w:rPr>
          <w:rFonts w:ascii="Book Antiqua" w:hAnsi="Book Antiqua"/>
        </w:rPr>
        <w:t xml:space="preserve"> </w:t>
      </w:r>
      <w:r>
        <w:rPr>
          <w:rFonts w:ascii="Book Antiqua" w:hAnsi="Book Antiqua"/>
        </w:rPr>
        <w:t xml:space="preserve">[2008] UKHL 40 </w:t>
      </w:r>
      <w:r w:rsidR="00530DE8">
        <w:rPr>
          <w:rFonts w:ascii="Book Antiqua" w:hAnsi="Book Antiqua"/>
        </w:rPr>
        <w:t xml:space="preserve">and the </w:t>
      </w:r>
      <w:r>
        <w:rPr>
          <w:rFonts w:ascii="Book Antiqua" w:hAnsi="Book Antiqua"/>
        </w:rPr>
        <w:t>issue of the Claimant</w:t>
      </w:r>
      <w:r w:rsidR="00530DE8">
        <w:rPr>
          <w:rFonts w:ascii="Book Antiqua" w:hAnsi="Book Antiqua"/>
        </w:rPr>
        <w:t xml:space="preserve"> </w:t>
      </w:r>
      <w:r>
        <w:rPr>
          <w:rFonts w:ascii="Book Antiqua" w:hAnsi="Book Antiqua"/>
        </w:rPr>
        <w:t>returning to India to make an entry clearance application and found that this would</w:t>
      </w:r>
      <w:r w:rsidR="00530DE8">
        <w:rPr>
          <w:rFonts w:ascii="Book Antiqua" w:hAnsi="Book Antiqua"/>
        </w:rPr>
        <w:t xml:space="preserve"> not</w:t>
      </w:r>
      <w:r>
        <w:rPr>
          <w:rFonts w:ascii="Book Antiqua" w:hAnsi="Book Antiqua"/>
        </w:rPr>
        <w:t xml:space="preserve"> be proportionate given that, on the evidence before him, the Claimant</w:t>
      </w:r>
      <w:r w:rsidR="00530DE8">
        <w:rPr>
          <w:rFonts w:ascii="Book Antiqua" w:hAnsi="Book Antiqua"/>
        </w:rPr>
        <w:t xml:space="preserve"> did meet the Rules and </w:t>
      </w:r>
      <w:r>
        <w:rPr>
          <w:rFonts w:ascii="Book Antiqua" w:hAnsi="Book Antiqua"/>
        </w:rPr>
        <w:t xml:space="preserve">there was </w:t>
      </w:r>
      <w:r w:rsidR="00530DE8">
        <w:rPr>
          <w:rFonts w:ascii="Book Antiqua" w:hAnsi="Book Antiqua"/>
        </w:rPr>
        <w:t>no public interest in requ</w:t>
      </w:r>
      <w:r>
        <w:rPr>
          <w:rFonts w:ascii="Book Antiqua" w:hAnsi="Book Antiqua"/>
        </w:rPr>
        <w:t xml:space="preserve">iring her to leave to make an entry clearance application when the Claimant </w:t>
      </w:r>
      <w:r w:rsidR="00530DE8">
        <w:rPr>
          <w:rFonts w:ascii="Book Antiqua" w:hAnsi="Book Antiqua"/>
        </w:rPr>
        <w:t xml:space="preserve">could show she would meet the Rules. </w:t>
      </w:r>
    </w:p>
    <w:p w:rsidR="007022CD" w:rsidRDefault="007022CD" w:rsidP="00530DE8">
      <w:pPr>
        <w:rPr>
          <w:rFonts w:ascii="Book Antiqua" w:hAnsi="Book Antiqua"/>
        </w:rPr>
      </w:pPr>
    </w:p>
    <w:p w:rsidR="00530DE8" w:rsidRDefault="007022CD" w:rsidP="00530DE8">
      <w:pPr>
        <w:rPr>
          <w:rFonts w:ascii="Book Antiqua" w:hAnsi="Book Antiqua"/>
        </w:rPr>
      </w:pPr>
      <w:r>
        <w:rPr>
          <w:rFonts w:ascii="Book Antiqua" w:hAnsi="Book Antiqua"/>
        </w:rPr>
        <w:t xml:space="preserve">6. </w:t>
      </w:r>
      <w:proofErr w:type="spellStart"/>
      <w:r>
        <w:rPr>
          <w:rFonts w:ascii="Book Antiqua" w:hAnsi="Book Antiqua"/>
        </w:rPr>
        <w:t>Ms</w:t>
      </w:r>
      <w:proofErr w:type="spellEnd"/>
      <w:r>
        <w:rPr>
          <w:rFonts w:ascii="Book Antiqua" w:hAnsi="Book Antiqua"/>
        </w:rPr>
        <w:t xml:space="preserve"> </w:t>
      </w:r>
      <w:proofErr w:type="spellStart"/>
      <w:r>
        <w:rPr>
          <w:rFonts w:ascii="Book Antiqua" w:hAnsi="Book Antiqua"/>
        </w:rPr>
        <w:t>Faryl</w:t>
      </w:r>
      <w:proofErr w:type="spellEnd"/>
      <w:r>
        <w:rPr>
          <w:rFonts w:ascii="Book Antiqua" w:hAnsi="Book Antiqua"/>
        </w:rPr>
        <w:t xml:space="preserve"> accepted that t</w:t>
      </w:r>
      <w:r w:rsidR="00530DE8">
        <w:rPr>
          <w:rFonts w:ascii="Book Antiqua" w:hAnsi="Book Antiqua"/>
        </w:rPr>
        <w:t>he Judge may have deviate</w:t>
      </w:r>
      <w:r>
        <w:rPr>
          <w:rFonts w:ascii="Book Antiqua" w:hAnsi="Book Antiqua"/>
        </w:rPr>
        <w:t>d somewhat in finding that the Claimant</w:t>
      </w:r>
      <w:r w:rsidR="00530DE8">
        <w:rPr>
          <w:rFonts w:ascii="Book Antiqua" w:hAnsi="Book Antiqua"/>
        </w:rPr>
        <w:t xml:space="preserve"> substantively met the Rules and th</w:t>
      </w:r>
      <w:r>
        <w:rPr>
          <w:rFonts w:ascii="Book Antiqua" w:hAnsi="Book Antiqua"/>
        </w:rPr>
        <w:t>at was a weighty consideration, given that</w:t>
      </w:r>
      <w:r w:rsidR="00530DE8">
        <w:rPr>
          <w:rFonts w:ascii="Book Antiqua" w:hAnsi="Book Antiqua"/>
        </w:rPr>
        <w:t xml:space="preserve"> clearly at the date o</w:t>
      </w:r>
      <w:r>
        <w:rPr>
          <w:rFonts w:ascii="Book Antiqua" w:hAnsi="Book Antiqua"/>
        </w:rPr>
        <w:t>f application and decision the Claimant</w:t>
      </w:r>
      <w:r w:rsidR="00530DE8">
        <w:rPr>
          <w:rFonts w:ascii="Book Antiqua" w:hAnsi="Book Antiqua"/>
        </w:rPr>
        <w:t xml:space="preserve"> did not, because of the shortcomings in the employment letter. If that was the only matter and it stopped there then it could be argued there was an error but the Judge went on to assess proportionality and came to</w:t>
      </w:r>
      <w:r w:rsidR="00AD45FA">
        <w:rPr>
          <w:rFonts w:ascii="Book Antiqua" w:hAnsi="Book Antiqua"/>
        </w:rPr>
        <w:t xml:space="preserve"> </w:t>
      </w:r>
      <w:r w:rsidR="00AD45FA">
        <w:rPr>
          <w:rFonts w:ascii="Book Antiqua" w:hAnsi="Book Antiqua"/>
        </w:rPr>
        <w:lastRenderedPageBreak/>
        <w:t>sustainable decision that the Claimant</w:t>
      </w:r>
      <w:r w:rsidR="00530DE8">
        <w:rPr>
          <w:rFonts w:ascii="Book Antiqua" w:hAnsi="Book Antiqua"/>
        </w:rPr>
        <w:t xml:space="preserve"> was not required to return to India. </w:t>
      </w:r>
      <w:r w:rsidR="00AD45FA">
        <w:rPr>
          <w:rFonts w:ascii="Book Antiqua" w:hAnsi="Book Antiqua"/>
        </w:rPr>
        <w:t>Consequently, the d</w:t>
      </w:r>
      <w:r w:rsidR="00530DE8">
        <w:rPr>
          <w:rFonts w:ascii="Book Antiqua" w:hAnsi="Book Antiqua"/>
        </w:rPr>
        <w:t xml:space="preserve">ecision may contain an error of law but is not material. </w:t>
      </w:r>
    </w:p>
    <w:p w:rsidR="00530DE8" w:rsidRDefault="00AD45FA" w:rsidP="00530DE8">
      <w:pPr>
        <w:rPr>
          <w:rFonts w:ascii="Book Antiqua" w:hAnsi="Book Antiqua"/>
        </w:rPr>
      </w:pPr>
      <w:r>
        <w:rPr>
          <w:rFonts w:ascii="Book Antiqua" w:hAnsi="Book Antiqua"/>
        </w:rPr>
        <w:t xml:space="preserve">In response to my question as to how the Claimant entered the United Kingdom, </w:t>
      </w:r>
      <w:proofErr w:type="spellStart"/>
      <w:r>
        <w:rPr>
          <w:rFonts w:ascii="Book Antiqua" w:hAnsi="Book Antiqua"/>
        </w:rPr>
        <w:t>Ms</w:t>
      </w:r>
      <w:proofErr w:type="spellEnd"/>
      <w:r>
        <w:rPr>
          <w:rFonts w:ascii="Book Antiqua" w:hAnsi="Book Antiqua"/>
        </w:rPr>
        <w:t xml:space="preserve"> </w:t>
      </w:r>
      <w:proofErr w:type="spellStart"/>
      <w:r>
        <w:rPr>
          <w:rFonts w:ascii="Book Antiqua" w:hAnsi="Book Antiqua"/>
        </w:rPr>
        <w:t>Faryl</w:t>
      </w:r>
      <w:proofErr w:type="spellEnd"/>
      <w:r>
        <w:rPr>
          <w:rFonts w:ascii="Book Antiqua" w:hAnsi="Book Antiqua"/>
        </w:rPr>
        <w:t xml:space="preserve"> informed me that she</w:t>
      </w:r>
      <w:r w:rsidR="00530DE8">
        <w:rPr>
          <w:rFonts w:ascii="Book Antiqua" w:hAnsi="Book Antiqua"/>
        </w:rPr>
        <w:t xml:space="preserve"> came from Spain where she had a resident permit</w:t>
      </w:r>
      <w:r>
        <w:rPr>
          <w:rFonts w:ascii="Book Antiqua" w:hAnsi="Book Antiqua"/>
        </w:rPr>
        <w:t>,</w:t>
      </w:r>
      <w:r w:rsidR="00530DE8">
        <w:rPr>
          <w:rFonts w:ascii="Book Antiqua" w:hAnsi="Book Antiqua"/>
        </w:rPr>
        <w:t xml:space="preserve"> </w:t>
      </w:r>
      <w:r>
        <w:rPr>
          <w:rFonts w:ascii="Book Antiqua" w:hAnsi="Book Antiqua"/>
        </w:rPr>
        <w:t>which is</w:t>
      </w:r>
      <w:r w:rsidR="00530DE8">
        <w:rPr>
          <w:rFonts w:ascii="Book Antiqua" w:hAnsi="Book Antiqua"/>
        </w:rPr>
        <w:t xml:space="preserve"> valid until 3.1.22. </w:t>
      </w:r>
    </w:p>
    <w:p w:rsidR="00530DE8" w:rsidRDefault="00530DE8" w:rsidP="00530DE8">
      <w:pPr>
        <w:rPr>
          <w:rFonts w:ascii="Book Antiqua" w:hAnsi="Book Antiqua"/>
        </w:rPr>
      </w:pPr>
    </w:p>
    <w:p w:rsidR="00AD45FA" w:rsidRDefault="00AD45FA" w:rsidP="00530DE8">
      <w:pPr>
        <w:rPr>
          <w:rFonts w:ascii="Book Antiqua" w:hAnsi="Book Antiqua"/>
        </w:rPr>
      </w:pPr>
      <w:r>
        <w:rPr>
          <w:rFonts w:ascii="Book Antiqua" w:hAnsi="Book Antiqua"/>
        </w:rPr>
        <w:t>7. There was n</w:t>
      </w:r>
      <w:r w:rsidR="00530DE8">
        <w:rPr>
          <w:rFonts w:ascii="Book Antiqua" w:hAnsi="Book Antiqua"/>
        </w:rPr>
        <w:t>o reply</w:t>
      </w:r>
      <w:r>
        <w:rPr>
          <w:rFonts w:ascii="Book Antiqua" w:hAnsi="Book Antiqua"/>
        </w:rPr>
        <w:t xml:space="preserve"> by </w:t>
      </w:r>
      <w:proofErr w:type="spellStart"/>
      <w:r>
        <w:rPr>
          <w:rFonts w:ascii="Book Antiqua" w:hAnsi="Book Antiqua"/>
        </w:rPr>
        <w:t>Ms</w:t>
      </w:r>
      <w:proofErr w:type="spellEnd"/>
      <w:r>
        <w:rPr>
          <w:rFonts w:ascii="Book Antiqua" w:hAnsi="Book Antiqua"/>
        </w:rPr>
        <w:t xml:space="preserve"> </w:t>
      </w:r>
      <w:proofErr w:type="spellStart"/>
      <w:r>
        <w:rPr>
          <w:rFonts w:ascii="Book Antiqua" w:hAnsi="Book Antiqua"/>
        </w:rPr>
        <w:t>Aboni</w:t>
      </w:r>
      <w:proofErr w:type="spellEnd"/>
      <w:r w:rsidR="00530DE8">
        <w:rPr>
          <w:rFonts w:ascii="Book Antiqua" w:hAnsi="Book Antiqua"/>
        </w:rPr>
        <w:t xml:space="preserve">. </w:t>
      </w:r>
    </w:p>
    <w:p w:rsidR="00AD45FA" w:rsidRDefault="00AD45FA" w:rsidP="00530DE8">
      <w:pPr>
        <w:rPr>
          <w:rFonts w:ascii="Book Antiqua" w:hAnsi="Book Antiqua"/>
        </w:rPr>
      </w:pPr>
    </w:p>
    <w:p w:rsidR="00AD45FA" w:rsidRDefault="00AD45FA" w:rsidP="00530DE8">
      <w:pPr>
        <w:rPr>
          <w:rFonts w:ascii="Book Antiqua" w:hAnsi="Book Antiqua"/>
        </w:rPr>
      </w:pPr>
      <w:r>
        <w:rPr>
          <w:rFonts w:ascii="Book Antiqua" w:hAnsi="Book Antiqua"/>
          <w:i/>
        </w:rPr>
        <w:t>Findings</w:t>
      </w:r>
    </w:p>
    <w:p w:rsidR="00AD45FA" w:rsidRDefault="00AD45FA" w:rsidP="00530DE8">
      <w:pPr>
        <w:rPr>
          <w:rFonts w:ascii="Book Antiqua" w:hAnsi="Book Antiqua"/>
        </w:rPr>
      </w:pPr>
    </w:p>
    <w:p w:rsidR="00AD45FA" w:rsidRDefault="00AD45FA" w:rsidP="00530DE8">
      <w:pPr>
        <w:rPr>
          <w:rFonts w:ascii="Book Antiqua" w:hAnsi="Book Antiqua"/>
        </w:rPr>
      </w:pPr>
      <w:r>
        <w:rPr>
          <w:rFonts w:ascii="Book Antiqua" w:hAnsi="Book Antiqua"/>
        </w:rPr>
        <w:t xml:space="preserve">8. I find no material error of law in the decision of the First </w:t>
      </w:r>
      <w:proofErr w:type="gramStart"/>
      <w:r>
        <w:rPr>
          <w:rFonts w:ascii="Book Antiqua" w:hAnsi="Book Antiqua"/>
        </w:rPr>
        <w:t>tier</w:t>
      </w:r>
      <w:proofErr w:type="gramEnd"/>
      <w:r>
        <w:rPr>
          <w:rFonts w:ascii="Book Antiqua" w:hAnsi="Book Antiqua"/>
        </w:rPr>
        <w:t xml:space="preserve"> Tribunal Judge. It is apparent from his decision and reasons that whilst at the date of decision of 7 December 2015, the requirements of the Appendix FM-SE were not met, a further letter dated 18 December 2015 was sent which confirmed the Sponsor’s salary and that he was an employee [9]. The Judge considered the evidence </w:t>
      </w:r>
      <w:proofErr w:type="gramStart"/>
      <w:r>
        <w:rPr>
          <w:rFonts w:ascii="Book Antiqua" w:hAnsi="Book Antiqua"/>
        </w:rPr>
        <w:t>as a whole and</w:t>
      </w:r>
      <w:proofErr w:type="gramEnd"/>
      <w:r>
        <w:rPr>
          <w:rFonts w:ascii="Book Antiqua" w:hAnsi="Book Antiqua"/>
        </w:rPr>
        <w:t xml:space="preserve"> concluded at [10] that, from the Sponsor’s </w:t>
      </w:r>
      <w:proofErr w:type="spellStart"/>
      <w:r>
        <w:rPr>
          <w:rFonts w:ascii="Book Antiqua" w:hAnsi="Book Antiqua"/>
        </w:rPr>
        <w:t>payslips</w:t>
      </w:r>
      <w:proofErr w:type="spellEnd"/>
      <w:r>
        <w:rPr>
          <w:rFonts w:ascii="Book Antiqua" w:hAnsi="Book Antiqua"/>
        </w:rPr>
        <w:t xml:space="preserve"> and bank statement that he had been employed for almost a year at the time of the letter of 18 December 2015 and had been paid the same level of salary throughout that period. The Judge expressly accepted that there were deficiencies in the information provided at the date of decision, but that there was little doubt that in practice the requirements of the Immigration Rules were met in substantive terms, notwithstanding the deficiency. I find that it was open to the Judge on the evidence to make this finding, which is not vitiated by error of law.</w:t>
      </w:r>
    </w:p>
    <w:p w:rsidR="00AD45FA" w:rsidRDefault="00AD45FA" w:rsidP="00530DE8">
      <w:pPr>
        <w:rPr>
          <w:rFonts w:ascii="Book Antiqua" w:hAnsi="Book Antiqua"/>
        </w:rPr>
      </w:pPr>
    </w:p>
    <w:p w:rsidR="00E8120D" w:rsidRDefault="00AD45FA" w:rsidP="00530DE8">
      <w:pPr>
        <w:rPr>
          <w:rFonts w:ascii="Book Antiqua" w:hAnsi="Book Antiqua"/>
        </w:rPr>
      </w:pPr>
      <w:r>
        <w:rPr>
          <w:rFonts w:ascii="Book Antiqua" w:hAnsi="Book Antiqua"/>
        </w:rPr>
        <w:t xml:space="preserve">9. In any event, the appeal the Judge was required to determine was a human rights appeal </w:t>
      </w:r>
      <w:r w:rsidR="007931DC">
        <w:rPr>
          <w:rFonts w:ascii="Book Antiqua" w:hAnsi="Book Antiqua"/>
        </w:rPr>
        <w:t xml:space="preserve">as he correctly directed himself at [11] of the decision and reasons. The relevant date for that assessment is the date of hearing and thus the Judge was clearly entitled to take account </w:t>
      </w:r>
      <w:r w:rsidR="00457CD1">
        <w:rPr>
          <w:rFonts w:ascii="Book Antiqua" w:hAnsi="Book Antiqua"/>
        </w:rPr>
        <w:t xml:space="preserve">of post decision evidence in his assessment of the proportionality of the decision. I find that at [14] when the Judge </w:t>
      </w:r>
      <w:proofErr w:type="gramStart"/>
      <w:r w:rsidR="00457CD1">
        <w:rPr>
          <w:rFonts w:ascii="Book Antiqua" w:hAnsi="Book Antiqua"/>
        </w:rPr>
        <w:t>made reference</w:t>
      </w:r>
      <w:proofErr w:type="gramEnd"/>
      <w:r w:rsidR="00457CD1">
        <w:rPr>
          <w:rFonts w:ascii="Book Antiqua" w:hAnsi="Book Antiqua"/>
        </w:rPr>
        <w:t xml:space="preserve"> to the Immigration Rules being satisfied he was clearly referring to the position before him at the date of hearing and the position if the Claimant had to return to India in order to make a fresh application for entry clearance. I find no error in the Judge’s finding and conclusion, applying the judgments in </w:t>
      </w:r>
      <w:proofErr w:type="spellStart"/>
      <w:r w:rsidR="00457CD1">
        <w:rPr>
          <w:rFonts w:ascii="Book Antiqua" w:hAnsi="Book Antiqua"/>
          <w:u w:val="single"/>
        </w:rPr>
        <w:t>Chikwamba</w:t>
      </w:r>
      <w:proofErr w:type="spellEnd"/>
      <w:r w:rsidR="00457CD1">
        <w:rPr>
          <w:rFonts w:ascii="Book Antiqua" w:hAnsi="Book Antiqua"/>
        </w:rPr>
        <w:t xml:space="preserve"> [2008] UKHL 40 and </w:t>
      </w:r>
      <w:r w:rsidR="00457CD1">
        <w:rPr>
          <w:rFonts w:ascii="Book Antiqua" w:hAnsi="Book Antiqua"/>
          <w:u w:val="single"/>
        </w:rPr>
        <w:t>Hayat</w:t>
      </w:r>
      <w:r w:rsidR="00457CD1">
        <w:rPr>
          <w:rFonts w:ascii="Book Antiqua" w:hAnsi="Book Antiqua"/>
        </w:rPr>
        <w:t xml:space="preserve"> [2011] UKUT 44 (IAC) that it would not be proportionate for the Claimant to make an entry clearance application again, the requirements of the Rules having been met. It was open to the Judge so to find, </w:t>
      </w:r>
      <w:proofErr w:type="gramStart"/>
      <w:r w:rsidR="00457CD1">
        <w:rPr>
          <w:rFonts w:ascii="Book Antiqua" w:hAnsi="Book Antiqua"/>
        </w:rPr>
        <w:t>in light of the fact that</w:t>
      </w:r>
      <w:proofErr w:type="gramEnd"/>
      <w:r w:rsidR="00457CD1">
        <w:rPr>
          <w:rFonts w:ascii="Book Antiqua" w:hAnsi="Book Antiqua"/>
        </w:rPr>
        <w:t xml:space="preserve"> the application for entry clearance had been refused on two bases only and the Judge found sustainably at [8] that the relationship was genuine and subsisting, a finding which has not been challenged.</w:t>
      </w:r>
    </w:p>
    <w:p w:rsidR="00E8120D" w:rsidRDefault="00E8120D" w:rsidP="00530DE8">
      <w:pPr>
        <w:rPr>
          <w:rFonts w:ascii="Book Antiqua" w:hAnsi="Book Antiqua"/>
        </w:rPr>
      </w:pPr>
    </w:p>
    <w:p w:rsidR="00E8120D" w:rsidRDefault="00E8120D" w:rsidP="00530DE8">
      <w:pPr>
        <w:rPr>
          <w:rFonts w:ascii="Book Antiqua" w:hAnsi="Book Antiqua"/>
        </w:rPr>
      </w:pPr>
      <w:r>
        <w:rPr>
          <w:rFonts w:ascii="Book Antiqua" w:hAnsi="Book Antiqua"/>
        </w:rPr>
        <w:t xml:space="preserve">10 The Judge went on to consider the public interest considerations set out in section 117B of the NIAA 2002 as part of his assessment of proportionality, expressly acknowledging that there were some defects in the original application but finding that those had been met by the submission of further evidence. I find no error </w:t>
      </w:r>
      <w:r w:rsidR="00B938C4">
        <w:rPr>
          <w:rFonts w:ascii="Book Antiqua" w:hAnsi="Book Antiqua"/>
        </w:rPr>
        <w:t xml:space="preserve">of law </w:t>
      </w:r>
      <w:r>
        <w:rPr>
          <w:rFonts w:ascii="Book Antiqua" w:hAnsi="Book Antiqua"/>
        </w:rPr>
        <w:t>in the Judge’s approach.</w:t>
      </w:r>
    </w:p>
    <w:p w:rsidR="00E8120D" w:rsidRDefault="00E8120D" w:rsidP="00530DE8">
      <w:pPr>
        <w:rPr>
          <w:rFonts w:ascii="Book Antiqua" w:hAnsi="Book Antiqua"/>
        </w:rPr>
      </w:pPr>
    </w:p>
    <w:p w:rsidR="00B938C4" w:rsidRDefault="00E8120D" w:rsidP="00530DE8">
      <w:pPr>
        <w:rPr>
          <w:rFonts w:ascii="Book Antiqua" w:hAnsi="Book Antiqua"/>
        </w:rPr>
      </w:pPr>
      <w:r>
        <w:rPr>
          <w:rFonts w:ascii="Book Antiqua" w:hAnsi="Book Antiqua"/>
        </w:rPr>
        <w:t xml:space="preserve">11. I have concluded that the basis of the application for permission to appeal to the Upper Tribunal was misconceived in that the Entry Clearance Officer failed to appreciate that this was a human rights appeal and that the Judge was not only entitled but bound to consider post decision evidence in deciding on the proportionality of the Respondent’s decision. </w:t>
      </w:r>
    </w:p>
    <w:p w:rsidR="00B938C4" w:rsidRDefault="00B938C4" w:rsidP="00530DE8">
      <w:pPr>
        <w:rPr>
          <w:rFonts w:ascii="Book Antiqua" w:hAnsi="Book Antiqua"/>
        </w:rPr>
      </w:pPr>
    </w:p>
    <w:p w:rsidR="00B938C4" w:rsidRDefault="00B938C4" w:rsidP="00530DE8">
      <w:pPr>
        <w:rPr>
          <w:rFonts w:ascii="Book Antiqua" w:hAnsi="Book Antiqua"/>
        </w:rPr>
      </w:pPr>
      <w:r>
        <w:rPr>
          <w:rFonts w:ascii="Book Antiqua" w:hAnsi="Book Antiqua"/>
          <w:i/>
        </w:rPr>
        <w:t>Decision</w:t>
      </w:r>
    </w:p>
    <w:p w:rsidR="00B938C4" w:rsidRDefault="00B938C4" w:rsidP="00530DE8">
      <w:pPr>
        <w:rPr>
          <w:rFonts w:ascii="Book Antiqua" w:hAnsi="Book Antiqua"/>
        </w:rPr>
      </w:pPr>
    </w:p>
    <w:p w:rsidR="00B938C4" w:rsidRDefault="00B938C4" w:rsidP="00530DE8">
      <w:pPr>
        <w:rPr>
          <w:rFonts w:ascii="Book Antiqua" w:hAnsi="Book Antiqua"/>
        </w:rPr>
      </w:pPr>
      <w:r>
        <w:rPr>
          <w:rFonts w:ascii="Book Antiqua" w:hAnsi="Book Antiqua"/>
        </w:rPr>
        <w:t xml:space="preserve">12. I find no error of law in the decision and reasons of First </w:t>
      </w:r>
      <w:proofErr w:type="gramStart"/>
      <w:r>
        <w:rPr>
          <w:rFonts w:ascii="Book Antiqua" w:hAnsi="Book Antiqua"/>
        </w:rPr>
        <w:t>tier</w:t>
      </w:r>
      <w:proofErr w:type="gramEnd"/>
      <w:r>
        <w:rPr>
          <w:rFonts w:ascii="Book Antiqua" w:hAnsi="Book Antiqua"/>
        </w:rPr>
        <w:t xml:space="preserve"> Tribunal Judge Andrew Davies. His decision allowing the appeal of the Claimant is upheld, with the effect that entry clearance should be granted.</w:t>
      </w:r>
    </w:p>
    <w:p w:rsidR="00B938C4" w:rsidRDefault="00B938C4" w:rsidP="00530DE8">
      <w:pPr>
        <w:rPr>
          <w:rFonts w:ascii="Book Antiqua" w:hAnsi="Book Antiqua"/>
        </w:rPr>
      </w:pPr>
    </w:p>
    <w:p w:rsidR="00B938C4" w:rsidRDefault="00B938C4" w:rsidP="00530DE8">
      <w:pPr>
        <w:rPr>
          <w:rFonts w:ascii="Book Antiqua" w:hAnsi="Book Antiqua"/>
        </w:rPr>
      </w:pPr>
    </w:p>
    <w:p w:rsidR="00B938C4" w:rsidRPr="00B938C4" w:rsidRDefault="00B938C4" w:rsidP="00530DE8">
      <w:pPr>
        <w:rPr>
          <w:rFonts w:ascii="Lucida Calligraphy" w:hAnsi="Lucida Calligraphy"/>
        </w:rPr>
      </w:pPr>
      <w:r>
        <w:rPr>
          <w:rFonts w:ascii="Lucida Calligraphy" w:hAnsi="Lucida Calligraphy"/>
        </w:rPr>
        <w:t>Rebecca Chapman</w:t>
      </w:r>
    </w:p>
    <w:p w:rsidR="00B938C4" w:rsidRDefault="00B938C4" w:rsidP="00530DE8">
      <w:pPr>
        <w:rPr>
          <w:rFonts w:ascii="Book Antiqua" w:hAnsi="Book Antiqua"/>
        </w:rPr>
      </w:pPr>
    </w:p>
    <w:p w:rsidR="00530DE8" w:rsidRPr="00B938C4" w:rsidRDefault="00B938C4" w:rsidP="00530DE8">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16 July 2018</w:t>
      </w:r>
    </w:p>
    <w:p w:rsidR="003109E0" w:rsidRPr="00071E7E" w:rsidRDefault="007931DC">
      <w:pPr>
        <w:rPr>
          <w:rFonts w:ascii="Book Antiqua" w:hAnsi="Book Antiqua"/>
        </w:rPr>
      </w:pPr>
      <w:r>
        <w:rPr>
          <w:rFonts w:ascii="Book Antiqua" w:hAnsi="Book Antiqua"/>
        </w:rPr>
        <w:t xml:space="preserve"> </w:t>
      </w:r>
    </w:p>
    <w:sectPr w:rsidR="003109E0" w:rsidRPr="00071E7E" w:rsidSect="00363573">
      <w:headerReference w:type="default" r:id="rId7"/>
      <w:footerReference w:type="even" r:id="rId8"/>
      <w:footerReference w:type="default" r:id="rId9"/>
      <w:footerReference w:type="first" r:id="rId10"/>
      <w:pgSz w:w="11900" w:h="16840"/>
      <w:pgMar w:top="142"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77E" w:rsidRDefault="00B6077E">
      <w:r>
        <w:separator/>
      </w:r>
    </w:p>
  </w:endnote>
  <w:endnote w:type="continuationSeparator" w:id="0">
    <w:p w:rsidR="00B6077E" w:rsidRDefault="00B6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20D" w:rsidRDefault="00E8120D" w:rsidP="003109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120D" w:rsidRDefault="00E8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547690"/>
      <w:docPartObj>
        <w:docPartGallery w:val="Page Numbers (Bottom of Page)"/>
        <w:docPartUnique/>
      </w:docPartObj>
    </w:sdtPr>
    <w:sdtEndPr>
      <w:rPr>
        <w:rFonts w:ascii="Book Antiqua" w:hAnsi="Book Antiqua"/>
        <w:noProof/>
      </w:rPr>
    </w:sdtEndPr>
    <w:sdtContent>
      <w:p w:rsidR="004B61FA" w:rsidRPr="004F7B89" w:rsidRDefault="004B61FA">
        <w:pPr>
          <w:pStyle w:val="Footer"/>
          <w:jc w:val="center"/>
          <w:rPr>
            <w:rFonts w:ascii="Book Antiqua" w:hAnsi="Book Antiqua"/>
          </w:rPr>
        </w:pPr>
        <w:r w:rsidRPr="004F7B89">
          <w:rPr>
            <w:rFonts w:ascii="Book Antiqua" w:hAnsi="Book Antiqua"/>
          </w:rPr>
          <w:fldChar w:fldCharType="begin"/>
        </w:r>
        <w:r w:rsidRPr="004F7B89">
          <w:rPr>
            <w:rFonts w:ascii="Book Antiqua" w:hAnsi="Book Antiqua"/>
          </w:rPr>
          <w:instrText xml:space="preserve"> PAGE   \* MERGEFORMAT </w:instrText>
        </w:r>
        <w:r w:rsidRPr="004F7B89">
          <w:rPr>
            <w:rFonts w:ascii="Book Antiqua" w:hAnsi="Book Antiqua"/>
          </w:rPr>
          <w:fldChar w:fldCharType="separate"/>
        </w:r>
        <w:r w:rsidR="00564695">
          <w:rPr>
            <w:rFonts w:ascii="Book Antiqua" w:hAnsi="Book Antiqua"/>
            <w:noProof/>
          </w:rPr>
          <w:t>4</w:t>
        </w:r>
        <w:r w:rsidRPr="004F7B89">
          <w:rPr>
            <w:rFonts w:ascii="Book Antiqua" w:hAnsi="Book Antiqua"/>
            <w:noProof/>
          </w:rPr>
          <w:fldChar w:fldCharType="end"/>
        </w:r>
      </w:p>
    </w:sdtContent>
  </w:sdt>
  <w:p w:rsidR="00E8120D" w:rsidRDefault="00E81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A9B" w:rsidRPr="004F7B89" w:rsidRDefault="00DD0A9B" w:rsidP="00DD0A9B">
    <w:pPr>
      <w:pStyle w:val="Footer"/>
      <w:jc w:val="center"/>
      <w:rPr>
        <w:rFonts w:ascii="Book Antiqua" w:hAnsi="Book Antiqua"/>
        <w:b/>
      </w:rPr>
    </w:pPr>
    <w:r w:rsidRPr="004F7B89">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77E" w:rsidRDefault="00B6077E">
      <w:r>
        <w:separator/>
      </w:r>
    </w:p>
  </w:footnote>
  <w:footnote w:type="continuationSeparator" w:id="0">
    <w:p w:rsidR="00B6077E" w:rsidRDefault="00B60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A9B" w:rsidRDefault="004F7B89" w:rsidP="00DD0A9B">
    <w:pPr>
      <w:pStyle w:val="Header"/>
      <w:jc w:val="right"/>
      <w:rPr>
        <w:rFonts w:ascii="Book Antiqua" w:hAnsi="Book Antiqua"/>
        <w:sz w:val="16"/>
        <w:szCs w:val="16"/>
      </w:rPr>
    </w:pPr>
    <w:r>
      <w:rPr>
        <w:rFonts w:ascii="Book Antiqua" w:hAnsi="Book Antiqua"/>
        <w:sz w:val="16"/>
        <w:szCs w:val="16"/>
      </w:rPr>
      <w:t xml:space="preserve">Appeal Number: </w:t>
    </w:r>
    <w:r w:rsidR="00DD0A9B" w:rsidRPr="004F7B89">
      <w:rPr>
        <w:rFonts w:ascii="Book Antiqua" w:hAnsi="Book Antiqua"/>
        <w:sz w:val="16"/>
        <w:szCs w:val="16"/>
      </w:rPr>
      <w:t>HU/00477/2016</w:t>
    </w:r>
  </w:p>
  <w:p w:rsidR="004F7B89" w:rsidRPr="004F7B89" w:rsidRDefault="004F7B89" w:rsidP="00DD0A9B">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7E"/>
    <w:rsid w:val="00071E7E"/>
    <w:rsid w:val="00260532"/>
    <w:rsid w:val="002C49A6"/>
    <w:rsid w:val="003109E0"/>
    <w:rsid w:val="00363573"/>
    <w:rsid w:val="003970D1"/>
    <w:rsid w:val="00457CD1"/>
    <w:rsid w:val="004B61FA"/>
    <w:rsid w:val="004F7B89"/>
    <w:rsid w:val="00530DE8"/>
    <w:rsid w:val="00564695"/>
    <w:rsid w:val="007022CD"/>
    <w:rsid w:val="007931DC"/>
    <w:rsid w:val="00847D2B"/>
    <w:rsid w:val="00AD45FA"/>
    <w:rsid w:val="00B60481"/>
    <w:rsid w:val="00B6077E"/>
    <w:rsid w:val="00B6247E"/>
    <w:rsid w:val="00B938C4"/>
    <w:rsid w:val="00D07FD3"/>
    <w:rsid w:val="00DD0A9B"/>
    <w:rsid w:val="00E8120D"/>
    <w:rsid w:val="00F31DB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2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E7E"/>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0DE8"/>
    <w:pPr>
      <w:tabs>
        <w:tab w:val="center" w:pos="4320"/>
        <w:tab w:val="right" w:pos="8640"/>
      </w:tabs>
    </w:pPr>
  </w:style>
  <w:style w:type="character" w:customStyle="1" w:styleId="FooterChar">
    <w:name w:val="Footer Char"/>
    <w:basedOn w:val="DefaultParagraphFont"/>
    <w:link w:val="Footer"/>
    <w:uiPriority w:val="99"/>
    <w:rsid w:val="00530DE8"/>
    <w:rPr>
      <w:rFonts w:ascii="Cambria" w:eastAsia="Cambria" w:hAnsi="Cambria" w:cs="Times New Roman"/>
    </w:rPr>
  </w:style>
  <w:style w:type="character" w:styleId="PageNumber">
    <w:name w:val="page number"/>
    <w:basedOn w:val="DefaultParagraphFont"/>
    <w:uiPriority w:val="99"/>
    <w:semiHidden/>
    <w:unhideWhenUsed/>
    <w:rsid w:val="00530DE8"/>
  </w:style>
  <w:style w:type="paragraph" w:styleId="Header">
    <w:name w:val="header"/>
    <w:basedOn w:val="Normal"/>
    <w:link w:val="HeaderChar"/>
    <w:uiPriority w:val="99"/>
    <w:unhideWhenUsed/>
    <w:rsid w:val="004B61FA"/>
    <w:pPr>
      <w:tabs>
        <w:tab w:val="center" w:pos="4513"/>
        <w:tab w:val="right" w:pos="9026"/>
      </w:tabs>
    </w:pPr>
  </w:style>
  <w:style w:type="character" w:customStyle="1" w:styleId="HeaderChar">
    <w:name w:val="Header Char"/>
    <w:basedOn w:val="DefaultParagraphFont"/>
    <w:link w:val="Header"/>
    <w:uiPriority w:val="99"/>
    <w:rsid w:val="004B61FA"/>
    <w:rPr>
      <w:rFonts w:ascii="Cambria" w:eastAsia="Cambria" w:hAnsi="Cambria" w:cs="Times New Roman"/>
    </w:rPr>
  </w:style>
  <w:style w:type="paragraph" w:styleId="BalloonText">
    <w:name w:val="Balloon Text"/>
    <w:basedOn w:val="Normal"/>
    <w:link w:val="BalloonTextChar"/>
    <w:uiPriority w:val="99"/>
    <w:semiHidden/>
    <w:unhideWhenUsed/>
    <w:rsid w:val="00D07F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FD3"/>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2018-08-02T15:30:00Z</dcterms:created>
  <dcterms:modified xsi:type="dcterms:W3CDTF">2018-08-02T15:30:00Z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