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797" w:rsidRDefault="00682797" w:rsidP="00933B65">
      <w:pPr>
        <w:jc w:val="center"/>
        <w:rPr>
          <w:rFonts w:ascii="Book Antiqua" w:hAnsi="Book Antiqua" w:cs="Arial"/>
          <w:color w:val="000000"/>
        </w:rPr>
      </w:pPr>
    </w:p>
    <w:p w:rsidR="00933B65" w:rsidRDefault="006F17F4" w:rsidP="00933B65">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682797"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682797">
        <w:rPr>
          <w:rFonts w:ascii="Book Antiqua" w:hAnsi="Book Antiqua" w:cs="Arial"/>
          <w:b/>
          <w:color w:val="000000"/>
        </w:rPr>
        <w:t xml:space="preserve">   </w:t>
      </w:r>
      <w:proofErr w:type="gramEnd"/>
      <w:r w:rsidR="00682797">
        <w:rPr>
          <w:rFonts w:ascii="Book Antiqua" w:hAnsi="Book Antiqua" w:cs="Arial"/>
          <w:b/>
          <w:color w:val="000000"/>
        </w:rPr>
        <w:t xml:space="preserve">                      </w:t>
      </w:r>
      <w:r w:rsidRPr="00682797">
        <w:rPr>
          <w:rFonts w:ascii="Book Antiqua" w:hAnsi="Book Antiqua" w:cs="Arial"/>
          <w:b/>
          <w:color w:val="000000"/>
        </w:rPr>
        <w:t>Appeal Number:</w:t>
      </w:r>
      <w:r w:rsidR="006748D6" w:rsidRPr="00682797">
        <w:rPr>
          <w:rFonts w:ascii="Book Antiqua" w:hAnsi="Book Antiqua" w:cs="Arial"/>
          <w:b/>
          <w:color w:val="000000"/>
        </w:rPr>
        <w:t xml:space="preserve"> </w:t>
      </w:r>
      <w:r w:rsidR="002A15C6" w:rsidRPr="00682797">
        <w:rPr>
          <w:rFonts w:ascii="Book Antiqua" w:hAnsi="Book Antiqua" w:cs="Arial"/>
          <w:b/>
          <w:color w:val="000000"/>
        </w:rPr>
        <w:t xml:space="preserve"> </w:t>
      </w:r>
      <w:bookmarkStart w:id="0" w:name="_Hlk514753563"/>
      <w:r w:rsidR="002A15C6" w:rsidRPr="00682797">
        <w:rPr>
          <w:rFonts w:ascii="Book Antiqua" w:hAnsi="Book Antiqua" w:cs="Arial"/>
          <w:b/>
          <w:color w:val="000000"/>
        </w:rPr>
        <w:t>HU/01045/2016</w:t>
      </w:r>
      <w:bookmarkEnd w:id="0"/>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10728" w:type="dxa"/>
        <w:tblLook w:val="01E0" w:firstRow="1" w:lastRow="1" w:firstColumn="1" w:lastColumn="1" w:noHBand="0" w:noVBand="0"/>
      </w:tblPr>
      <w:tblGrid>
        <w:gridCol w:w="5387"/>
        <w:gridCol w:w="5341"/>
      </w:tblGrid>
      <w:tr w:rsidR="00933B65" w:rsidRPr="009D328D" w:rsidTr="00682797">
        <w:trPr>
          <w:trHeight w:val="689"/>
        </w:trPr>
        <w:tc>
          <w:tcPr>
            <w:tcW w:w="5387" w:type="dxa"/>
            <w:shd w:val="clear" w:color="auto" w:fill="auto"/>
          </w:tcPr>
          <w:p w:rsidR="00933B65" w:rsidRDefault="00933B65" w:rsidP="009D328D">
            <w:pPr>
              <w:jc w:val="both"/>
              <w:rPr>
                <w:rFonts w:ascii="Book Antiqua" w:hAnsi="Book Antiqua" w:cs="Arial"/>
                <w:b/>
              </w:rPr>
            </w:pPr>
            <w:r w:rsidRPr="009D328D">
              <w:rPr>
                <w:rFonts w:ascii="Book Antiqua" w:hAnsi="Book Antiqua" w:cs="Arial"/>
                <w:b/>
              </w:rPr>
              <w:t xml:space="preserve">Heard at </w:t>
            </w:r>
            <w:r w:rsidR="002A15C6">
              <w:rPr>
                <w:rFonts w:ascii="Book Antiqua" w:hAnsi="Book Antiqua" w:cs="Arial"/>
                <w:b/>
              </w:rPr>
              <w:t>Field House</w:t>
            </w:r>
          </w:p>
          <w:p w:rsidR="00643ED8" w:rsidRPr="009D328D" w:rsidRDefault="00643ED8" w:rsidP="009D328D">
            <w:pPr>
              <w:jc w:val="both"/>
              <w:rPr>
                <w:rFonts w:ascii="Book Antiqua" w:hAnsi="Book Antiqua" w:cs="Arial"/>
                <w:b/>
              </w:rPr>
            </w:pPr>
            <w:r>
              <w:rPr>
                <w:rFonts w:ascii="Book Antiqua" w:hAnsi="Book Antiqua" w:cs="Arial"/>
                <w:b/>
              </w:rPr>
              <w:t>On 25 April 2018</w:t>
            </w:r>
          </w:p>
        </w:tc>
        <w:tc>
          <w:tcPr>
            <w:tcW w:w="5341" w:type="dxa"/>
            <w:shd w:val="clear" w:color="auto" w:fill="auto"/>
          </w:tcPr>
          <w:p w:rsidR="00933B65" w:rsidRDefault="00643ED8" w:rsidP="009D328D">
            <w:pPr>
              <w:jc w:val="both"/>
              <w:rPr>
                <w:rFonts w:ascii="Book Antiqua" w:hAnsi="Book Antiqua" w:cs="Arial"/>
                <w:b/>
                <w:color w:val="000000"/>
              </w:rPr>
            </w:pPr>
            <w:r>
              <w:rPr>
                <w:rFonts w:ascii="Book Antiqua" w:hAnsi="Book Antiqua" w:cs="Arial"/>
                <w:b/>
                <w:color w:val="000000"/>
              </w:rPr>
              <w:t>Decision &amp; Reasons</w:t>
            </w:r>
            <w:r w:rsidR="00933B65" w:rsidRPr="009D328D">
              <w:rPr>
                <w:rFonts w:ascii="Book Antiqua" w:hAnsi="Book Antiqua" w:cs="Arial"/>
                <w:b/>
                <w:color w:val="000000"/>
              </w:rPr>
              <w:t xml:space="preserve"> Promulgated</w:t>
            </w:r>
          </w:p>
          <w:p w:rsidR="00643ED8" w:rsidRDefault="00643ED8" w:rsidP="009D328D">
            <w:pPr>
              <w:jc w:val="both"/>
              <w:rPr>
                <w:rFonts w:ascii="Book Antiqua" w:hAnsi="Book Antiqua" w:cs="Arial"/>
                <w:b/>
                <w:color w:val="000000"/>
              </w:rPr>
            </w:pPr>
            <w:r>
              <w:rPr>
                <w:rFonts w:ascii="Book Antiqua" w:hAnsi="Book Antiqua" w:cs="Arial"/>
                <w:b/>
                <w:color w:val="000000"/>
              </w:rPr>
              <w:t>On 11 June 2018</w:t>
            </w:r>
          </w:p>
          <w:p w:rsidR="00643ED8" w:rsidRPr="009D328D" w:rsidRDefault="00643ED8" w:rsidP="009D328D">
            <w:pPr>
              <w:jc w:val="both"/>
              <w:rPr>
                <w:rFonts w:ascii="Book Antiqua" w:hAnsi="Book Antiqua" w:cs="Arial"/>
                <w:b/>
                <w:color w:val="000000"/>
              </w:rPr>
            </w:pPr>
          </w:p>
        </w:tc>
      </w:tr>
      <w:tr w:rsidR="00933B65" w:rsidRPr="009D328D" w:rsidTr="00682797">
        <w:trPr>
          <w:trHeight w:val="344"/>
        </w:trPr>
        <w:tc>
          <w:tcPr>
            <w:tcW w:w="5387" w:type="dxa"/>
            <w:shd w:val="clear" w:color="auto" w:fill="auto"/>
          </w:tcPr>
          <w:p w:rsidR="00933B65" w:rsidRPr="009D328D" w:rsidRDefault="00933B65" w:rsidP="009D328D">
            <w:pPr>
              <w:jc w:val="both"/>
              <w:rPr>
                <w:rFonts w:ascii="Book Antiqua" w:hAnsi="Book Antiqua" w:cs="Arial"/>
                <w:b/>
              </w:rPr>
            </w:pPr>
          </w:p>
        </w:tc>
        <w:tc>
          <w:tcPr>
            <w:tcW w:w="5341" w:type="dxa"/>
            <w:shd w:val="clear" w:color="auto" w:fill="auto"/>
          </w:tcPr>
          <w:p w:rsidR="00933B65" w:rsidRPr="009D328D" w:rsidRDefault="00933B65" w:rsidP="009D328D">
            <w:pPr>
              <w:jc w:val="both"/>
              <w:rPr>
                <w:rFonts w:ascii="Book Antiqua" w:hAnsi="Book Antiqua" w:cs="Arial"/>
                <w:b/>
              </w:rPr>
            </w:pPr>
          </w:p>
        </w:tc>
      </w:tr>
    </w:tbl>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Pr="00F97703" w:rsidRDefault="002A15C6" w:rsidP="00933B65">
      <w:pPr>
        <w:jc w:val="center"/>
        <w:rPr>
          <w:rFonts w:ascii="Book Antiqua" w:hAnsi="Book Antiqua" w:cs="Arial"/>
          <w:b/>
        </w:rPr>
      </w:pPr>
      <w:r>
        <w:rPr>
          <w:rFonts w:ascii="Book Antiqua" w:hAnsi="Book Antiqua" w:cs="Arial"/>
          <w:b/>
        </w:rPr>
        <w:t>ENTRY CLEARANCE OFFICER, NEW DELHI</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682797" w:rsidRDefault="00682797"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2A15C6" w:rsidRDefault="002A15C6" w:rsidP="00933B65">
      <w:pPr>
        <w:jc w:val="center"/>
        <w:rPr>
          <w:rFonts w:ascii="Book Antiqua" w:hAnsi="Book Antiqua" w:cs="Arial"/>
          <w:b/>
        </w:rPr>
      </w:pPr>
      <w:r>
        <w:rPr>
          <w:rFonts w:ascii="Book Antiqua" w:hAnsi="Book Antiqua" w:cs="Arial"/>
          <w:b/>
        </w:rPr>
        <w:t>MISS SULU DAMBERPAL</w:t>
      </w:r>
    </w:p>
    <w:p w:rsidR="00680A32" w:rsidRPr="00682797" w:rsidRDefault="002A15C6" w:rsidP="00933B65">
      <w:pPr>
        <w:jc w:val="center"/>
        <w:rPr>
          <w:rFonts w:ascii="Book Antiqua" w:hAnsi="Book Antiqua" w:cs="Arial"/>
        </w:rPr>
      </w:pPr>
      <w:r w:rsidRPr="00682797">
        <w:rPr>
          <w:rFonts w:ascii="Book Antiqua" w:hAnsi="Book Antiqua" w:cs="Arial"/>
        </w:rPr>
        <w:t>(NO 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2A15C6">
        <w:rPr>
          <w:rFonts w:ascii="Book Antiqua" w:hAnsi="Book Antiqua" w:cs="Arial"/>
        </w:rPr>
        <w:t>Ms Willocks-Briscoe</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2A15C6">
        <w:rPr>
          <w:rFonts w:ascii="Book Antiqua" w:hAnsi="Book Antiqua" w:cs="Arial"/>
        </w:rPr>
        <w:t>Ms McCarthy</w:t>
      </w:r>
    </w:p>
    <w:p w:rsidR="00933B65" w:rsidRDefault="00933B65" w:rsidP="00933B65">
      <w:pPr>
        <w:tabs>
          <w:tab w:val="left" w:pos="2520"/>
        </w:tabs>
        <w:jc w:val="center"/>
        <w:rPr>
          <w:rFonts w:ascii="Book Antiqua" w:hAnsi="Book Antiqua" w:cs="Arial"/>
        </w:rPr>
      </w:pPr>
    </w:p>
    <w:p w:rsidR="00AC5C04" w:rsidRPr="00F97703" w:rsidRDefault="00AC5C04" w:rsidP="00933B65">
      <w:pPr>
        <w:tabs>
          <w:tab w:val="left" w:pos="2520"/>
        </w:tabs>
        <w:jc w:val="center"/>
        <w:rPr>
          <w:rFonts w:ascii="Book Antiqua" w:hAnsi="Book Antiqua" w:cs="Arial"/>
        </w:rPr>
      </w:pPr>
    </w:p>
    <w:p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rsidR="00933B65" w:rsidRDefault="0019082C" w:rsidP="002A15C6">
      <w:pPr>
        <w:numPr>
          <w:ilvl w:val="0"/>
          <w:numId w:val="3"/>
        </w:numPr>
        <w:ind w:left="567" w:hanging="567"/>
        <w:jc w:val="both"/>
        <w:rPr>
          <w:rFonts w:ascii="Book Antiqua" w:hAnsi="Book Antiqua" w:cs="Arial"/>
        </w:rPr>
      </w:pPr>
      <w:r>
        <w:rPr>
          <w:rFonts w:ascii="Book Antiqua" w:hAnsi="Book Antiqua" w:cs="Arial"/>
        </w:rPr>
        <w:t>For</w:t>
      </w:r>
      <w:r w:rsidR="002A15C6">
        <w:rPr>
          <w:rFonts w:ascii="Book Antiqua" w:hAnsi="Book Antiqua" w:cs="Arial"/>
        </w:rPr>
        <w:t xml:space="preserve"> convenience I retain the designations of the parties as they were before the First-Tier Tribunal.  </w:t>
      </w:r>
      <w:proofErr w:type="gramStart"/>
      <w:r w:rsidR="002A15C6">
        <w:rPr>
          <w:rFonts w:ascii="Book Antiqua" w:hAnsi="Book Antiqua" w:cs="Arial"/>
        </w:rPr>
        <w:t>Thus</w:t>
      </w:r>
      <w:proofErr w:type="gramEnd"/>
      <w:r w:rsidR="002A15C6">
        <w:rPr>
          <w:rFonts w:ascii="Book Antiqua" w:hAnsi="Book Antiqua" w:cs="Arial"/>
        </w:rPr>
        <w:t xml:space="preserve"> the appellant is Miss </w:t>
      </w:r>
      <w:proofErr w:type="spellStart"/>
      <w:r w:rsidR="002A15C6">
        <w:rPr>
          <w:rFonts w:ascii="Book Antiqua" w:hAnsi="Book Antiqua" w:cs="Arial"/>
        </w:rPr>
        <w:t>Damberpal</w:t>
      </w:r>
      <w:proofErr w:type="spellEnd"/>
      <w:r w:rsidR="002A15C6">
        <w:rPr>
          <w:rFonts w:ascii="Book Antiqua" w:hAnsi="Book Antiqua" w:cs="Arial"/>
        </w:rPr>
        <w:t xml:space="preserve"> and the ECO the respondent.</w:t>
      </w:r>
    </w:p>
    <w:p w:rsidR="002A15C6" w:rsidRDefault="002A15C6" w:rsidP="002A15C6">
      <w:pPr>
        <w:jc w:val="both"/>
        <w:rPr>
          <w:rFonts w:ascii="Book Antiqua" w:hAnsi="Book Antiqua" w:cs="Arial"/>
        </w:rPr>
      </w:pPr>
    </w:p>
    <w:p w:rsidR="002A15C6" w:rsidRDefault="008A3F8D" w:rsidP="002A15C6">
      <w:pPr>
        <w:numPr>
          <w:ilvl w:val="0"/>
          <w:numId w:val="3"/>
        </w:numPr>
        <w:ind w:left="567" w:hanging="567"/>
        <w:jc w:val="both"/>
        <w:rPr>
          <w:rFonts w:ascii="Book Antiqua" w:hAnsi="Book Antiqua" w:cs="Arial"/>
        </w:rPr>
      </w:pPr>
      <w:r>
        <w:rPr>
          <w:rFonts w:ascii="Book Antiqua" w:hAnsi="Book Antiqua" w:cs="Arial"/>
        </w:rPr>
        <w:t>The appellant is a citizen of Nepal born in 1992.  She appealed against a decision of the respondent made on 30 November 2015 to refuse her application for entry clearance for settlement as</w:t>
      </w:r>
      <w:r w:rsidR="002D4296">
        <w:rPr>
          <w:rFonts w:ascii="Book Antiqua" w:hAnsi="Book Antiqua" w:cs="Arial"/>
        </w:rPr>
        <w:t xml:space="preserve"> the adult dependent daughter of</w:t>
      </w:r>
      <w:r>
        <w:rPr>
          <w:rFonts w:ascii="Book Antiqua" w:hAnsi="Book Antiqua" w:cs="Arial"/>
        </w:rPr>
        <w:t xml:space="preserve"> </w:t>
      </w:r>
      <w:proofErr w:type="spellStart"/>
      <w:r>
        <w:rPr>
          <w:rFonts w:ascii="Book Antiqua" w:hAnsi="Book Antiqua" w:cs="Arial"/>
        </w:rPr>
        <w:t>Hombir</w:t>
      </w:r>
      <w:proofErr w:type="spellEnd"/>
      <w:r>
        <w:rPr>
          <w:rFonts w:ascii="Book Antiqua" w:hAnsi="Book Antiqua" w:cs="Arial"/>
        </w:rPr>
        <w:t xml:space="preserve"> </w:t>
      </w:r>
      <w:proofErr w:type="spellStart"/>
      <w:r>
        <w:rPr>
          <w:rFonts w:ascii="Book Antiqua" w:hAnsi="Book Antiqua" w:cs="Arial"/>
        </w:rPr>
        <w:t>Damberpal</w:t>
      </w:r>
      <w:proofErr w:type="spellEnd"/>
      <w:r>
        <w:rPr>
          <w:rFonts w:ascii="Book Antiqua" w:hAnsi="Book Antiqua" w:cs="Arial"/>
        </w:rPr>
        <w:t xml:space="preserve"> (the sponsor).</w:t>
      </w:r>
    </w:p>
    <w:p w:rsidR="008A3F8D" w:rsidRDefault="008A3F8D" w:rsidP="008A3F8D">
      <w:pPr>
        <w:pStyle w:val="ListParagraph"/>
        <w:rPr>
          <w:rFonts w:ascii="Book Antiqua" w:hAnsi="Book Antiqua" w:cs="Arial"/>
        </w:rPr>
      </w:pPr>
    </w:p>
    <w:p w:rsidR="008A3F8D" w:rsidRDefault="008A3F8D" w:rsidP="002A15C6">
      <w:pPr>
        <w:numPr>
          <w:ilvl w:val="0"/>
          <w:numId w:val="3"/>
        </w:numPr>
        <w:ind w:left="567" w:hanging="567"/>
        <w:jc w:val="both"/>
        <w:rPr>
          <w:rFonts w:ascii="Book Antiqua" w:hAnsi="Book Antiqua" w:cs="Arial"/>
        </w:rPr>
      </w:pPr>
      <w:r>
        <w:rPr>
          <w:rFonts w:ascii="Book Antiqua" w:hAnsi="Book Antiqua" w:cs="Arial"/>
        </w:rPr>
        <w:t>The basis of the decision was that the appellant did not meet the requirements set out in Appendix FM regarding dependent relatives, nor the policy in respect of Foreign and Commonwealth HM Forces dependents over the age of 18 (</w:t>
      </w:r>
      <w:r w:rsidR="0063313F">
        <w:rPr>
          <w:rFonts w:ascii="Book Antiqua" w:hAnsi="Book Antiqua" w:cs="Arial"/>
        </w:rPr>
        <w:t>IDI</w:t>
      </w:r>
      <w:r>
        <w:rPr>
          <w:rFonts w:ascii="Book Antiqua" w:hAnsi="Book Antiqua" w:cs="Arial"/>
        </w:rPr>
        <w:t xml:space="preserve"> Ch 15, Sec 2A para 13.2 and Annex K, paragraph</w:t>
      </w:r>
      <w:bookmarkStart w:id="1" w:name="_GoBack"/>
      <w:bookmarkEnd w:id="1"/>
      <w:r>
        <w:rPr>
          <w:rFonts w:ascii="Book Antiqua" w:hAnsi="Book Antiqua" w:cs="Arial"/>
        </w:rPr>
        <w:t xml:space="preserve"> 9(8) as amended on 5 January 2015</w:t>
      </w:r>
      <w:r w:rsidR="00EE435A">
        <w:rPr>
          <w:rFonts w:ascii="Book Antiqua" w:hAnsi="Book Antiqua" w:cs="Arial"/>
        </w:rPr>
        <w:t>)</w:t>
      </w:r>
      <w:r>
        <w:rPr>
          <w:rFonts w:ascii="Book Antiqua" w:hAnsi="Book Antiqua" w:cs="Arial"/>
        </w:rPr>
        <w:t>, or Article 8 ECHR.</w:t>
      </w:r>
    </w:p>
    <w:p w:rsidR="008A3F8D" w:rsidRDefault="008A3F8D" w:rsidP="008A3F8D">
      <w:pPr>
        <w:pStyle w:val="ListParagraph"/>
        <w:rPr>
          <w:rFonts w:ascii="Book Antiqua" w:hAnsi="Book Antiqua" w:cs="Arial"/>
        </w:rPr>
      </w:pPr>
    </w:p>
    <w:p w:rsidR="008773C6" w:rsidRPr="00274350" w:rsidRDefault="008A3F8D" w:rsidP="00274350">
      <w:pPr>
        <w:numPr>
          <w:ilvl w:val="0"/>
          <w:numId w:val="3"/>
        </w:numPr>
        <w:ind w:left="567" w:hanging="567"/>
        <w:jc w:val="both"/>
        <w:rPr>
          <w:rFonts w:ascii="Book Antiqua" w:hAnsi="Book Antiqua" w:cs="Arial"/>
        </w:rPr>
      </w:pPr>
      <w:r>
        <w:rPr>
          <w:rFonts w:ascii="Book Antiqua" w:hAnsi="Book Antiqua" w:cs="Arial"/>
        </w:rPr>
        <w:t>The reasons for refusal</w:t>
      </w:r>
      <w:r w:rsidR="000042F7">
        <w:rPr>
          <w:rFonts w:ascii="Book Antiqua" w:hAnsi="Book Antiqua" w:cs="Arial"/>
        </w:rPr>
        <w:t>, in summary,</w:t>
      </w:r>
      <w:r>
        <w:rPr>
          <w:rFonts w:ascii="Book Antiqua" w:hAnsi="Book Antiqua" w:cs="Arial"/>
        </w:rPr>
        <w:t xml:space="preserve"> were</w:t>
      </w:r>
      <w:r w:rsidR="000042F7">
        <w:rPr>
          <w:rFonts w:ascii="Book Antiqua" w:hAnsi="Book Antiqua" w:cs="Arial"/>
        </w:rPr>
        <w:t xml:space="preserve"> </w:t>
      </w:r>
      <w:r w:rsidR="00964EA3">
        <w:rPr>
          <w:rFonts w:ascii="Book Antiqua" w:hAnsi="Book Antiqua" w:cs="Arial"/>
        </w:rPr>
        <w:t>that the appellant had grown up in Nepal; her</w:t>
      </w:r>
      <w:r>
        <w:rPr>
          <w:rFonts w:ascii="Book Antiqua" w:hAnsi="Book Antiqua" w:cs="Arial"/>
        </w:rPr>
        <w:t xml:space="preserve"> parent</w:t>
      </w:r>
      <w:r w:rsidR="00964EA3">
        <w:rPr>
          <w:rFonts w:ascii="Book Antiqua" w:hAnsi="Book Antiqua" w:cs="Arial"/>
        </w:rPr>
        <w:t>s migrated to the UK in 2013 by choice</w:t>
      </w:r>
      <w:r>
        <w:rPr>
          <w:rFonts w:ascii="Book Antiqua" w:hAnsi="Book Antiqua" w:cs="Arial"/>
        </w:rPr>
        <w:t xml:space="preserve">, content to </w:t>
      </w:r>
      <w:r w:rsidR="0063313F">
        <w:rPr>
          <w:rFonts w:ascii="Book Antiqua" w:hAnsi="Book Antiqua" w:cs="Arial"/>
        </w:rPr>
        <w:t>leave the appellant</w:t>
      </w:r>
      <w:r w:rsidR="00964EA3">
        <w:rPr>
          <w:rFonts w:ascii="Book Antiqua" w:hAnsi="Book Antiqua" w:cs="Arial"/>
        </w:rPr>
        <w:t>, an adult,</w:t>
      </w:r>
      <w:r w:rsidR="0063313F">
        <w:rPr>
          <w:rFonts w:ascii="Book Antiqua" w:hAnsi="Book Antiqua" w:cs="Arial"/>
        </w:rPr>
        <w:t xml:space="preserve"> and without making obvious care arrangements for her.  They evidently considered that she was able to care for herself.  </w:t>
      </w:r>
      <w:r w:rsidR="00964EA3">
        <w:rPr>
          <w:rFonts w:ascii="Book Antiqua" w:hAnsi="Book Antiqua" w:cs="Arial"/>
        </w:rPr>
        <w:t xml:space="preserve">They could return to Nepal permanently or temporarily. She had been living in </w:t>
      </w:r>
      <w:r w:rsidR="000042F7">
        <w:rPr>
          <w:rFonts w:ascii="Book Antiqua" w:hAnsi="Book Antiqua" w:cs="Arial"/>
        </w:rPr>
        <w:t xml:space="preserve">Nepal without her parents for two and a half </w:t>
      </w:r>
      <w:r w:rsidR="00964EA3">
        <w:rPr>
          <w:rFonts w:ascii="Book Antiqua" w:hAnsi="Book Antiqua" w:cs="Arial"/>
        </w:rPr>
        <w:t xml:space="preserve">years and was living and working independently. </w:t>
      </w:r>
      <w:r w:rsidR="0063313F">
        <w:rPr>
          <w:rFonts w:ascii="Book Antiqua" w:hAnsi="Book Antiqua" w:cs="Arial"/>
        </w:rPr>
        <w:t>Checks had been made online which indicated that the appellant was employed as a data entry worker with a Kathmandu-based company.  The respondent was not satisfied that she had given an accurate account of her circumstances in Nepal.  The respondent concluded that the appellant was not wholly financially and/or emotionally dependent on the sponsor.</w:t>
      </w:r>
      <w:r w:rsidR="00964EA3">
        <w:rPr>
          <w:rFonts w:ascii="Book Antiqua" w:hAnsi="Book Antiqua" w:cs="Arial"/>
        </w:rPr>
        <w:t xml:space="preserve"> </w:t>
      </w:r>
      <w:r w:rsidR="000042F7">
        <w:rPr>
          <w:rFonts w:ascii="Book Antiqua" w:hAnsi="Book Antiqua" w:cs="Arial"/>
        </w:rPr>
        <w:t>There was no family life over and above that between an adult child and parents. Further, the reasons for refusing the application outweighed the consideration of historic injustice.</w:t>
      </w:r>
    </w:p>
    <w:p w:rsidR="008773C6" w:rsidRDefault="008773C6" w:rsidP="008773C6">
      <w:pPr>
        <w:pStyle w:val="ListParagraph"/>
        <w:rPr>
          <w:rFonts w:ascii="Book Antiqua" w:hAnsi="Book Antiqua" w:cs="Arial"/>
        </w:rPr>
      </w:pPr>
    </w:p>
    <w:p w:rsidR="008773C6" w:rsidRDefault="008773C6" w:rsidP="002A15C6">
      <w:pPr>
        <w:numPr>
          <w:ilvl w:val="0"/>
          <w:numId w:val="3"/>
        </w:numPr>
        <w:ind w:left="567" w:hanging="567"/>
        <w:jc w:val="both"/>
        <w:rPr>
          <w:rFonts w:ascii="Book Antiqua" w:hAnsi="Book Antiqua" w:cs="Arial"/>
        </w:rPr>
      </w:pPr>
      <w:r>
        <w:rPr>
          <w:rFonts w:ascii="Book Antiqua" w:hAnsi="Book Antiqua" w:cs="Arial"/>
        </w:rPr>
        <w:t>She appealed.</w:t>
      </w:r>
    </w:p>
    <w:p w:rsidR="0026622A" w:rsidRDefault="0026622A" w:rsidP="0026622A">
      <w:pPr>
        <w:pStyle w:val="ListParagraph"/>
        <w:rPr>
          <w:rFonts w:ascii="Book Antiqua" w:hAnsi="Book Antiqua" w:cs="Arial"/>
        </w:rPr>
      </w:pPr>
    </w:p>
    <w:p w:rsidR="0026622A" w:rsidRPr="0026622A" w:rsidRDefault="0026622A" w:rsidP="0026622A">
      <w:pPr>
        <w:ind w:left="567"/>
        <w:jc w:val="both"/>
        <w:rPr>
          <w:rFonts w:ascii="Book Antiqua" w:hAnsi="Book Antiqua" w:cs="Arial"/>
          <w:b/>
        </w:rPr>
      </w:pPr>
      <w:r w:rsidRPr="0026622A">
        <w:rPr>
          <w:rFonts w:ascii="Book Antiqua" w:hAnsi="Book Antiqua" w:cs="Arial"/>
          <w:b/>
        </w:rPr>
        <w:t>First tier hearing</w:t>
      </w:r>
    </w:p>
    <w:p w:rsidR="008773C6" w:rsidRDefault="008773C6" w:rsidP="008773C6">
      <w:pPr>
        <w:pStyle w:val="ListParagraph"/>
        <w:rPr>
          <w:rFonts w:ascii="Book Antiqua" w:hAnsi="Book Antiqua" w:cs="Arial"/>
        </w:rPr>
      </w:pPr>
    </w:p>
    <w:p w:rsidR="00A164A3" w:rsidRPr="0026622A" w:rsidRDefault="008773C6" w:rsidP="0026622A">
      <w:pPr>
        <w:numPr>
          <w:ilvl w:val="0"/>
          <w:numId w:val="3"/>
        </w:numPr>
        <w:ind w:left="567" w:hanging="567"/>
        <w:jc w:val="both"/>
        <w:rPr>
          <w:rFonts w:ascii="Book Antiqua" w:hAnsi="Book Antiqua" w:cs="Arial"/>
        </w:rPr>
      </w:pPr>
      <w:r>
        <w:rPr>
          <w:rFonts w:ascii="Book Antiqua" w:hAnsi="Book Antiqua" w:cs="Arial"/>
        </w:rPr>
        <w:t xml:space="preserve">Following a hearing at Taylor House on 29 June 2017 Judge of the First-Tier PS </w:t>
      </w:r>
      <w:proofErr w:type="spellStart"/>
      <w:r>
        <w:rPr>
          <w:rFonts w:ascii="Book Antiqua" w:hAnsi="Book Antiqua" w:cs="Arial"/>
        </w:rPr>
        <w:t>Aujla</w:t>
      </w:r>
      <w:proofErr w:type="spellEnd"/>
      <w:r>
        <w:rPr>
          <w:rFonts w:ascii="Book Antiqua" w:hAnsi="Book Antiqua" w:cs="Arial"/>
        </w:rPr>
        <w:t xml:space="preserve"> allowed the appeal.</w:t>
      </w:r>
    </w:p>
    <w:p w:rsidR="008773C6" w:rsidRDefault="008773C6" w:rsidP="008773C6">
      <w:pPr>
        <w:pStyle w:val="ListParagraph"/>
        <w:rPr>
          <w:rFonts w:ascii="Book Antiqua" w:hAnsi="Book Antiqua" w:cs="Arial"/>
        </w:rPr>
      </w:pPr>
    </w:p>
    <w:p w:rsidR="008773C6" w:rsidRDefault="008773C6" w:rsidP="002A15C6">
      <w:pPr>
        <w:numPr>
          <w:ilvl w:val="0"/>
          <w:numId w:val="3"/>
        </w:numPr>
        <w:ind w:left="567" w:hanging="567"/>
        <w:jc w:val="both"/>
        <w:rPr>
          <w:rFonts w:ascii="Book Antiqua" w:hAnsi="Book Antiqua" w:cs="Arial"/>
        </w:rPr>
      </w:pPr>
      <w:r>
        <w:rPr>
          <w:rFonts w:ascii="Book Antiqua" w:hAnsi="Book Antiqua" w:cs="Arial"/>
        </w:rPr>
        <w:t>He heard oral evidence from the appellant</w:t>
      </w:r>
      <w:r w:rsidR="003769E7">
        <w:rPr>
          <w:rFonts w:ascii="Book Antiqua" w:hAnsi="Book Antiqua" w:cs="Arial"/>
        </w:rPr>
        <w:t>’s parents</w:t>
      </w:r>
      <w:r>
        <w:rPr>
          <w:rFonts w:ascii="Book Antiqua" w:hAnsi="Book Antiqua" w:cs="Arial"/>
        </w:rPr>
        <w:t xml:space="preserve"> and </w:t>
      </w:r>
      <w:r w:rsidR="00B73865">
        <w:rPr>
          <w:rFonts w:ascii="Book Antiqua" w:hAnsi="Book Antiqua" w:cs="Arial"/>
        </w:rPr>
        <w:t xml:space="preserve">her </w:t>
      </w:r>
      <w:r>
        <w:rPr>
          <w:rFonts w:ascii="Book Antiqua" w:hAnsi="Book Antiqua" w:cs="Arial"/>
        </w:rPr>
        <w:t xml:space="preserve">sister.  His findings are at paragraph [30] ff.  It was conceded that the appeal could not succeed under the Rules or policy.  He began by considering whether Article 8 family life existed between the appellant and her parents.  He noted caselaw in particular </w:t>
      </w:r>
      <w:proofErr w:type="spellStart"/>
      <w:r w:rsidRPr="008773C6">
        <w:rPr>
          <w:rFonts w:ascii="Book Antiqua" w:hAnsi="Book Antiqua" w:cs="Arial"/>
          <w:b/>
          <w:i/>
          <w:u w:val="single"/>
        </w:rPr>
        <w:t>Ghising</w:t>
      </w:r>
      <w:proofErr w:type="spellEnd"/>
      <w:r w:rsidRPr="008773C6">
        <w:rPr>
          <w:rFonts w:ascii="Book Antiqua" w:hAnsi="Book Antiqua" w:cs="Arial"/>
          <w:b/>
          <w:i/>
          <w:u w:val="single"/>
        </w:rPr>
        <w:t xml:space="preserve"> (family life – adults – Gurkha policy)</w:t>
      </w:r>
      <w:r>
        <w:rPr>
          <w:rFonts w:ascii="Book Antiqua" w:hAnsi="Book Antiqua" w:cs="Arial"/>
        </w:rPr>
        <w:t xml:space="preserve"> [2012] UKUT 160 and the emphasis of deciding the issue on its own facts.</w:t>
      </w:r>
    </w:p>
    <w:p w:rsidR="008773C6" w:rsidRDefault="008773C6" w:rsidP="008773C6">
      <w:pPr>
        <w:pStyle w:val="ListParagraph"/>
        <w:rPr>
          <w:rFonts w:ascii="Book Antiqua" w:hAnsi="Book Antiqua" w:cs="Arial"/>
        </w:rPr>
      </w:pPr>
    </w:p>
    <w:p w:rsidR="008A3F8D" w:rsidRDefault="0063313F" w:rsidP="002A15C6">
      <w:pPr>
        <w:numPr>
          <w:ilvl w:val="0"/>
          <w:numId w:val="3"/>
        </w:numPr>
        <w:ind w:left="567" w:hanging="567"/>
        <w:jc w:val="both"/>
        <w:rPr>
          <w:rFonts w:ascii="Book Antiqua" w:hAnsi="Book Antiqua" w:cs="Arial"/>
        </w:rPr>
      </w:pPr>
      <w:r>
        <w:rPr>
          <w:rFonts w:ascii="Book Antiqua" w:hAnsi="Book Antiqua" w:cs="Arial"/>
        </w:rPr>
        <w:t xml:space="preserve"> </w:t>
      </w:r>
      <w:r w:rsidR="008773C6">
        <w:rPr>
          <w:rFonts w:ascii="Book Antiqua" w:hAnsi="Book Antiqua" w:cs="Arial"/>
        </w:rPr>
        <w:t>He found the evidence of the three witnesses to be credible.</w:t>
      </w:r>
    </w:p>
    <w:p w:rsidR="008773C6" w:rsidRDefault="008773C6" w:rsidP="008773C6">
      <w:pPr>
        <w:pStyle w:val="ListParagraph"/>
        <w:rPr>
          <w:rFonts w:ascii="Book Antiqua" w:hAnsi="Book Antiqua" w:cs="Arial"/>
        </w:rPr>
      </w:pPr>
    </w:p>
    <w:p w:rsidR="008773C6" w:rsidRDefault="008773C6" w:rsidP="002A15C6">
      <w:pPr>
        <w:numPr>
          <w:ilvl w:val="0"/>
          <w:numId w:val="3"/>
        </w:numPr>
        <w:ind w:left="567" w:hanging="567"/>
        <w:jc w:val="both"/>
        <w:rPr>
          <w:rFonts w:ascii="Book Antiqua" w:hAnsi="Book Antiqua" w:cs="Arial"/>
        </w:rPr>
      </w:pPr>
      <w:r>
        <w:rPr>
          <w:rFonts w:ascii="Book Antiqua" w:hAnsi="Book Antiqua" w:cs="Arial"/>
        </w:rPr>
        <w:t>In summary</w:t>
      </w:r>
      <w:r w:rsidR="00A164A3">
        <w:rPr>
          <w:rFonts w:ascii="Book Antiqua" w:hAnsi="Book Antiqua" w:cs="Arial"/>
        </w:rPr>
        <w:t>,</w:t>
      </w:r>
      <w:r>
        <w:rPr>
          <w:rFonts w:ascii="Book Antiqua" w:hAnsi="Book Antiqua" w:cs="Arial"/>
        </w:rPr>
        <w:t xml:space="preserve"> the sponsor retired from the Gurkha Brigade in 1990 after 15 years of diligent service.  His wife gave birth to four daughters, the appellant being the youngest.  He had a work contract in Brunei between 1991 and 2000.  Towards the end of his contract he was allowed to take his family with him to Brunei for three years.  Following return to Nepal he resumed farming.  In 2005</w:t>
      </w:r>
      <w:r w:rsidR="00A64955">
        <w:rPr>
          <w:rFonts w:ascii="Book Antiqua" w:hAnsi="Book Antiqua" w:cs="Arial"/>
        </w:rPr>
        <w:t xml:space="preserve"> he took a job in Afghanistan.  His two eldest daughters married and one moved to live in the UK, the other to Singapore.  In 2010 his third daughter married.  He and his wife came to the UK in 2013.</w:t>
      </w:r>
    </w:p>
    <w:p w:rsidR="00A64955" w:rsidRDefault="00A64955" w:rsidP="00A64955">
      <w:pPr>
        <w:pStyle w:val="ListParagraph"/>
        <w:rPr>
          <w:rFonts w:ascii="Book Antiqua" w:hAnsi="Book Antiqua" w:cs="Arial"/>
        </w:rPr>
      </w:pPr>
    </w:p>
    <w:p w:rsidR="00A64955" w:rsidRDefault="00A64955" w:rsidP="002A15C6">
      <w:pPr>
        <w:numPr>
          <w:ilvl w:val="0"/>
          <w:numId w:val="3"/>
        </w:numPr>
        <w:ind w:left="567" w:hanging="567"/>
        <w:jc w:val="both"/>
        <w:rPr>
          <w:rFonts w:ascii="Book Antiqua" w:hAnsi="Book Antiqua" w:cs="Arial"/>
        </w:rPr>
      </w:pPr>
      <w:r>
        <w:rPr>
          <w:rFonts w:ascii="Book Antiqua" w:hAnsi="Book Antiqua" w:cs="Arial"/>
        </w:rPr>
        <w:t>The appellant’s position in her witness statement</w:t>
      </w:r>
      <w:r w:rsidR="000042F7">
        <w:rPr>
          <w:rFonts w:ascii="Book Antiqua" w:hAnsi="Book Antiqua" w:cs="Arial"/>
        </w:rPr>
        <w:t xml:space="preserve"> (at para [3]) </w:t>
      </w:r>
      <w:r>
        <w:rPr>
          <w:rFonts w:ascii="Book Antiqua" w:hAnsi="Book Antiqua" w:cs="Arial"/>
        </w:rPr>
        <w:t>was that she has no one living in Nepal.  She was ‘</w:t>
      </w:r>
      <w:r w:rsidRPr="000042F7">
        <w:rPr>
          <w:rFonts w:ascii="Book Antiqua" w:hAnsi="Book Antiqua" w:cs="Arial"/>
          <w:i/>
        </w:rPr>
        <w:t>absolutely alone’</w:t>
      </w:r>
      <w:r w:rsidR="000042F7">
        <w:rPr>
          <w:rFonts w:ascii="Book Antiqua" w:hAnsi="Book Antiqua" w:cs="Arial"/>
        </w:rPr>
        <w:t>.</w:t>
      </w:r>
      <w:r>
        <w:rPr>
          <w:rFonts w:ascii="Book Antiqua" w:hAnsi="Book Antiqua" w:cs="Arial"/>
        </w:rPr>
        <w:t xml:space="preserve"> She went to Kathmandu </w:t>
      </w:r>
      <w:r w:rsidR="003769E7">
        <w:rPr>
          <w:rFonts w:ascii="Book Antiqua" w:hAnsi="Book Antiqua" w:cs="Arial"/>
        </w:rPr>
        <w:t>in 2005 for higher education.  Later, s</w:t>
      </w:r>
      <w:r>
        <w:rPr>
          <w:rFonts w:ascii="Book Antiqua" w:hAnsi="Book Antiqua" w:cs="Arial"/>
        </w:rPr>
        <w:t xml:space="preserve">he picked up </w:t>
      </w:r>
      <w:r w:rsidR="00BB20B9">
        <w:rPr>
          <w:rFonts w:ascii="Book Antiqua" w:hAnsi="Book Antiqua" w:cs="Arial"/>
        </w:rPr>
        <w:t xml:space="preserve">an </w:t>
      </w:r>
      <w:r>
        <w:rPr>
          <w:rFonts w:ascii="Book Antiqua" w:hAnsi="Book Antiqua" w:cs="Arial"/>
        </w:rPr>
        <w:t>interest in flying and found out about courses in the Philippines.  Her father paid for her to go there and between 2009 and 2011 she undertook various flying courses.</w:t>
      </w:r>
      <w:r w:rsidR="00765C51">
        <w:rPr>
          <w:rFonts w:ascii="Book Antiqua" w:hAnsi="Book Antiqua" w:cs="Arial"/>
        </w:rPr>
        <w:t xml:space="preserve">  Returning to Nepal she resumed her bachelor’s degree in Kathmandu.  She was living in rented accommodation which the sponsor paid for along with her other expenses.  He</w:t>
      </w:r>
      <w:r w:rsidR="006008DE">
        <w:rPr>
          <w:rFonts w:ascii="Book Antiqua" w:hAnsi="Book Antiqua" w:cs="Arial"/>
        </w:rPr>
        <w:t xml:space="preserve"> also visited her for lengthy periods.  He </w:t>
      </w:r>
      <w:r w:rsidR="006008DE">
        <w:rPr>
          <w:rFonts w:ascii="Book Antiqua" w:hAnsi="Book Antiqua" w:cs="Arial"/>
        </w:rPr>
        <w:lastRenderedPageBreak/>
        <w:t>left money from his pension for her when he visited.  In 2015 she volunteered to do unpaid work for a company called Cloud Factory, a company involved in long-term relief</w:t>
      </w:r>
      <w:r w:rsidR="00023D29">
        <w:rPr>
          <w:rFonts w:ascii="Book Antiqua" w:hAnsi="Book Antiqua" w:cs="Arial"/>
        </w:rPr>
        <w:t xml:space="preserve"> work after the 2015 earthquake</w:t>
      </w:r>
      <w:r w:rsidR="006008DE">
        <w:rPr>
          <w:rFonts w:ascii="Book Antiqua" w:hAnsi="Book Antiqua" w:cs="Arial"/>
        </w:rPr>
        <w:t>.  She had tried to find employment in Nepal having completed her commercial pilot’s course but had been unable to get work.</w:t>
      </w:r>
    </w:p>
    <w:p w:rsidR="006008DE" w:rsidRDefault="006008DE" w:rsidP="006008DE">
      <w:pPr>
        <w:pStyle w:val="ListParagraph"/>
        <w:rPr>
          <w:rFonts w:ascii="Book Antiqua" w:hAnsi="Book Antiqua" w:cs="Arial"/>
        </w:rPr>
      </w:pPr>
    </w:p>
    <w:p w:rsidR="00BB20B9" w:rsidRDefault="00A164A3" w:rsidP="002A15C6">
      <w:pPr>
        <w:numPr>
          <w:ilvl w:val="0"/>
          <w:numId w:val="3"/>
        </w:numPr>
        <w:ind w:left="567" w:hanging="567"/>
        <w:jc w:val="both"/>
        <w:rPr>
          <w:rFonts w:ascii="Book Antiqua" w:hAnsi="Book Antiqua" w:cs="Arial"/>
        </w:rPr>
      </w:pPr>
      <w:r>
        <w:rPr>
          <w:rFonts w:ascii="Book Antiqua" w:hAnsi="Book Antiqua" w:cs="Arial"/>
        </w:rPr>
        <w:t>The j</w:t>
      </w:r>
      <w:r w:rsidR="006008DE">
        <w:rPr>
          <w:rFonts w:ascii="Book Antiqua" w:hAnsi="Book Antiqua" w:cs="Arial"/>
        </w:rPr>
        <w:t>udge’s findings on family life are at [39].  He states</w:t>
      </w:r>
      <w:r w:rsidR="00BB20B9">
        <w:rPr>
          <w:rFonts w:ascii="Book Antiqua" w:hAnsi="Book Antiqua" w:cs="Arial"/>
        </w:rPr>
        <w:t>:</w:t>
      </w:r>
    </w:p>
    <w:p w:rsidR="00BB20B9" w:rsidRDefault="00BB20B9" w:rsidP="00BB20B9">
      <w:pPr>
        <w:pStyle w:val="ListParagraph"/>
        <w:rPr>
          <w:rFonts w:ascii="Book Antiqua" w:hAnsi="Book Antiqua" w:cs="Arial"/>
        </w:rPr>
      </w:pPr>
    </w:p>
    <w:p w:rsidR="006008DE" w:rsidRPr="00A164A3" w:rsidRDefault="00BB20B9" w:rsidP="00BB20B9">
      <w:pPr>
        <w:ind w:left="1440" w:firstLine="60"/>
        <w:jc w:val="both"/>
        <w:rPr>
          <w:rFonts w:ascii="Book Antiqua" w:hAnsi="Book Antiqua" w:cs="Arial"/>
          <w:i/>
        </w:rPr>
      </w:pPr>
      <w:r>
        <w:rPr>
          <w:rFonts w:ascii="Book Antiqua" w:hAnsi="Book Antiqua" w:cs="Arial"/>
        </w:rPr>
        <w:t>“</w:t>
      </w:r>
      <w:r w:rsidR="006008DE">
        <w:rPr>
          <w:rFonts w:ascii="Book Antiqua" w:hAnsi="Book Antiqua" w:cs="Arial"/>
        </w:rPr>
        <w:t xml:space="preserve">… </w:t>
      </w:r>
      <w:r w:rsidR="006008DE" w:rsidRPr="00A164A3">
        <w:rPr>
          <w:rFonts w:ascii="Book Antiqua" w:hAnsi="Book Antiqua" w:cs="Arial"/>
          <w:i/>
        </w:rPr>
        <w:t>(she) was living alone but was financially and emotionally dependent on her parents.  She was 23 years old when she made the application.  She was not in employment.  She was still studying towards her bachelor’s degree when she made the application.  She had completed her pilot’s licence but was unable to find employment.  She was not working and had only undertaken voluntary work for Cloud Factory.  She continued to be dependent on her parents financially and emotionally.  Her other close relatives, three sisters, had got married and were living with their husbands away from the appellant.  I have no reason to doubt the claim that there was extant family life between the appellant and her parents for the purposes of Article 8.  I therefore find that Article 8 was engaged in the appellant’s case.</w:t>
      </w:r>
      <w:r w:rsidRPr="00A164A3">
        <w:rPr>
          <w:rFonts w:ascii="Book Antiqua" w:hAnsi="Book Antiqua" w:cs="Arial"/>
          <w:i/>
        </w:rPr>
        <w:t>”</w:t>
      </w:r>
    </w:p>
    <w:p w:rsidR="006008DE" w:rsidRDefault="006008DE" w:rsidP="006008DE">
      <w:pPr>
        <w:pStyle w:val="ListParagraph"/>
        <w:rPr>
          <w:rFonts w:ascii="Book Antiqua" w:hAnsi="Book Antiqua" w:cs="Arial"/>
        </w:rPr>
      </w:pPr>
    </w:p>
    <w:p w:rsidR="00BA58FF" w:rsidRDefault="00A164A3" w:rsidP="00BA58FF">
      <w:pPr>
        <w:numPr>
          <w:ilvl w:val="0"/>
          <w:numId w:val="3"/>
        </w:numPr>
        <w:ind w:left="567" w:hanging="567"/>
        <w:jc w:val="both"/>
        <w:rPr>
          <w:rFonts w:ascii="Book Antiqua" w:hAnsi="Book Antiqua" w:cs="Arial"/>
        </w:rPr>
      </w:pPr>
      <w:r>
        <w:rPr>
          <w:rFonts w:ascii="Book Antiqua" w:hAnsi="Book Antiqua" w:cs="Arial"/>
        </w:rPr>
        <w:t>The j</w:t>
      </w:r>
      <w:r w:rsidR="006008DE">
        <w:rPr>
          <w:rFonts w:ascii="Book Antiqua" w:hAnsi="Book Antiqua" w:cs="Arial"/>
        </w:rPr>
        <w:t>udge then went on to find that had it not been for the historic injustice the sponsor, who had given exemplary service, would have been entitled to come to the UK with his family many years ago and would have done so.</w:t>
      </w:r>
    </w:p>
    <w:p w:rsidR="003769E7" w:rsidRDefault="003769E7" w:rsidP="003769E7">
      <w:pPr>
        <w:jc w:val="both"/>
        <w:rPr>
          <w:rFonts w:ascii="Book Antiqua" w:hAnsi="Book Antiqua" w:cs="Arial"/>
        </w:rPr>
      </w:pPr>
    </w:p>
    <w:p w:rsidR="003769E7" w:rsidRPr="003769E7" w:rsidRDefault="003769E7" w:rsidP="003769E7">
      <w:pPr>
        <w:ind w:left="567"/>
        <w:jc w:val="both"/>
        <w:rPr>
          <w:rFonts w:ascii="Book Antiqua" w:hAnsi="Book Antiqua" w:cs="Arial"/>
          <w:b/>
        </w:rPr>
      </w:pPr>
      <w:r w:rsidRPr="003769E7">
        <w:rPr>
          <w:rFonts w:ascii="Book Antiqua" w:hAnsi="Book Antiqua" w:cs="Arial"/>
          <w:b/>
        </w:rPr>
        <w:t>Error of law hearing</w:t>
      </w:r>
    </w:p>
    <w:p w:rsidR="006008DE" w:rsidRDefault="006008DE" w:rsidP="006008DE">
      <w:pPr>
        <w:pStyle w:val="ListParagraph"/>
        <w:rPr>
          <w:rFonts w:ascii="Book Antiqua" w:hAnsi="Book Antiqua" w:cs="Arial"/>
        </w:rPr>
      </w:pPr>
    </w:p>
    <w:p w:rsidR="00BA58FF" w:rsidRPr="003769E7" w:rsidRDefault="006008DE" w:rsidP="003769E7">
      <w:pPr>
        <w:numPr>
          <w:ilvl w:val="0"/>
          <w:numId w:val="3"/>
        </w:numPr>
        <w:ind w:left="567" w:hanging="567"/>
        <w:jc w:val="both"/>
        <w:rPr>
          <w:rFonts w:ascii="Book Antiqua" w:hAnsi="Book Antiqua" w:cs="Arial"/>
        </w:rPr>
      </w:pPr>
      <w:r>
        <w:rPr>
          <w:rFonts w:ascii="Book Antiqua" w:hAnsi="Book Antiqua" w:cs="Arial"/>
        </w:rPr>
        <w:t>The respondent sought permission to appeal which was granted on 25 January 2018.</w:t>
      </w:r>
    </w:p>
    <w:p w:rsidR="006008DE" w:rsidRDefault="006008DE" w:rsidP="006008DE">
      <w:pPr>
        <w:pStyle w:val="ListParagraph"/>
        <w:rPr>
          <w:rFonts w:ascii="Book Antiqua" w:hAnsi="Book Antiqua" w:cs="Arial"/>
        </w:rPr>
      </w:pPr>
    </w:p>
    <w:p w:rsidR="004B69ED" w:rsidRDefault="006008DE" w:rsidP="002A15C6">
      <w:pPr>
        <w:numPr>
          <w:ilvl w:val="0"/>
          <w:numId w:val="3"/>
        </w:numPr>
        <w:ind w:left="567" w:hanging="567"/>
        <w:jc w:val="both"/>
        <w:rPr>
          <w:rFonts w:ascii="Book Antiqua" w:hAnsi="Book Antiqua" w:cs="Arial"/>
        </w:rPr>
      </w:pPr>
      <w:r>
        <w:rPr>
          <w:rFonts w:ascii="Book Antiqua" w:hAnsi="Book Antiqua" w:cs="Arial"/>
        </w:rPr>
        <w:t>At the error of law hearing before me Ms Willocks-Briscoe sought to re</w:t>
      </w:r>
      <w:r w:rsidR="00A164A3">
        <w:rPr>
          <w:rFonts w:ascii="Book Antiqua" w:hAnsi="Book Antiqua" w:cs="Arial"/>
        </w:rPr>
        <w:t>ly on the grounds.  First, the j</w:t>
      </w:r>
      <w:r>
        <w:rPr>
          <w:rFonts w:ascii="Book Antiqua" w:hAnsi="Book Antiqua" w:cs="Arial"/>
        </w:rPr>
        <w:t>udge</w:t>
      </w:r>
      <w:r w:rsidR="008149E5">
        <w:rPr>
          <w:rFonts w:ascii="Book Antiqua" w:hAnsi="Book Antiqua" w:cs="Arial"/>
        </w:rPr>
        <w:t xml:space="preserve"> failed to take the correct approach in assessing whether family life existed</w:t>
      </w:r>
      <w:r w:rsidR="004B69ED">
        <w:rPr>
          <w:rFonts w:ascii="Book Antiqua" w:hAnsi="Book Antiqua" w:cs="Arial"/>
        </w:rPr>
        <w:t>.  She does not live alone, there is</w:t>
      </w:r>
      <w:r w:rsidR="00041BE9">
        <w:rPr>
          <w:rFonts w:ascii="Book Antiqua" w:hAnsi="Book Antiqua" w:cs="Arial"/>
        </w:rPr>
        <w:t xml:space="preserve"> a sister and</w:t>
      </w:r>
      <w:r w:rsidR="004B69ED">
        <w:rPr>
          <w:rFonts w:ascii="Book Antiqua" w:hAnsi="Book Antiqua" w:cs="Arial"/>
        </w:rPr>
        <w:t xml:space="preserve"> her grandmother nearby.  She is living an independent life as a student and, more significantly, </w:t>
      </w:r>
      <w:r w:rsidR="0026622A">
        <w:rPr>
          <w:rFonts w:ascii="Book Antiqua" w:hAnsi="Book Antiqua" w:cs="Arial"/>
        </w:rPr>
        <w:t xml:space="preserve">was </w:t>
      </w:r>
      <w:r w:rsidR="004B69ED">
        <w:rPr>
          <w:rFonts w:ascii="Book Antiqua" w:hAnsi="Book Antiqua" w:cs="Arial"/>
        </w:rPr>
        <w:t>abroad in the Philippines training for several years to</w:t>
      </w:r>
      <w:r w:rsidR="00274350">
        <w:rPr>
          <w:rFonts w:ascii="Book Antiqua" w:hAnsi="Book Antiqua" w:cs="Arial"/>
        </w:rPr>
        <w:t xml:space="preserve"> become a pilot. </w:t>
      </w:r>
    </w:p>
    <w:p w:rsidR="004B69ED" w:rsidRDefault="004B69ED" w:rsidP="004B69ED">
      <w:pPr>
        <w:pStyle w:val="ListParagraph"/>
        <w:rPr>
          <w:rFonts w:ascii="Book Antiqua" w:hAnsi="Book Antiqua" w:cs="Arial"/>
        </w:rPr>
      </w:pPr>
    </w:p>
    <w:p w:rsidR="007D5D52" w:rsidRDefault="00A164A3" w:rsidP="002A15C6">
      <w:pPr>
        <w:numPr>
          <w:ilvl w:val="0"/>
          <w:numId w:val="3"/>
        </w:numPr>
        <w:ind w:left="567" w:hanging="567"/>
        <w:jc w:val="both"/>
        <w:rPr>
          <w:rFonts w:ascii="Book Antiqua" w:hAnsi="Book Antiqua" w:cs="Arial"/>
        </w:rPr>
      </w:pPr>
      <w:r>
        <w:rPr>
          <w:rFonts w:ascii="Book Antiqua" w:hAnsi="Book Antiqua" w:cs="Arial"/>
        </w:rPr>
        <w:t>Second, the j</w:t>
      </w:r>
      <w:r w:rsidR="007D5D52">
        <w:rPr>
          <w:rFonts w:ascii="Book Antiqua" w:hAnsi="Book Antiqua" w:cs="Arial"/>
        </w:rPr>
        <w:t>udge failed to give adequate weight to the D</w:t>
      </w:r>
      <w:r w:rsidR="00BA58FF">
        <w:rPr>
          <w:rFonts w:ascii="Book Antiqua" w:hAnsi="Book Antiqua" w:cs="Arial"/>
        </w:rPr>
        <w:t xml:space="preserve">ocument </w:t>
      </w:r>
      <w:proofErr w:type="gramStart"/>
      <w:r w:rsidR="007D5D52">
        <w:rPr>
          <w:rFonts w:ascii="Book Antiqua" w:hAnsi="Book Antiqua" w:cs="Arial"/>
        </w:rPr>
        <w:t>V</w:t>
      </w:r>
      <w:r w:rsidR="00BA58FF">
        <w:rPr>
          <w:rFonts w:ascii="Book Antiqua" w:hAnsi="Book Antiqua" w:cs="Arial"/>
        </w:rPr>
        <w:t>erification  R</w:t>
      </w:r>
      <w:r w:rsidR="007D5D52">
        <w:rPr>
          <w:rFonts w:ascii="Book Antiqua" w:hAnsi="Book Antiqua" w:cs="Arial"/>
        </w:rPr>
        <w:t>eport</w:t>
      </w:r>
      <w:proofErr w:type="gramEnd"/>
      <w:r w:rsidR="007D5D52">
        <w:rPr>
          <w:rFonts w:ascii="Book Antiqua" w:hAnsi="Book Antiqua" w:cs="Arial"/>
        </w:rPr>
        <w:t xml:space="preserve"> which noted that her own </w:t>
      </w:r>
      <w:proofErr w:type="spellStart"/>
      <w:r w:rsidR="007D5D52">
        <w:rPr>
          <w:rFonts w:ascii="Book Antiqua" w:hAnsi="Book Antiqua" w:cs="Arial"/>
        </w:rPr>
        <w:t>Linkedin</w:t>
      </w:r>
      <w:proofErr w:type="spellEnd"/>
      <w:r w:rsidR="007D5D52">
        <w:rPr>
          <w:rFonts w:ascii="Book Antiqua" w:hAnsi="Book Antiqua" w:cs="Arial"/>
        </w:rPr>
        <w:t xml:space="preserve"> profile described her as working from 2012.</w:t>
      </w:r>
    </w:p>
    <w:p w:rsidR="007D5D52" w:rsidRDefault="007D5D52" w:rsidP="007D5D52">
      <w:pPr>
        <w:pStyle w:val="ListParagraph"/>
        <w:rPr>
          <w:rFonts w:ascii="Book Antiqua" w:hAnsi="Book Antiqua" w:cs="Arial"/>
        </w:rPr>
      </w:pPr>
    </w:p>
    <w:p w:rsidR="007D5D52" w:rsidRDefault="007D5D52" w:rsidP="002A15C6">
      <w:pPr>
        <w:numPr>
          <w:ilvl w:val="0"/>
          <w:numId w:val="3"/>
        </w:numPr>
        <w:ind w:left="567" w:hanging="567"/>
        <w:jc w:val="both"/>
        <w:rPr>
          <w:rFonts w:ascii="Book Antiqua" w:hAnsi="Book Antiqua" w:cs="Arial"/>
        </w:rPr>
      </w:pPr>
      <w:r>
        <w:rPr>
          <w:rFonts w:ascii="Book Antiqua" w:hAnsi="Book Antiqua" w:cs="Arial"/>
        </w:rPr>
        <w:t xml:space="preserve">Ms Willocks-Briscoe added that it was speculation that the sponsor would have come to the UK on </w:t>
      </w:r>
      <w:proofErr w:type="gramStart"/>
      <w:r>
        <w:rPr>
          <w:rFonts w:ascii="Book Antiqua" w:hAnsi="Book Antiqua" w:cs="Arial"/>
        </w:rPr>
        <w:t>retirement</w:t>
      </w:r>
      <w:r w:rsidR="00041BE9">
        <w:rPr>
          <w:rFonts w:ascii="Book Antiqua" w:hAnsi="Book Antiqua" w:cs="Arial"/>
        </w:rPr>
        <w:t xml:space="preserve"> </w:t>
      </w:r>
      <w:r w:rsidR="00274350">
        <w:rPr>
          <w:rFonts w:ascii="Book Antiqua" w:hAnsi="Book Antiqua" w:cs="Arial"/>
        </w:rPr>
        <w:t xml:space="preserve"> </w:t>
      </w:r>
      <w:r w:rsidR="00041BE9">
        <w:rPr>
          <w:rFonts w:ascii="Book Antiqua" w:hAnsi="Book Antiqua" w:cs="Arial"/>
        </w:rPr>
        <w:t>had</w:t>
      </w:r>
      <w:proofErr w:type="gramEnd"/>
      <w:r w:rsidR="00041BE9">
        <w:rPr>
          <w:rFonts w:ascii="Book Antiqua" w:hAnsi="Book Antiqua" w:cs="Arial"/>
        </w:rPr>
        <w:t xml:space="preserve"> he been able to</w:t>
      </w:r>
      <w:r>
        <w:rPr>
          <w:rFonts w:ascii="Book Antiqua" w:hAnsi="Book Antiqua" w:cs="Arial"/>
        </w:rPr>
        <w:t>.  Further, a</w:t>
      </w:r>
      <w:r w:rsidR="00A164A3">
        <w:rPr>
          <w:rFonts w:ascii="Book Antiqua" w:hAnsi="Book Antiqua" w:cs="Arial"/>
        </w:rPr>
        <w:t>lthough the need for regard to s</w:t>
      </w:r>
      <w:r>
        <w:rPr>
          <w:rFonts w:ascii="Book Antiqua" w:hAnsi="Book Antiqua" w:cs="Arial"/>
        </w:rPr>
        <w:t xml:space="preserve">ection 117 of the </w:t>
      </w:r>
      <w:r w:rsidR="00C72908">
        <w:rPr>
          <w:rFonts w:ascii="Book Antiqua" w:hAnsi="Book Antiqua" w:cs="Arial"/>
        </w:rPr>
        <w:t xml:space="preserve">Nationality, Immigration and Asylum Act </w:t>
      </w:r>
      <w:r>
        <w:rPr>
          <w:rFonts w:ascii="Book Antiqua" w:hAnsi="Book Antiqua" w:cs="Arial"/>
        </w:rPr>
        <w:t>2002 Act is noted, no clear findings were made as to whether she can speak English</w:t>
      </w:r>
      <w:r w:rsidR="00BB20B9">
        <w:rPr>
          <w:rFonts w:ascii="Book Antiqua" w:hAnsi="Book Antiqua" w:cs="Arial"/>
        </w:rPr>
        <w:t>,</w:t>
      </w:r>
      <w:r>
        <w:rPr>
          <w:rFonts w:ascii="Book Antiqua" w:hAnsi="Book Antiqua" w:cs="Arial"/>
        </w:rPr>
        <w:t xml:space="preserve"> is able to maintain herself in the UK or successfully integrate into British society.</w:t>
      </w:r>
    </w:p>
    <w:p w:rsidR="007D5D52" w:rsidRDefault="007D5D52" w:rsidP="007D5D52">
      <w:pPr>
        <w:pStyle w:val="ListParagraph"/>
        <w:rPr>
          <w:rFonts w:ascii="Book Antiqua" w:hAnsi="Book Antiqua" w:cs="Arial"/>
        </w:rPr>
      </w:pPr>
    </w:p>
    <w:p w:rsidR="007D5D52" w:rsidRDefault="00A164A3" w:rsidP="002A15C6">
      <w:pPr>
        <w:numPr>
          <w:ilvl w:val="0"/>
          <w:numId w:val="3"/>
        </w:numPr>
        <w:ind w:left="567" w:hanging="567"/>
        <w:jc w:val="both"/>
        <w:rPr>
          <w:rFonts w:ascii="Book Antiqua" w:hAnsi="Book Antiqua" w:cs="Arial"/>
        </w:rPr>
      </w:pPr>
      <w:r>
        <w:rPr>
          <w:rFonts w:ascii="Book Antiqua" w:hAnsi="Book Antiqua" w:cs="Arial"/>
        </w:rPr>
        <w:t>In reply, Ms McCarthy said the j</w:t>
      </w:r>
      <w:r w:rsidR="00AC5481">
        <w:rPr>
          <w:rFonts w:ascii="Book Antiqua" w:hAnsi="Book Antiqua" w:cs="Arial"/>
        </w:rPr>
        <w:t>udge had</w:t>
      </w:r>
      <w:r w:rsidR="007D5D52">
        <w:rPr>
          <w:rFonts w:ascii="Book Antiqua" w:hAnsi="Book Antiqua" w:cs="Arial"/>
        </w:rPr>
        <w:t xml:space="preserve"> carefully set out the appropriate caselaw and applied the correct test.  It was clear that the appellant had throughout been financially dependent on her parents.  She also relied on them for accommodation and her costs.  She is unmarried and has always l</w:t>
      </w:r>
      <w:r w:rsidR="00C72908">
        <w:rPr>
          <w:rFonts w:ascii="Book Antiqua" w:hAnsi="Book Antiqua" w:cs="Arial"/>
        </w:rPr>
        <w:t xml:space="preserve">ived alone. </w:t>
      </w:r>
      <w:r w:rsidR="00041BE9">
        <w:rPr>
          <w:rFonts w:ascii="Book Antiqua" w:hAnsi="Book Antiqua" w:cs="Arial"/>
        </w:rPr>
        <w:t>She does not have a sister in Nepal.</w:t>
      </w:r>
      <w:r w:rsidR="007D5D52">
        <w:rPr>
          <w:rFonts w:ascii="Book Antiqua" w:hAnsi="Book Antiqua" w:cs="Arial"/>
        </w:rPr>
        <w:t xml:space="preserve"> While she does have a </w:t>
      </w:r>
      <w:proofErr w:type="gramStart"/>
      <w:r w:rsidR="007D5D52">
        <w:rPr>
          <w:rFonts w:ascii="Book Antiqua" w:hAnsi="Book Antiqua" w:cs="Arial"/>
        </w:rPr>
        <w:t>grandmother</w:t>
      </w:r>
      <w:proofErr w:type="gramEnd"/>
      <w:r w:rsidR="007D5D52">
        <w:rPr>
          <w:rFonts w:ascii="Book Antiqua" w:hAnsi="Book Antiqua" w:cs="Arial"/>
        </w:rPr>
        <w:t xml:space="preserve"> she lives 350 kilometres away.  She has attempted to get work but has been unable to do so.  The respondent’</w:t>
      </w:r>
      <w:r w:rsidR="00BB20B9">
        <w:rPr>
          <w:rFonts w:ascii="Book Antiqua" w:hAnsi="Book Antiqua" w:cs="Arial"/>
        </w:rPr>
        <w:t>s reliance on</w:t>
      </w:r>
      <w:r w:rsidR="007D5D52">
        <w:rPr>
          <w:rFonts w:ascii="Book Antiqua" w:hAnsi="Book Antiqua" w:cs="Arial"/>
        </w:rPr>
        <w:t xml:space="preserve"> the DVR report does not advance its case.  That the appellant was</w:t>
      </w:r>
      <w:r w:rsidR="00C72908">
        <w:rPr>
          <w:rFonts w:ascii="Book Antiqua" w:hAnsi="Book Antiqua" w:cs="Arial"/>
        </w:rPr>
        <w:t xml:space="preserve"> merely</w:t>
      </w:r>
      <w:r w:rsidR="007D5D52">
        <w:rPr>
          <w:rFonts w:ascii="Book Antiqua" w:hAnsi="Book Antiqua" w:cs="Arial"/>
        </w:rPr>
        <w:t xml:space="preserve"> a volunteer is </w:t>
      </w:r>
      <w:r w:rsidR="007D5D52">
        <w:rPr>
          <w:rFonts w:ascii="Book Antiqua" w:hAnsi="Book Antiqua" w:cs="Arial"/>
        </w:rPr>
        <w:lastRenderedPageBreak/>
        <w:t>supported by a letter from th</w:t>
      </w:r>
      <w:r>
        <w:rPr>
          <w:rFonts w:ascii="Book Antiqua" w:hAnsi="Book Antiqua" w:cs="Arial"/>
        </w:rPr>
        <w:t>e company which was before the j</w:t>
      </w:r>
      <w:r w:rsidR="007D5D52">
        <w:rPr>
          <w:rFonts w:ascii="Book Antiqua" w:hAnsi="Book Antiqua" w:cs="Arial"/>
        </w:rPr>
        <w:t>udge.  Nor is the fact that she spent time in the Philippines a matter which counts against her.  Such did not breach family life, a life based in the emotional and financial support of her parents.</w:t>
      </w:r>
    </w:p>
    <w:p w:rsidR="007D5D52" w:rsidRDefault="007D5D52" w:rsidP="007D5D52">
      <w:pPr>
        <w:pStyle w:val="ListParagraph"/>
        <w:rPr>
          <w:rFonts w:ascii="Book Antiqua" w:hAnsi="Book Antiqua" w:cs="Arial"/>
        </w:rPr>
      </w:pPr>
    </w:p>
    <w:p w:rsidR="006A607E" w:rsidRDefault="007D5D52" w:rsidP="002A15C6">
      <w:pPr>
        <w:numPr>
          <w:ilvl w:val="0"/>
          <w:numId w:val="3"/>
        </w:numPr>
        <w:ind w:left="567" w:hanging="567"/>
        <w:jc w:val="both"/>
        <w:rPr>
          <w:rFonts w:ascii="Book Antiqua" w:hAnsi="Book Antiqua" w:cs="Arial"/>
        </w:rPr>
      </w:pPr>
      <w:r>
        <w:rPr>
          <w:rFonts w:ascii="Book Antiqua" w:hAnsi="Book Antiqua" w:cs="Arial"/>
        </w:rPr>
        <w:t xml:space="preserve">  </w:t>
      </w:r>
      <w:r w:rsidR="003769E7">
        <w:rPr>
          <w:rFonts w:ascii="Book Antiqua" w:hAnsi="Book Antiqua" w:cs="Arial"/>
        </w:rPr>
        <w:t>Ms McCarthy added that</w:t>
      </w:r>
      <w:r w:rsidR="00274350">
        <w:rPr>
          <w:rFonts w:ascii="Book Antiqua" w:hAnsi="Book Antiqua" w:cs="Arial"/>
        </w:rPr>
        <w:t xml:space="preserve"> the appellant’s parents </w:t>
      </w:r>
      <w:r w:rsidR="006A607E">
        <w:rPr>
          <w:rFonts w:ascii="Book Antiqua" w:hAnsi="Book Antiqua" w:cs="Arial"/>
        </w:rPr>
        <w:t>came as early as they could.  Her father could not break his contract of work in Afghanistan.  It was clear from the evidence that he wo</w:t>
      </w:r>
      <w:r w:rsidR="00BA0230">
        <w:rPr>
          <w:rFonts w:ascii="Book Antiqua" w:hAnsi="Book Antiqua" w:cs="Arial"/>
        </w:rPr>
        <w:t>u</w:t>
      </w:r>
      <w:r w:rsidR="006A607E">
        <w:rPr>
          <w:rFonts w:ascii="Book Antiqua" w:hAnsi="Book Antiqua" w:cs="Arial"/>
        </w:rPr>
        <w:t>ld have come to the UK on retirement</w:t>
      </w:r>
      <w:r w:rsidR="00C72908">
        <w:rPr>
          <w:rFonts w:ascii="Book Antiqua" w:hAnsi="Book Antiqua" w:cs="Arial"/>
        </w:rPr>
        <w:t xml:space="preserve"> from the British Army</w:t>
      </w:r>
      <w:r w:rsidR="006A607E">
        <w:rPr>
          <w:rFonts w:ascii="Book Antiqua" w:hAnsi="Book Antiqua" w:cs="Arial"/>
        </w:rPr>
        <w:t xml:space="preserve"> had he been permitted to do so.</w:t>
      </w:r>
    </w:p>
    <w:p w:rsidR="00A164A3" w:rsidRDefault="00A164A3" w:rsidP="00A164A3">
      <w:pPr>
        <w:pStyle w:val="ListParagraph"/>
        <w:rPr>
          <w:rFonts w:ascii="Book Antiqua" w:hAnsi="Book Antiqua" w:cs="Arial"/>
        </w:rPr>
      </w:pPr>
    </w:p>
    <w:p w:rsidR="00A164A3" w:rsidRPr="00A164A3" w:rsidRDefault="00A164A3" w:rsidP="00A164A3">
      <w:pPr>
        <w:ind w:left="567"/>
        <w:jc w:val="both"/>
        <w:rPr>
          <w:rFonts w:ascii="Book Antiqua" w:hAnsi="Book Antiqua" w:cs="Arial"/>
          <w:b/>
        </w:rPr>
      </w:pPr>
      <w:r w:rsidRPr="00A164A3">
        <w:rPr>
          <w:rFonts w:ascii="Book Antiqua" w:hAnsi="Book Antiqua" w:cs="Arial"/>
          <w:b/>
        </w:rPr>
        <w:t>Consideration</w:t>
      </w:r>
    </w:p>
    <w:p w:rsidR="006A607E" w:rsidRDefault="006A607E" w:rsidP="006A607E">
      <w:pPr>
        <w:pStyle w:val="ListParagraph"/>
        <w:rPr>
          <w:rFonts w:ascii="Book Antiqua" w:hAnsi="Book Antiqua" w:cs="Arial"/>
        </w:rPr>
      </w:pPr>
    </w:p>
    <w:p w:rsidR="006A607E" w:rsidRDefault="006A607E" w:rsidP="002A15C6">
      <w:pPr>
        <w:numPr>
          <w:ilvl w:val="0"/>
          <w:numId w:val="3"/>
        </w:numPr>
        <w:ind w:left="567" w:hanging="567"/>
        <w:jc w:val="both"/>
        <w:rPr>
          <w:rFonts w:ascii="Book Antiqua" w:hAnsi="Book Antiqua" w:cs="Arial"/>
        </w:rPr>
      </w:pPr>
      <w:r>
        <w:rPr>
          <w:rFonts w:ascii="Book Antiqua" w:hAnsi="Book Antiqua" w:cs="Arial"/>
        </w:rPr>
        <w:t>In considering this matter the first issue is whether at the date of hearing the appellant had established that as an adult she has family life with her parents.</w:t>
      </w:r>
    </w:p>
    <w:p w:rsidR="006A607E" w:rsidRDefault="006A607E" w:rsidP="006A607E">
      <w:pPr>
        <w:pStyle w:val="ListParagraph"/>
        <w:rPr>
          <w:rFonts w:ascii="Book Antiqua" w:hAnsi="Book Antiqua" w:cs="Arial"/>
        </w:rPr>
      </w:pPr>
    </w:p>
    <w:p w:rsidR="006008DE" w:rsidRDefault="00A164A3" w:rsidP="002A15C6">
      <w:pPr>
        <w:numPr>
          <w:ilvl w:val="0"/>
          <w:numId w:val="3"/>
        </w:numPr>
        <w:ind w:left="567" w:hanging="567"/>
        <w:jc w:val="both"/>
        <w:rPr>
          <w:rFonts w:ascii="Book Antiqua" w:hAnsi="Book Antiqua" w:cs="Arial"/>
        </w:rPr>
      </w:pPr>
      <w:r>
        <w:rPr>
          <w:rFonts w:ascii="Book Antiqua" w:hAnsi="Book Antiqua" w:cs="Arial"/>
        </w:rPr>
        <w:t>As indicated the j</w:t>
      </w:r>
      <w:r w:rsidR="00180266">
        <w:rPr>
          <w:rFonts w:ascii="Book Antiqua" w:hAnsi="Book Antiqua" w:cs="Arial"/>
        </w:rPr>
        <w:t>udge</w:t>
      </w:r>
      <w:r w:rsidR="00D51C95">
        <w:rPr>
          <w:rFonts w:ascii="Book Antiqua" w:hAnsi="Book Antiqua" w:cs="Arial"/>
        </w:rPr>
        <w:t xml:space="preserve"> (at [32])</w:t>
      </w:r>
      <w:r w:rsidR="00180266">
        <w:rPr>
          <w:rFonts w:ascii="Book Antiqua" w:hAnsi="Book Antiqua" w:cs="Arial"/>
        </w:rPr>
        <w:t xml:space="preserve"> made reference </w:t>
      </w:r>
      <w:r w:rsidR="00CD6D45">
        <w:rPr>
          <w:rFonts w:ascii="Book Antiqua" w:hAnsi="Book Antiqua" w:cs="Arial"/>
        </w:rPr>
        <w:t xml:space="preserve">to relevant case law including </w:t>
      </w:r>
      <w:proofErr w:type="spellStart"/>
      <w:r w:rsidR="00CD6D45" w:rsidRPr="00CD6D45">
        <w:rPr>
          <w:rFonts w:ascii="Book Antiqua" w:hAnsi="Book Antiqua" w:cs="Arial"/>
          <w:b/>
          <w:i/>
          <w:u w:val="single"/>
        </w:rPr>
        <w:t>Ghising</w:t>
      </w:r>
      <w:proofErr w:type="spellEnd"/>
      <w:r w:rsidR="00CD6D45">
        <w:rPr>
          <w:rFonts w:ascii="Book Antiqua" w:hAnsi="Book Antiqua" w:cs="Arial"/>
        </w:rPr>
        <w:t xml:space="preserve">.  In that case reference was made to </w:t>
      </w:r>
      <w:proofErr w:type="spellStart"/>
      <w:r>
        <w:rPr>
          <w:rFonts w:ascii="Book Antiqua" w:hAnsi="Book Antiqua" w:cs="Arial"/>
          <w:b/>
          <w:i/>
          <w:u w:val="single"/>
        </w:rPr>
        <w:t>Kugatha</w:t>
      </w:r>
      <w:r w:rsidR="00CD6D45" w:rsidRPr="00CD6D45">
        <w:rPr>
          <w:rFonts w:ascii="Book Antiqua" w:hAnsi="Book Antiqua" w:cs="Arial"/>
          <w:b/>
          <w:i/>
          <w:u w:val="single"/>
        </w:rPr>
        <w:t>s</w:t>
      </w:r>
      <w:proofErr w:type="spellEnd"/>
      <w:r w:rsidR="00CD6D45" w:rsidRPr="00CD6D45">
        <w:rPr>
          <w:rFonts w:ascii="Book Antiqua" w:hAnsi="Book Antiqua" w:cs="Arial"/>
          <w:b/>
          <w:i/>
          <w:u w:val="single"/>
        </w:rPr>
        <w:t xml:space="preserve"> v SSHD</w:t>
      </w:r>
      <w:r w:rsidR="00CD6D45">
        <w:rPr>
          <w:rFonts w:ascii="Book Antiqua" w:hAnsi="Book Antiqua" w:cs="Arial"/>
        </w:rPr>
        <w:t xml:space="preserve"> </w:t>
      </w:r>
      <w:r w:rsidR="001B63A3">
        <w:rPr>
          <w:rFonts w:ascii="Book Antiqua" w:hAnsi="Book Antiqua" w:cs="Arial"/>
        </w:rPr>
        <w:t xml:space="preserve">[2003] EWCA </w:t>
      </w:r>
      <w:proofErr w:type="spellStart"/>
      <w:r w:rsidR="001B63A3">
        <w:rPr>
          <w:rFonts w:ascii="Book Antiqua" w:hAnsi="Book Antiqua" w:cs="Arial"/>
        </w:rPr>
        <w:t>Civ</w:t>
      </w:r>
      <w:proofErr w:type="spellEnd"/>
      <w:r w:rsidR="001B63A3">
        <w:rPr>
          <w:rFonts w:ascii="Book Antiqua" w:hAnsi="Book Antiqua" w:cs="Arial"/>
        </w:rPr>
        <w:t xml:space="preserve"> 31 where (at [14</w:t>
      </w:r>
      <w:r w:rsidR="00CD6D45">
        <w:rPr>
          <w:rFonts w:ascii="Book Antiqua" w:hAnsi="Book Antiqua" w:cs="Arial"/>
        </w:rPr>
        <w:t xml:space="preserve">] Sedley LJ cited with approval the Commission’s observation in </w:t>
      </w:r>
      <w:r w:rsidR="00CD6D45" w:rsidRPr="00CD6D45">
        <w:rPr>
          <w:rFonts w:ascii="Book Antiqua" w:hAnsi="Book Antiqua" w:cs="Arial"/>
          <w:b/>
          <w:i/>
          <w:u w:val="single"/>
        </w:rPr>
        <w:t>S v UK</w:t>
      </w:r>
      <w:r w:rsidR="00BA0230">
        <w:rPr>
          <w:rFonts w:ascii="Book Antiqua" w:hAnsi="Book Antiqua" w:cs="Arial"/>
        </w:rPr>
        <w:t xml:space="preserve"> [1984] 40 DR 196:</w:t>
      </w:r>
    </w:p>
    <w:p w:rsidR="00CD6D45" w:rsidRDefault="00CD6D45" w:rsidP="00CD6D45">
      <w:pPr>
        <w:pStyle w:val="ListParagraph"/>
        <w:rPr>
          <w:rFonts w:ascii="Book Antiqua" w:hAnsi="Book Antiqua" w:cs="Arial"/>
        </w:rPr>
      </w:pPr>
    </w:p>
    <w:p w:rsidR="00CD6D45" w:rsidRPr="00A164A3" w:rsidRDefault="00CD6D45" w:rsidP="00CD6D45">
      <w:pPr>
        <w:ind w:left="1440"/>
        <w:jc w:val="both"/>
        <w:rPr>
          <w:rFonts w:ascii="Book Antiqua" w:hAnsi="Book Antiqua" w:cs="Arial"/>
          <w:i/>
        </w:rPr>
      </w:pPr>
      <w:r w:rsidRPr="00A164A3">
        <w:rPr>
          <w:rFonts w:ascii="Book Antiqua" w:hAnsi="Book Antiqua" w:cs="Arial"/>
          <w:i/>
        </w:rPr>
        <w:t>“</w:t>
      </w:r>
      <w:proofErr w:type="gramStart"/>
      <w:r w:rsidRPr="00A164A3">
        <w:rPr>
          <w:rFonts w:ascii="Book Antiqua" w:hAnsi="Book Antiqua" w:cs="Arial"/>
          <w:i/>
        </w:rPr>
        <w:t>Generally</w:t>
      </w:r>
      <w:proofErr w:type="gramEnd"/>
      <w:r w:rsidRPr="00A164A3">
        <w:rPr>
          <w:rFonts w:ascii="Book Antiqua" w:hAnsi="Book Antiqua" w:cs="Arial"/>
          <w:i/>
        </w:rPr>
        <w:t xml:space="preserve"> the protection of family life under Article 8 involved cohabiting dependents, such as parents and their</w:t>
      </w:r>
      <w:r w:rsidR="00BA0230" w:rsidRPr="00A164A3">
        <w:rPr>
          <w:rFonts w:ascii="Book Antiqua" w:hAnsi="Book Antiqua" w:cs="Arial"/>
          <w:i/>
        </w:rPr>
        <w:t xml:space="preserve"> dependa</w:t>
      </w:r>
      <w:r w:rsidRPr="00A164A3">
        <w:rPr>
          <w:rFonts w:ascii="Book Antiqua" w:hAnsi="Book Antiqua" w:cs="Arial"/>
          <w:i/>
        </w:rPr>
        <w:t xml:space="preserve">nt, minor children.  Whether it extends to other relationships depends on the circumstances of the particular case.  Relationships between adults, a mother and her </w:t>
      </w:r>
      <w:proofErr w:type="gramStart"/>
      <w:r w:rsidRPr="00A164A3">
        <w:rPr>
          <w:rFonts w:ascii="Book Antiqua" w:hAnsi="Book Antiqua" w:cs="Arial"/>
          <w:i/>
        </w:rPr>
        <w:t>33 year old</w:t>
      </w:r>
      <w:proofErr w:type="gramEnd"/>
      <w:r w:rsidRPr="00A164A3">
        <w:rPr>
          <w:rFonts w:ascii="Book Antiqua" w:hAnsi="Book Antiqua" w:cs="Arial"/>
          <w:i/>
        </w:rPr>
        <w:t xml:space="preserve"> son in the present case, would not necessarily acquire the protection of Article 8 of the Convention without evidence of further elements of dependency, involving more than normal emotional ties.”</w:t>
      </w:r>
    </w:p>
    <w:p w:rsidR="00CD6D45" w:rsidRPr="00A164A3" w:rsidRDefault="00CD6D45" w:rsidP="00CD6D45">
      <w:pPr>
        <w:ind w:left="1440"/>
        <w:jc w:val="both"/>
        <w:rPr>
          <w:rFonts w:ascii="Book Antiqua" w:hAnsi="Book Antiqua" w:cs="Arial"/>
          <w:i/>
        </w:rPr>
      </w:pPr>
    </w:p>
    <w:p w:rsidR="00CD6D45" w:rsidRPr="00A164A3" w:rsidRDefault="00CD6D45" w:rsidP="002A15C6">
      <w:pPr>
        <w:numPr>
          <w:ilvl w:val="0"/>
          <w:numId w:val="3"/>
        </w:numPr>
        <w:ind w:left="567" w:hanging="567"/>
        <w:jc w:val="both"/>
        <w:rPr>
          <w:rFonts w:ascii="Book Antiqua" w:hAnsi="Book Antiqua" w:cs="Arial"/>
          <w:i/>
        </w:rPr>
      </w:pPr>
      <w:r>
        <w:rPr>
          <w:rFonts w:ascii="Book Antiqua" w:hAnsi="Book Antiqua" w:cs="Arial"/>
        </w:rPr>
        <w:t xml:space="preserve">The Tribunal in </w:t>
      </w:r>
      <w:proofErr w:type="spellStart"/>
      <w:r w:rsidRPr="00CD6D45">
        <w:rPr>
          <w:rFonts w:ascii="Book Antiqua" w:hAnsi="Book Antiqua" w:cs="Arial"/>
          <w:b/>
          <w:i/>
          <w:u w:val="single"/>
        </w:rPr>
        <w:t>Ghising</w:t>
      </w:r>
      <w:proofErr w:type="spellEnd"/>
      <w:r>
        <w:rPr>
          <w:rFonts w:ascii="Book Antiqua" w:hAnsi="Book Antiqua" w:cs="Arial"/>
        </w:rPr>
        <w:t xml:space="preserve"> went on (at [54]) to note that “</w:t>
      </w:r>
      <w:r w:rsidRPr="00A164A3">
        <w:rPr>
          <w:rFonts w:ascii="Book Antiqua" w:hAnsi="Book Antiqua" w:cs="Arial"/>
          <w:i/>
        </w:rPr>
        <w:t xml:space="preserve">Sedley LJ accepted the submission </w:t>
      </w:r>
      <w:r w:rsidR="00BA0230" w:rsidRPr="00A164A3">
        <w:rPr>
          <w:rFonts w:ascii="Book Antiqua" w:hAnsi="Book Antiqua" w:cs="Arial"/>
          <w:i/>
        </w:rPr>
        <w:t>‘</w:t>
      </w:r>
      <w:r w:rsidRPr="00A164A3">
        <w:rPr>
          <w:rFonts w:ascii="Book Antiqua" w:hAnsi="Book Antiqua" w:cs="Arial"/>
          <w:i/>
        </w:rPr>
        <w:t>dependency</w:t>
      </w:r>
      <w:r w:rsidR="00BA0230" w:rsidRPr="00A164A3">
        <w:rPr>
          <w:rFonts w:ascii="Book Antiqua" w:hAnsi="Book Antiqua" w:cs="Arial"/>
          <w:i/>
        </w:rPr>
        <w:t>’</w:t>
      </w:r>
      <w:r w:rsidRPr="00A164A3">
        <w:rPr>
          <w:rFonts w:ascii="Book Antiqua" w:hAnsi="Book Antiqua" w:cs="Arial"/>
          <w:i/>
        </w:rPr>
        <w:t xml:space="preserve"> was not limited to economic dependency; at [17].  He added:</w:t>
      </w:r>
    </w:p>
    <w:p w:rsidR="00CD6D45" w:rsidRDefault="00CD6D45" w:rsidP="00CD6D45">
      <w:pPr>
        <w:jc w:val="both"/>
        <w:rPr>
          <w:rFonts w:ascii="Book Antiqua" w:hAnsi="Book Antiqua" w:cs="Arial"/>
        </w:rPr>
      </w:pPr>
    </w:p>
    <w:p w:rsidR="00CD6D45" w:rsidRPr="00A164A3" w:rsidRDefault="00B026C2" w:rsidP="00CD6D45">
      <w:pPr>
        <w:ind w:left="1440"/>
        <w:jc w:val="both"/>
        <w:rPr>
          <w:rFonts w:ascii="Book Antiqua" w:hAnsi="Book Antiqua" w:cs="Arial"/>
          <w:i/>
        </w:rPr>
      </w:pPr>
      <w:r w:rsidRPr="00A164A3">
        <w:rPr>
          <w:rFonts w:ascii="Book Antiqua" w:hAnsi="Book Antiqua" w:cs="Arial"/>
          <w:i/>
        </w:rPr>
        <w:t>“But if depe</w:t>
      </w:r>
      <w:r w:rsidR="00023D29">
        <w:rPr>
          <w:rFonts w:ascii="Book Antiqua" w:hAnsi="Book Antiqua" w:cs="Arial"/>
          <w:i/>
        </w:rPr>
        <w:t>ndency is read down as meaning ‘support’</w:t>
      </w:r>
      <w:r w:rsidRPr="00A164A3">
        <w:rPr>
          <w:rFonts w:ascii="Book Antiqua" w:hAnsi="Book Antiqua" w:cs="Arial"/>
          <w:i/>
        </w:rPr>
        <w:t xml:space="preserve"> in the personal sense, and if one adds, echoin</w:t>
      </w:r>
      <w:r w:rsidR="00023D29">
        <w:rPr>
          <w:rFonts w:ascii="Book Antiqua" w:hAnsi="Book Antiqua" w:cs="Arial"/>
          <w:i/>
        </w:rPr>
        <w:t>g the Strasbourg jurisprudence ‘real’ or ‘committed’ or ‘effective’ to the word ‘</w:t>
      </w:r>
      <w:r w:rsidRPr="00A164A3">
        <w:rPr>
          <w:rFonts w:ascii="Book Antiqua" w:hAnsi="Book Antiqua" w:cs="Arial"/>
          <w:i/>
        </w:rPr>
        <w:t>suppor</w:t>
      </w:r>
      <w:r w:rsidR="00023D29">
        <w:rPr>
          <w:rFonts w:ascii="Book Antiqua" w:hAnsi="Book Antiqua" w:cs="Arial"/>
          <w:i/>
        </w:rPr>
        <w:t>t’</w:t>
      </w:r>
      <w:r w:rsidRPr="00A164A3">
        <w:rPr>
          <w:rFonts w:ascii="Book Antiqua" w:hAnsi="Book Antiqua" w:cs="Arial"/>
          <w:i/>
        </w:rPr>
        <w:t xml:space="preserve"> then it represents in my view the irreducible </w:t>
      </w:r>
      <w:r w:rsidR="00C71410" w:rsidRPr="00A164A3">
        <w:rPr>
          <w:rFonts w:ascii="Book Antiqua" w:hAnsi="Book Antiqua" w:cs="Arial"/>
          <w:i/>
        </w:rPr>
        <w:t xml:space="preserve">minimum of what family </w:t>
      </w:r>
      <w:r w:rsidR="0008236B" w:rsidRPr="00A164A3">
        <w:rPr>
          <w:rFonts w:ascii="Book Antiqua" w:hAnsi="Book Antiqua" w:cs="Arial"/>
          <w:i/>
        </w:rPr>
        <w:t>life implies.”</w:t>
      </w:r>
    </w:p>
    <w:p w:rsidR="0008236B" w:rsidRDefault="0008236B" w:rsidP="00CD6D45">
      <w:pPr>
        <w:ind w:left="1440"/>
        <w:jc w:val="both"/>
        <w:rPr>
          <w:rFonts w:ascii="Book Antiqua" w:hAnsi="Book Antiqua" w:cs="Arial"/>
        </w:rPr>
      </w:pPr>
    </w:p>
    <w:p w:rsidR="00041BE9" w:rsidRDefault="00CD6D45" w:rsidP="002A15C6">
      <w:pPr>
        <w:numPr>
          <w:ilvl w:val="0"/>
          <w:numId w:val="3"/>
        </w:numPr>
        <w:ind w:left="567" w:hanging="567"/>
        <w:jc w:val="both"/>
        <w:rPr>
          <w:rFonts w:ascii="Book Antiqua" w:hAnsi="Book Antiqua" w:cs="Arial"/>
        </w:rPr>
      </w:pPr>
      <w:r>
        <w:rPr>
          <w:rFonts w:ascii="Book Antiqua" w:hAnsi="Book Antiqua" w:cs="Arial"/>
        </w:rPr>
        <w:t xml:space="preserve"> </w:t>
      </w:r>
      <w:r w:rsidR="008149E5">
        <w:rPr>
          <w:rFonts w:ascii="Book Antiqua" w:hAnsi="Book Antiqua" w:cs="Arial"/>
        </w:rPr>
        <w:t xml:space="preserve">It is clear that the judge directed himself as to the appropriate test. </w:t>
      </w:r>
      <w:r w:rsidR="00041BE9">
        <w:rPr>
          <w:rFonts w:ascii="Book Antiqua" w:hAnsi="Book Antiqua" w:cs="Arial"/>
        </w:rPr>
        <w:t>There is no legal or factual presumption as to the existence or absence of family life. It all depends on the facts. There is no test of exceptionality.</w:t>
      </w:r>
    </w:p>
    <w:p w:rsidR="00041BE9" w:rsidRDefault="00041BE9" w:rsidP="00041BE9">
      <w:pPr>
        <w:ind w:left="567"/>
        <w:jc w:val="both"/>
        <w:rPr>
          <w:rFonts w:ascii="Book Antiqua" w:hAnsi="Book Antiqua" w:cs="Arial"/>
        </w:rPr>
      </w:pPr>
    </w:p>
    <w:p w:rsidR="00CD6D45" w:rsidRDefault="00041BE9" w:rsidP="002A15C6">
      <w:pPr>
        <w:numPr>
          <w:ilvl w:val="0"/>
          <w:numId w:val="3"/>
        </w:numPr>
        <w:ind w:left="567" w:hanging="567"/>
        <w:jc w:val="both"/>
        <w:rPr>
          <w:rFonts w:ascii="Book Antiqua" w:hAnsi="Book Antiqua" w:cs="Arial"/>
        </w:rPr>
      </w:pPr>
      <w:proofErr w:type="gramStart"/>
      <w:r>
        <w:rPr>
          <w:rFonts w:ascii="Book Antiqua" w:hAnsi="Book Antiqua" w:cs="Arial"/>
        </w:rPr>
        <w:t xml:space="preserve">In </w:t>
      </w:r>
      <w:r w:rsidR="00B626F2">
        <w:rPr>
          <w:rFonts w:ascii="Book Antiqua" w:hAnsi="Book Antiqua" w:cs="Arial"/>
        </w:rPr>
        <w:t xml:space="preserve"> seeking</w:t>
      </w:r>
      <w:proofErr w:type="gramEnd"/>
      <w:r w:rsidR="00C06D9E">
        <w:rPr>
          <w:rFonts w:ascii="Book Antiqua" w:hAnsi="Book Antiqua" w:cs="Arial"/>
        </w:rPr>
        <w:t xml:space="preserve"> </w:t>
      </w:r>
      <w:r w:rsidR="00B626F2">
        <w:rPr>
          <w:rFonts w:ascii="Book Antiqua" w:hAnsi="Book Antiqua" w:cs="Arial"/>
        </w:rPr>
        <w:t xml:space="preserve"> to apply the caselaw to the appell</w:t>
      </w:r>
      <w:r w:rsidR="00A164A3">
        <w:rPr>
          <w:rFonts w:ascii="Book Antiqua" w:hAnsi="Book Antiqua" w:cs="Arial"/>
        </w:rPr>
        <w:t>ant’s case it was noted by the j</w:t>
      </w:r>
      <w:r w:rsidR="00B626F2">
        <w:rPr>
          <w:rFonts w:ascii="Book Antiqua" w:hAnsi="Book Antiqua" w:cs="Arial"/>
        </w:rPr>
        <w:t xml:space="preserve">udge that she is a young unmarried woman who is financially dependent on her parents.  She is not in paid work.  That she is not </w:t>
      </w:r>
      <w:r w:rsidR="00C83668">
        <w:rPr>
          <w:rFonts w:ascii="Book Antiqua" w:hAnsi="Book Antiqua" w:cs="Arial"/>
        </w:rPr>
        <w:t>in paid work</w:t>
      </w:r>
      <w:r w:rsidR="00B626F2">
        <w:rPr>
          <w:rFonts w:ascii="Book Antiqua" w:hAnsi="Book Antiqua" w:cs="Arial"/>
        </w:rPr>
        <w:t xml:space="preserve"> was challenged by Ms Willocks-Briscoe on the basis of checks by the ECO which revealed that on her own LinkedIn pro</w:t>
      </w:r>
      <w:r w:rsidR="0026622A">
        <w:rPr>
          <w:rFonts w:ascii="Book Antiqua" w:hAnsi="Book Antiqua" w:cs="Arial"/>
        </w:rPr>
        <w:t xml:space="preserve">file </w:t>
      </w:r>
      <w:r w:rsidR="00C06D9E">
        <w:rPr>
          <w:rFonts w:ascii="Book Antiqua" w:hAnsi="Book Antiqua" w:cs="Arial"/>
        </w:rPr>
        <w:t>it was stated that</w:t>
      </w:r>
      <w:r w:rsidR="00E00C91">
        <w:rPr>
          <w:rFonts w:ascii="Book Antiqua" w:hAnsi="Book Antiqua" w:cs="Arial"/>
        </w:rPr>
        <w:t xml:space="preserve"> she</w:t>
      </w:r>
      <w:r w:rsidR="00C06D9E">
        <w:rPr>
          <w:rFonts w:ascii="Book Antiqua" w:hAnsi="Book Antiqua" w:cs="Arial"/>
        </w:rPr>
        <w:t xml:space="preserve"> was a “</w:t>
      </w:r>
      <w:r w:rsidR="00C06D9E" w:rsidRPr="00C06D9E">
        <w:rPr>
          <w:rFonts w:ascii="Book Antiqua" w:hAnsi="Book Antiqua" w:cs="Arial"/>
          <w:i/>
        </w:rPr>
        <w:t>Data Entry Worker</w:t>
      </w:r>
      <w:r w:rsidR="00C06D9E">
        <w:rPr>
          <w:rFonts w:ascii="Book Antiqua" w:hAnsi="Book Antiqua" w:cs="Arial"/>
        </w:rPr>
        <w:t>” at Cloud Factory in the period</w:t>
      </w:r>
      <w:r w:rsidR="0026622A">
        <w:rPr>
          <w:rFonts w:ascii="Book Antiqua" w:hAnsi="Book Antiqua" w:cs="Arial"/>
        </w:rPr>
        <w:t xml:space="preserve"> “</w:t>
      </w:r>
      <w:r w:rsidR="0026622A" w:rsidRPr="0026622A">
        <w:rPr>
          <w:rFonts w:ascii="Book Antiqua" w:hAnsi="Book Antiqua" w:cs="Arial"/>
          <w:i/>
        </w:rPr>
        <w:t>December 2012 – the present</w:t>
      </w:r>
      <w:r w:rsidR="0026622A">
        <w:rPr>
          <w:rFonts w:ascii="Book Antiqua" w:hAnsi="Book Antiqua" w:cs="Arial"/>
        </w:rPr>
        <w:t xml:space="preserve">.”  </w:t>
      </w:r>
      <w:r w:rsidR="00C06D9E">
        <w:rPr>
          <w:rFonts w:ascii="Book Antiqua" w:hAnsi="Book Antiqua" w:cs="Arial"/>
        </w:rPr>
        <w:t>Her profile also mentions “</w:t>
      </w:r>
      <w:r w:rsidR="00C06D9E" w:rsidRPr="00C06D9E">
        <w:rPr>
          <w:rFonts w:ascii="Book Antiqua" w:hAnsi="Book Antiqua" w:cs="Arial"/>
          <w:i/>
        </w:rPr>
        <w:t xml:space="preserve">Education, </w:t>
      </w:r>
      <w:proofErr w:type="spellStart"/>
      <w:r w:rsidR="00C06D9E" w:rsidRPr="00C06D9E">
        <w:rPr>
          <w:rFonts w:ascii="Book Antiqua" w:hAnsi="Book Antiqua" w:cs="Arial"/>
          <w:i/>
        </w:rPr>
        <w:t>Sankher</w:t>
      </w:r>
      <w:proofErr w:type="spellEnd"/>
      <w:r w:rsidR="00C06D9E" w:rsidRPr="00C06D9E">
        <w:rPr>
          <w:rFonts w:ascii="Book Antiqua" w:hAnsi="Book Antiqua" w:cs="Arial"/>
          <w:i/>
        </w:rPr>
        <w:t xml:space="preserve"> Dev Campus,</w:t>
      </w:r>
      <w:r w:rsidR="00C06D9E">
        <w:rPr>
          <w:rFonts w:ascii="Book Antiqua" w:hAnsi="Book Antiqua" w:cs="Arial"/>
        </w:rPr>
        <w:t xml:space="preserve"> </w:t>
      </w:r>
      <w:r w:rsidR="00C06D9E" w:rsidRPr="00C06D9E">
        <w:rPr>
          <w:rFonts w:ascii="Book Antiqua" w:hAnsi="Book Antiqua" w:cs="Arial"/>
          <w:i/>
        </w:rPr>
        <w:t>2012-2016.”</w:t>
      </w:r>
      <w:r w:rsidR="00C06D9E">
        <w:rPr>
          <w:rFonts w:ascii="Book Antiqua" w:hAnsi="Book Antiqua" w:cs="Arial"/>
        </w:rPr>
        <w:t xml:space="preserve"> Also, “</w:t>
      </w:r>
      <w:r w:rsidR="00C06D9E" w:rsidRPr="00C06D9E">
        <w:rPr>
          <w:rFonts w:ascii="Book Antiqua" w:hAnsi="Book Antiqua" w:cs="Arial"/>
          <w:i/>
        </w:rPr>
        <w:t>Volunteer Experience &amp; Causes, Causes Sulu cares about: Animal</w:t>
      </w:r>
      <w:r w:rsidR="00C06D9E">
        <w:rPr>
          <w:rFonts w:ascii="Book Antiqua" w:hAnsi="Book Antiqua" w:cs="Arial"/>
        </w:rPr>
        <w:t xml:space="preserve"> </w:t>
      </w:r>
      <w:r w:rsidR="00C06D9E" w:rsidRPr="00C06D9E">
        <w:rPr>
          <w:rFonts w:ascii="Book Antiqua" w:hAnsi="Book Antiqua" w:cs="Arial"/>
          <w:i/>
        </w:rPr>
        <w:t>Welfare.”</w:t>
      </w:r>
    </w:p>
    <w:p w:rsidR="00B626F2" w:rsidRDefault="00B626F2" w:rsidP="00B626F2">
      <w:pPr>
        <w:jc w:val="both"/>
        <w:rPr>
          <w:rFonts w:ascii="Book Antiqua" w:hAnsi="Book Antiqua" w:cs="Arial"/>
        </w:rPr>
      </w:pPr>
    </w:p>
    <w:p w:rsidR="00B626F2" w:rsidRPr="00F176CD" w:rsidRDefault="004A5827" w:rsidP="002A15C6">
      <w:pPr>
        <w:numPr>
          <w:ilvl w:val="0"/>
          <w:numId w:val="3"/>
        </w:numPr>
        <w:ind w:left="567" w:hanging="567"/>
        <w:jc w:val="both"/>
        <w:rPr>
          <w:rFonts w:ascii="Book Antiqua" w:hAnsi="Book Antiqua" w:cs="Arial"/>
          <w:i/>
        </w:rPr>
      </w:pPr>
      <w:r>
        <w:rPr>
          <w:rFonts w:ascii="Book Antiqua" w:hAnsi="Book Antiqua" w:cs="Arial"/>
        </w:rPr>
        <w:lastRenderedPageBreak/>
        <w:t>On the face of it “worker” might suggest paid employment. However, t</w:t>
      </w:r>
      <w:r w:rsidR="00A164A3">
        <w:rPr>
          <w:rFonts w:ascii="Book Antiqua" w:hAnsi="Book Antiqua" w:cs="Arial"/>
        </w:rPr>
        <w:t xml:space="preserve">he </w:t>
      </w:r>
      <w:proofErr w:type="gramStart"/>
      <w:r w:rsidR="00A164A3">
        <w:rPr>
          <w:rFonts w:ascii="Book Antiqua" w:hAnsi="Book Antiqua" w:cs="Arial"/>
        </w:rPr>
        <w:t>j</w:t>
      </w:r>
      <w:r w:rsidR="0026622A">
        <w:rPr>
          <w:rFonts w:ascii="Book Antiqua" w:hAnsi="Book Antiqua" w:cs="Arial"/>
        </w:rPr>
        <w:t xml:space="preserve">udge </w:t>
      </w:r>
      <w:r>
        <w:rPr>
          <w:rFonts w:ascii="Book Antiqua" w:hAnsi="Book Antiqua" w:cs="Arial"/>
        </w:rPr>
        <w:t xml:space="preserve"> noted</w:t>
      </w:r>
      <w:proofErr w:type="gramEnd"/>
      <w:r>
        <w:rPr>
          <w:rFonts w:ascii="Book Antiqua" w:hAnsi="Book Antiqua" w:cs="Arial"/>
        </w:rPr>
        <w:t xml:space="preserve"> and accepted the evidence of the three witnesses that this was</w:t>
      </w:r>
      <w:r w:rsidR="00F176CD">
        <w:rPr>
          <w:rFonts w:ascii="Book Antiqua" w:hAnsi="Book Antiqua" w:cs="Arial"/>
        </w:rPr>
        <w:t xml:space="preserve"> unpaid and</w:t>
      </w:r>
      <w:r>
        <w:rPr>
          <w:rFonts w:ascii="Book Antiqua" w:hAnsi="Book Antiqua" w:cs="Arial"/>
        </w:rPr>
        <w:t xml:space="preserve"> “</w:t>
      </w:r>
      <w:r w:rsidRPr="00F176CD">
        <w:rPr>
          <w:rFonts w:ascii="Book Antiqua" w:hAnsi="Book Antiqua" w:cs="Arial"/>
          <w:i/>
        </w:rPr>
        <w:t>in the nature of</w:t>
      </w:r>
      <w:r>
        <w:rPr>
          <w:rFonts w:ascii="Book Antiqua" w:hAnsi="Book Antiqua" w:cs="Arial"/>
        </w:rPr>
        <w:t xml:space="preserve"> </w:t>
      </w:r>
      <w:r w:rsidRPr="00F176CD">
        <w:rPr>
          <w:rFonts w:ascii="Book Antiqua" w:hAnsi="Book Antiqua" w:cs="Arial"/>
          <w:i/>
        </w:rPr>
        <w:t>charitable voluntary work</w:t>
      </w:r>
      <w:r>
        <w:rPr>
          <w:rFonts w:ascii="Book Antiqua" w:hAnsi="Book Antiqua" w:cs="Arial"/>
        </w:rPr>
        <w:t>”</w:t>
      </w:r>
      <w:r w:rsidR="00F176CD">
        <w:rPr>
          <w:rFonts w:ascii="Book Antiqua" w:hAnsi="Book Antiqua" w:cs="Arial"/>
        </w:rPr>
        <w:t xml:space="preserve"> [37].</w:t>
      </w:r>
      <w:r>
        <w:rPr>
          <w:rFonts w:ascii="Book Antiqua" w:hAnsi="Book Antiqua" w:cs="Arial"/>
        </w:rPr>
        <w:t xml:space="preserve">  He</w:t>
      </w:r>
      <w:r w:rsidR="00F176CD">
        <w:rPr>
          <w:rFonts w:ascii="Book Antiqua" w:hAnsi="Book Antiqua" w:cs="Arial"/>
        </w:rPr>
        <w:t xml:space="preserve"> also found that he could rely on </w:t>
      </w:r>
      <w:proofErr w:type="gramStart"/>
      <w:r w:rsidR="00F176CD">
        <w:rPr>
          <w:rFonts w:ascii="Book Antiqua" w:hAnsi="Book Antiqua" w:cs="Arial"/>
        </w:rPr>
        <w:t>the  contents</w:t>
      </w:r>
      <w:proofErr w:type="gramEnd"/>
      <w:r w:rsidR="00F176CD">
        <w:rPr>
          <w:rFonts w:ascii="Book Antiqua" w:hAnsi="Book Antiqua" w:cs="Arial"/>
        </w:rPr>
        <w:t xml:space="preserve"> of</w:t>
      </w:r>
      <w:r w:rsidR="00B626F2">
        <w:rPr>
          <w:rFonts w:ascii="Book Antiqua" w:hAnsi="Book Antiqua" w:cs="Arial"/>
        </w:rPr>
        <w:t xml:space="preserve"> a letter from the</w:t>
      </w:r>
      <w:r>
        <w:rPr>
          <w:rFonts w:ascii="Book Antiqua" w:hAnsi="Book Antiqua" w:cs="Arial"/>
        </w:rPr>
        <w:t xml:space="preserve"> Senior Manager of Workforce at</w:t>
      </w:r>
      <w:r w:rsidR="00B626F2">
        <w:rPr>
          <w:rFonts w:ascii="Book Antiqua" w:hAnsi="Book Antiqua" w:cs="Arial"/>
        </w:rPr>
        <w:t xml:space="preserve"> Cloud Factory (p51 of the appellant’s bundle), which states that her role was</w:t>
      </w:r>
      <w:r w:rsidR="001B63A3">
        <w:rPr>
          <w:rFonts w:ascii="Book Antiqua" w:hAnsi="Book Antiqua" w:cs="Arial"/>
        </w:rPr>
        <w:t xml:space="preserve"> as</w:t>
      </w:r>
      <w:r w:rsidR="00B626F2">
        <w:rPr>
          <w:rFonts w:ascii="Book Antiqua" w:hAnsi="Book Antiqua" w:cs="Arial"/>
        </w:rPr>
        <w:t xml:space="preserve"> a volunteer at the company; the company being involved in long term relief work after the 2015 earthquake.</w:t>
      </w:r>
      <w:r w:rsidR="00F176CD">
        <w:rPr>
          <w:rFonts w:ascii="Book Antiqua" w:hAnsi="Book Antiqua" w:cs="Arial"/>
        </w:rPr>
        <w:t xml:space="preserve"> The judge found that the appellant additionally was “</w:t>
      </w:r>
      <w:r w:rsidR="00F176CD" w:rsidRPr="00F176CD">
        <w:rPr>
          <w:rFonts w:ascii="Book Antiqua" w:hAnsi="Book Antiqua" w:cs="Arial"/>
          <w:i/>
        </w:rPr>
        <w:t>involved in community service projects. She also volunteered in orphanages. That clearly indicated that the appellant was engaged in useful community and charitable projects as a volunteer. That was far different from what can be termed as employment.”</w:t>
      </w:r>
    </w:p>
    <w:p w:rsidR="00B626F2" w:rsidRDefault="00B626F2" w:rsidP="00B626F2">
      <w:pPr>
        <w:pStyle w:val="ListParagraph"/>
        <w:rPr>
          <w:rFonts w:ascii="Book Antiqua" w:hAnsi="Book Antiqua" w:cs="Arial"/>
        </w:rPr>
      </w:pPr>
    </w:p>
    <w:p w:rsidR="00B626F2" w:rsidRDefault="00A164A3" w:rsidP="002A15C6">
      <w:pPr>
        <w:numPr>
          <w:ilvl w:val="0"/>
          <w:numId w:val="3"/>
        </w:numPr>
        <w:ind w:left="567" w:hanging="567"/>
        <w:jc w:val="both"/>
        <w:rPr>
          <w:rFonts w:ascii="Book Antiqua" w:hAnsi="Book Antiqua" w:cs="Arial"/>
        </w:rPr>
      </w:pPr>
      <w:r>
        <w:rPr>
          <w:rFonts w:ascii="Book Antiqua" w:hAnsi="Book Antiqua" w:cs="Arial"/>
        </w:rPr>
        <w:t>I find that the j</w:t>
      </w:r>
      <w:r w:rsidR="00B626F2">
        <w:rPr>
          <w:rFonts w:ascii="Book Antiqua" w:hAnsi="Book Antiqua" w:cs="Arial"/>
        </w:rPr>
        <w:t>udge’s conclusion that the appellant was</w:t>
      </w:r>
      <w:r w:rsidR="00F176CD">
        <w:rPr>
          <w:rFonts w:ascii="Book Antiqua" w:hAnsi="Book Antiqua" w:cs="Arial"/>
        </w:rPr>
        <w:t xml:space="preserve"> not, and had never been in paid work</w:t>
      </w:r>
      <w:r w:rsidR="00C83668">
        <w:rPr>
          <w:rFonts w:ascii="Book Antiqua" w:hAnsi="Book Antiqua" w:cs="Arial"/>
        </w:rPr>
        <w:t>, despite her efforts to get such particularly after her return from the Philippines,</w:t>
      </w:r>
      <w:r w:rsidR="00F176CD">
        <w:rPr>
          <w:rFonts w:ascii="Book Antiqua" w:hAnsi="Book Antiqua" w:cs="Arial"/>
        </w:rPr>
        <w:t xml:space="preserve"> and that she was wholly</w:t>
      </w:r>
      <w:r w:rsidR="00B626F2">
        <w:rPr>
          <w:rFonts w:ascii="Book Antiqua" w:hAnsi="Book Antiqua" w:cs="Arial"/>
        </w:rPr>
        <w:t xml:space="preserve"> financially dependent on her parents</w:t>
      </w:r>
      <w:r w:rsidR="00274350">
        <w:rPr>
          <w:rFonts w:ascii="Book Antiqua" w:hAnsi="Book Antiqua" w:cs="Arial"/>
        </w:rPr>
        <w:t xml:space="preserve"> for her </w:t>
      </w:r>
      <w:r w:rsidR="00C83668">
        <w:rPr>
          <w:rFonts w:ascii="Book Antiqua" w:hAnsi="Book Antiqua" w:cs="Arial"/>
        </w:rPr>
        <w:t>accommodation, education and living costs</w:t>
      </w:r>
      <w:r w:rsidR="00B626F2">
        <w:rPr>
          <w:rFonts w:ascii="Book Antiqua" w:hAnsi="Book Antiqua" w:cs="Arial"/>
        </w:rPr>
        <w:t xml:space="preserve"> was one that was open to him on the evidence.</w:t>
      </w:r>
    </w:p>
    <w:p w:rsidR="00B626F2" w:rsidRDefault="00B626F2" w:rsidP="00B626F2">
      <w:pPr>
        <w:pStyle w:val="ListParagraph"/>
        <w:rPr>
          <w:rFonts w:ascii="Book Antiqua" w:hAnsi="Book Antiqua" w:cs="Arial"/>
        </w:rPr>
      </w:pPr>
    </w:p>
    <w:p w:rsidR="00B626F2" w:rsidRDefault="00023D29" w:rsidP="002A15C6">
      <w:pPr>
        <w:numPr>
          <w:ilvl w:val="0"/>
          <w:numId w:val="3"/>
        </w:numPr>
        <w:ind w:left="567" w:hanging="567"/>
        <w:jc w:val="both"/>
        <w:rPr>
          <w:rFonts w:ascii="Book Antiqua" w:hAnsi="Book Antiqua" w:cs="Arial"/>
        </w:rPr>
      </w:pPr>
      <w:r>
        <w:rPr>
          <w:rFonts w:ascii="Book Antiqua" w:hAnsi="Book Antiqua" w:cs="Arial"/>
        </w:rPr>
        <w:t>As for</w:t>
      </w:r>
      <w:r w:rsidR="00B626F2">
        <w:rPr>
          <w:rFonts w:ascii="Book Antiqua" w:hAnsi="Book Antiqua" w:cs="Arial"/>
        </w:rPr>
        <w:t xml:space="preserve"> her claim to be emotionally </w:t>
      </w:r>
      <w:r w:rsidR="00BB20B9">
        <w:rPr>
          <w:rFonts w:ascii="Book Antiqua" w:hAnsi="Book Antiqua" w:cs="Arial"/>
        </w:rPr>
        <w:t>dependent involving more than</w:t>
      </w:r>
      <w:r>
        <w:rPr>
          <w:rFonts w:ascii="Book Antiqua" w:hAnsi="Book Antiqua" w:cs="Arial"/>
        </w:rPr>
        <w:t xml:space="preserve"> normal emotional ties,</w:t>
      </w:r>
      <w:r w:rsidR="00A164A3">
        <w:rPr>
          <w:rFonts w:ascii="Book Antiqua" w:hAnsi="Book Antiqua" w:cs="Arial"/>
        </w:rPr>
        <w:t xml:space="preserve"> the j</w:t>
      </w:r>
      <w:r w:rsidR="00BB20B9">
        <w:rPr>
          <w:rFonts w:ascii="Book Antiqua" w:hAnsi="Book Antiqua" w:cs="Arial"/>
        </w:rPr>
        <w:t>udge noted</w:t>
      </w:r>
      <w:r w:rsidR="00891BE3">
        <w:rPr>
          <w:rFonts w:ascii="Book Antiqua" w:hAnsi="Book Antiqua" w:cs="Arial"/>
        </w:rPr>
        <w:t xml:space="preserve"> the unchallenged evidence that</w:t>
      </w:r>
      <w:r w:rsidR="00BB20B9">
        <w:rPr>
          <w:rFonts w:ascii="Book Antiqua" w:hAnsi="Book Antiqua" w:cs="Arial"/>
        </w:rPr>
        <w:t xml:space="preserve"> she is a single woman not many years into her majority.  </w:t>
      </w:r>
      <w:r w:rsidR="00C83668">
        <w:rPr>
          <w:rFonts w:ascii="Book Antiqua" w:hAnsi="Book Antiqua" w:cs="Arial"/>
        </w:rPr>
        <w:t>She has not established a family</w:t>
      </w:r>
      <w:r w:rsidR="001B63A3">
        <w:rPr>
          <w:rFonts w:ascii="Book Antiqua" w:hAnsi="Book Antiqua" w:cs="Arial"/>
        </w:rPr>
        <w:t xml:space="preserve"> life</w:t>
      </w:r>
      <w:r w:rsidR="00C83668">
        <w:rPr>
          <w:rFonts w:ascii="Book Antiqua" w:hAnsi="Book Antiqua" w:cs="Arial"/>
        </w:rPr>
        <w:t xml:space="preserve"> of her own. </w:t>
      </w:r>
      <w:r w:rsidR="00BB20B9">
        <w:rPr>
          <w:rFonts w:ascii="Book Antiqua" w:hAnsi="Book Antiqua" w:cs="Arial"/>
        </w:rPr>
        <w:t>The attainment of majority does not end family life.  It is clear that she is emotionally close</w:t>
      </w:r>
      <w:r w:rsidR="005B2E5C">
        <w:rPr>
          <w:rFonts w:ascii="Book Antiqua" w:hAnsi="Book Antiqua" w:cs="Arial"/>
        </w:rPr>
        <w:t xml:space="preserve"> </w:t>
      </w:r>
      <w:r w:rsidR="00BB20B9">
        <w:rPr>
          <w:rFonts w:ascii="Book Antiqua" w:hAnsi="Book Antiqua" w:cs="Arial"/>
        </w:rPr>
        <w:t>to her parents, speakin</w:t>
      </w:r>
      <w:r w:rsidR="00891BE3">
        <w:rPr>
          <w:rFonts w:ascii="Book Antiqua" w:hAnsi="Book Antiqua" w:cs="Arial"/>
        </w:rPr>
        <w:t>g to them regularly.  Her parents visited for four months in 2013/14 and again in early 2015</w:t>
      </w:r>
      <w:r w:rsidR="00BB20B9">
        <w:rPr>
          <w:rFonts w:ascii="Book Antiqua" w:hAnsi="Book Antiqua" w:cs="Arial"/>
        </w:rPr>
        <w:t xml:space="preserve">. </w:t>
      </w:r>
      <w:r w:rsidR="005B2E5C">
        <w:rPr>
          <w:rFonts w:ascii="Book Antiqua" w:hAnsi="Book Antiqua" w:cs="Arial"/>
        </w:rPr>
        <w:t>Such amounts to more than, as the grounds claim, keeping in touch and occasional visits.</w:t>
      </w:r>
      <w:r w:rsidR="00BB20B9">
        <w:rPr>
          <w:rFonts w:ascii="Book Antiqua" w:hAnsi="Book Antiqua" w:cs="Arial"/>
        </w:rPr>
        <w:t xml:space="preserve"> All her sisters are married and live their own lives.  The grandmother referred to in the grounds lives a long way away.</w:t>
      </w:r>
      <w:r w:rsidR="00C27071">
        <w:rPr>
          <w:rFonts w:ascii="Book Antiqua" w:hAnsi="Book Antiqua" w:cs="Arial"/>
        </w:rPr>
        <w:t xml:space="preserve"> These findings were open to the judge on the evidence</w:t>
      </w:r>
      <w:r w:rsidR="000D6CEE">
        <w:rPr>
          <w:rFonts w:ascii="Book Antiqua" w:hAnsi="Book Antiqua" w:cs="Arial"/>
        </w:rPr>
        <w:t>.</w:t>
      </w:r>
      <w:r w:rsidR="00891BE3">
        <w:rPr>
          <w:rFonts w:ascii="Book Antiqua" w:hAnsi="Book Antiqua" w:cs="Arial"/>
        </w:rPr>
        <w:t xml:space="preserve"> </w:t>
      </w:r>
    </w:p>
    <w:p w:rsidR="00326621" w:rsidRDefault="00326621" w:rsidP="00326621">
      <w:pPr>
        <w:pStyle w:val="ListParagraph"/>
        <w:rPr>
          <w:rFonts w:ascii="Book Antiqua" w:hAnsi="Book Antiqua" w:cs="Arial"/>
        </w:rPr>
      </w:pPr>
    </w:p>
    <w:p w:rsidR="00EF2220" w:rsidRPr="00EF2220" w:rsidRDefault="00326621" w:rsidP="00EF2220">
      <w:pPr>
        <w:numPr>
          <w:ilvl w:val="0"/>
          <w:numId w:val="3"/>
        </w:numPr>
        <w:ind w:left="567" w:hanging="567"/>
        <w:jc w:val="both"/>
        <w:rPr>
          <w:rFonts w:ascii="Book Antiqua" w:hAnsi="Book Antiqua" w:cs="Arial"/>
        </w:rPr>
      </w:pPr>
      <w:r>
        <w:rPr>
          <w:rFonts w:ascii="Book Antiqua" w:hAnsi="Book Antiqua" w:cs="Arial"/>
        </w:rPr>
        <w:t>It is of course the case that the appellant spent several years in the Philippin</w:t>
      </w:r>
      <w:r w:rsidR="003D49EB">
        <w:rPr>
          <w:rFonts w:ascii="Book Antiqua" w:hAnsi="Book Antiqua" w:cs="Arial"/>
        </w:rPr>
        <w:t>es learning to fly.</w:t>
      </w:r>
      <w:r w:rsidR="00614204">
        <w:rPr>
          <w:rFonts w:ascii="Book Antiqua" w:hAnsi="Book Antiqua" w:cs="Arial"/>
        </w:rPr>
        <w:t xml:space="preserve"> At that time, 2009 to 2011, her parents were still in Nepal. </w:t>
      </w:r>
      <w:r w:rsidR="003D49EB">
        <w:rPr>
          <w:rFonts w:ascii="Book Antiqua" w:hAnsi="Book Antiqua" w:cs="Arial"/>
        </w:rPr>
        <w:t xml:space="preserve"> She was financially dependent on her father during that time. </w:t>
      </w:r>
      <w:r w:rsidR="005E306C">
        <w:rPr>
          <w:rFonts w:ascii="Book Antiqua" w:hAnsi="Book Antiqua" w:cs="Arial"/>
        </w:rPr>
        <w:t>Nonetheless such would suggest</w:t>
      </w:r>
      <w:r w:rsidR="009805DF">
        <w:rPr>
          <w:rFonts w:ascii="Book Antiqua" w:hAnsi="Book Antiqua" w:cs="Arial"/>
        </w:rPr>
        <w:t xml:space="preserve"> an independence of spirit. It</w:t>
      </w:r>
      <w:r w:rsidR="005E306C">
        <w:rPr>
          <w:rFonts w:ascii="Book Antiqua" w:hAnsi="Book Antiqua" w:cs="Arial"/>
        </w:rPr>
        <w:t xml:space="preserve"> may be that</w:t>
      </w:r>
      <w:r w:rsidR="00CB76C5">
        <w:rPr>
          <w:rFonts w:ascii="Book Antiqua" w:hAnsi="Book Antiqua" w:cs="Arial"/>
        </w:rPr>
        <w:t xml:space="preserve"> during that period</w:t>
      </w:r>
      <w:r w:rsidR="005E306C">
        <w:rPr>
          <w:rFonts w:ascii="Book Antiqua" w:hAnsi="Book Antiqua" w:cs="Arial"/>
        </w:rPr>
        <w:t xml:space="preserve"> there was</w:t>
      </w:r>
      <w:r w:rsidR="00614204">
        <w:rPr>
          <w:rFonts w:ascii="Book Antiqua" w:hAnsi="Book Antiqua" w:cs="Arial"/>
        </w:rPr>
        <w:t xml:space="preserve"> a diminished level </w:t>
      </w:r>
      <w:r w:rsidR="00CB76C5">
        <w:rPr>
          <w:rFonts w:ascii="Book Antiqua" w:hAnsi="Book Antiqua" w:cs="Arial"/>
        </w:rPr>
        <w:t>of family life. However, h</w:t>
      </w:r>
      <w:r w:rsidR="003D49EB">
        <w:rPr>
          <w:rFonts w:ascii="Book Antiqua" w:hAnsi="Book Antiqua" w:cs="Arial"/>
        </w:rPr>
        <w:t xml:space="preserve">aving returned to take up study </w:t>
      </w:r>
      <w:r w:rsidR="00614204">
        <w:rPr>
          <w:rFonts w:ascii="Book Antiqua" w:hAnsi="Book Antiqua" w:cs="Arial"/>
        </w:rPr>
        <w:t>her parents later left for the UK. S</w:t>
      </w:r>
      <w:r w:rsidR="003D49EB">
        <w:rPr>
          <w:rFonts w:ascii="Book Antiqua" w:hAnsi="Book Antiqua" w:cs="Arial"/>
        </w:rPr>
        <w:t>he rema</w:t>
      </w:r>
      <w:r w:rsidR="00614204">
        <w:rPr>
          <w:rFonts w:ascii="Book Antiqua" w:hAnsi="Book Antiqua" w:cs="Arial"/>
        </w:rPr>
        <w:t>ins financially dependent on her father</w:t>
      </w:r>
      <w:r w:rsidR="003D49EB">
        <w:rPr>
          <w:rFonts w:ascii="Book Antiqua" w:hAnsi="Book Antiqua" w:cs="Arial"/>
        </w:rPr>
        <w:t>. Whatever were her personal circumstances</w:t>
      </w:r>
      <w:r>
        <w:rPr>
          <w:rFonts w:ascii="Book Antiqua" w:hAnsi="Book Antiqua" w:cs="Arial"/>
        </w:rPr>
        <w:t xml:space="preserve"> </w:t>
      </w:r>
      <w:r w:rsidR="003D49EB">
        <w:rPr>
          <w:rFonts w:ascii="Book Antiqua" w:hAnsi="Book Antiqua" w:cs="Arial"/>
        </w:rPr>
        <w:t>during her time in the Philippines</w:t>
      </w:r>
      <w:r w:rsidR="00031202">
        <w:rPr>
          <w:rFonts w:ascii="Book Antiqua" w:hAnsi="Book Antiqua" w:cs="Arial"/>
        </w:rPr>
        <w:t>,</w:t>
      </w:r>
      <w:r w:rsidR="003D49EB">
        <w:rPr>
          <w:rFonts w:ascii="Book Antiqua" w:hAnsi="Book Antiqua" w:cs="Arial"/>
        </w:rPr>
        <w:t xml:space="preserve"> </w:t>
      </w:r>
      <w:r>
        <w:rPr>
          <w:rFonts w:ascii="Book Antiqua" w:hAnsi="Book Antiqua" w:cs="Arial"/>
        </w:rPr>
        <w:t xml:space="preserve">I do not consider that such takes away from the </w:t>
      </w:r>
      <w:r w:rsidR="00891BE3">
        <w:rPr>
          <w:rFonts w:ascii="Book Antiqua" w:hAnsi="Book Antiqua" w:cs="Arial"/>
        </w:rPr>
        <w:t xml:space="preserve">judge’s finding </w:t>
      </w:r>
      <w:r>
        <w:rPr>
          <w:rFonts w:ascii="Book Antiqua" w:hAnsi="Book Antiqua" w:cs="Arial"/>
        </w:rPr>
        <w:t xml:space="preserve">that </w:t>
      </w:r>
      <w:r w:rsidR="003D49EB">
        <w:rPr>
          <w:rFonts w:ascii="Book Antiqua" w:hAnsi="Book Antiqua" w:cs="Arial"/>
        </w:rPr>
        <w:t>since her return</w:t>
      </w:r>
      <w:r w:rsidR="00402A16">
        <w:rPr>
          <w:rFonts w:ascii="Book Antiqua" w:hAnsi="Book Antiqua" w:cs="Arial"/>
        </w:rPr>
        <w:t xml:space="preserve"> and although she is a student in Kathmandu,</w:t>
      </w:r>
      <w:r w:rsidR="003D49EB">
        <w:rPr>
          <w:rFonts w:ascii="Book Antiqua" w:hAnsi="Book Antiqua" w:cs="Arial"/>
        </w:rPr>
        <w:t xml:space="preserve"> </w:t>
      </w:r>
      <w:r w:rsidR="00CB76C5">
        <w:rPr>
          <w:rFonts w:ascii="Book Antiqua" w:hAnsi="Book Antiqua" w:cs="Arial"/>
        </w:rPr>
        <w:t xml:space="preserve">she is in essence, </w:t>
      </w:r>
      <w:r w:rsidR="003D49EB">
        <w:rPr>
          <w:rFonts w:ascii="Book Antiqua" w:hAnsi="Book Antiqua" w:cs="Arial"/>
        </w:rPr>
        <w:t>alone</w:t>
      </w:r>
      <w:r w:rsidR="00402A16">
        <w:rPr>
          <w:rFonts w:ascii="Book Antiqua" w:hAnsi="Book Antiqua" w:cs="Arial"/>
        </w:rPr>
        <w:t>,</w:t>
      </w:r>
      <w:r w:rsidR="003D49EB">
        <w:rPr>
          <w:rFonts w:ascii="Book Antiqua" w:hAnsi="Book Antiqua" w:cs="Arial"/>
        </w:rPr>
        <w:t xml:space="preserve"> </w:t>
      </w:r>
      <w:r w:rsidR="00031202">
        <w:rPr>
          <w:rFonts w:ascii="Book Antiqua" w:hAnsi="Book Antiqua" w:cs="Arial"/>
        </w:rPr>
        <w:t xml:space="preserve">a young woman </w:t>
      </w:r>
      <w:r w:rsidR="003D49EB">
        <w:rPr>
          <w:rFonts w:ascii="Book Antiqua" w:hAnsi="Book Antiqua" w:cs="Arial"/>
        </w:rPr>
        <w:t>reliant on her parents emo</w:t>
      </w:r>
      <w:r w:rsidR="005B2E5C">
        <w:rPr>
          <w:rFonts w:ascii="Book Antiqua" w:hAnsi="Book Antiqua" w:cs="Arial"/>
        </w:rPr>
        <w:t>tionally as well as financially and that she is not leading an independent life.</w:t>
      </w:r>
      <w:r w:rsidR="00614204">
        <w:rPr>
          <w:rFonts w:ascii="Book Antiqua" w:hAnsi="Book Antiqua" w:cs="Arial"/>
        </w:rPr>
        <w:t xml:space="preserve"> She has resumed her family life.</w:t>
      </w:r>
      <w:r>
        <w:rPr>
          <w:rFonts w:ascii="Book Antiqua" w:hAnsi="Book Antiqua" w:cs="Arial"/>
        </w:rPr>
        <w:t xml:space="preserve"> </w:t>
      </w:r>
      <w:r w:rsidR="00CB76C5">
        <w:rPr>
          <w:rFonts w:ascii="Book Antiqua" w:hAnsi="Book Antiqua" w:cs="Arial"/>
        </w:rPr>
        <w:t>Dependence for the purposes of studies is not to be discounted (</w:t>
      </w:r>
      <w:r w:rsidR="00CB76C5" w:rsidRPr="00CB76C5">
        <w:rPr>
          <w:rFonts w:ascii="Book Antiqua" w:hAnsi="Book Antiqua" w:cs="Arial"/>
          <w:i/>
        </w:rPr>
        <w:t>per</w:t>
      </w:r>
      <w:r w:rsidR="00CB76C5">
        <w:rPr>
          <w:rFonts w:ascii="Book Antiqua" w:hAnsi="Book Antiqua" w:cs="Arial"/>
        </w:rPr>
        <w:t xml:space="preserve"> </w:t>
      </w:r>
      <w:r w:rsidR="00CB76C5" w:rsidRPr="00CB76C5">
        <w:rPr>
          <w:rFonts w:ascii="Book Antiqua" w:hAnsi="Book Antiqua" w:cs="Arial"/>
          <w:b/>
          <w:i/>
          <w:u w:val="single"/>
        </w:rPr>
        <w:t>Pun and Others (Gurkhas-policy-article 8) Nepal</w:t>
      </w:r>
      <w:r w:rsidR="00CB76C5" w:rsidRPr="00CB76C5">
        <w:rPr>
          <w:rFonts w:ascii="Book Antiqua" w:hAnsi="Book Antiqua" w:cs="Arial"/>
          <w:b/>
          <w:i/>
        </w:rPr>
        <w:t xml:space="preserve"> [2011] UKUT 377</w:t>
      </w:r>
      <w:r w:rsidR="00CB76C5">
        <w:rPr>
          <w:rFonts w:ascii="Book Antiqua" w:hAnsi="Book Antiqua" w:cs="Arial"/>
        </w:rPr>
        <w:t xml:space="preserve"> (at [24]).</w:t>
      </w:r>
      <w:r>
        <w:rPr>
          <w:rFonts w:ascii="Book Antiqua" w:hAnsi="Book Antiqua" w:cs="Arial"/>
        </w:rPr>
        <w:t xml:space="preserve"> I note</w:t>
      </w:r>
      <w:r w:rsidR="005B2E5C">
        <w:rPr>
          <w:rFonts w:ascii="Book Antiqua" w:hAnsi="Book Antiqua" w:cs="Arial"/>
        </w:rPr>
        <w:t xml:space="preserve"> also</w:t>
      </w:r>
      <w:r>
        <w:rPr>
          <w:rFonts w:ascii="Book Antiqua" w:hAnsi="Book Antiqua" w:cs="Arial"/>
        </w:rPr>
        <w:t xml:space="preserve"> the cultural factors in Nepal under which unmarried children remain part of their parents’ household.</w:t>
      </w:r>
    </w:p>
    <w:p w:rsidR="00326621" w:rsidRDefault="00326621" w:rsidP="00326621">
      <w:pPr>
        <w:pStyle w:val="ListParagraph"/>
        <w:rPr>
          <w:rFonts w:ascii="Book Antiqua" w:hAnsi="Book Antiqua" w:cs="Arial"/>
        </w:rPr>
      </w:pPr>
    </w:p>
    <w:p w:rsidR="00CC550D" w:rsidRDefault="00EF2220" w:rsidP="002A15C6">
      <w:pPr>
        <w:numPr>
          <w:ilvl w:val="0"/>
          <w:numId w:val="3"/>
        </w:numPr>
        <w:ind w:left="567" w:hanging="567"/>
        <w:jc w:val="both"/>
        <w:rPr>
          <w:rFonts w:ascii="Book Antiqua" w:hAnsi="Book Antiqua" w:cs="Arial"/>
        </w:rPr>
      </w:pPr>
      <w:r>
        <w:rPr>
          <w:rFonts w:ascii="Book Antiqua" w:hAnsi="Book Antiqua" w:cs="Arial"/>
        </w:rPr>
        <w:t>It may be that a different tribunal might have reached a different co</w:t>
      </w:r>
      <w:r w:rsidR="00CC550D">
        <w:rPr>
          <w:rFonts w:ascii="Book Antiqua" w:hAnsi="Book Antiqua" w:cs="Arial"/>
        </w:rPr>
        <w:t>nclusion on the facts as to the existence of family life but I do not consider that the judge who, as indicated, directed himself to the correct tests to be applied, was not entitled for the reasons he gave to reach his conclusion on that matter.</w:t>
      </w:r>
    </w:p>
    <w:p w:rsidR="00CC550D" w:rsidRDefault="00CC550D" w:rsidP="00CC550D">
      <w:pPr>
        <w:pStyle w:val="ListParagraph"/>
        <w:rPr>
          <w:rFonts w:ascii="Book Antiqua" w:hAnsi="Book Antiqua" w:cs="Arial"/>
        </w:rPr>
      </w:pPr>
    </w:p>
    <w:p w:rsidR="00326621" w:rsidRDefault="00CC550D" w:rsidP="002A15C6">
      <w:pPr>
        <w:numPr>
          <w:ilvl w:val="0"/>
          <w:numId w:val="3"/>
        </w:numPr>
        <w:ind w:left="567" w:hanging="567"/>
        <w:jc w:val="both"/>
        <w:rPr>
          <w:rFonts w:ascii="Book Antiqua" w:hAnsi="Book Antiqua" w:cs="Arial"/>
        </w:rPr>
      </w:pPr>
      <w:r>
        <w:rPr>
          <w:rFonts w:ascii="Book Antiqua" w:hAnsi="Book Antiqua" w:cs="Arial"/>
        </w:rPr>
        <w:lastRenderedPageBreak/>
        <w:t xml:space="preserve"> </w:t>
      </w:r>
      <w:r w:rsidR="00326621">
        <w:rPr>
          <w:rFonts w:ascii="Book Antiqua" w:hAnsi="Book Antiqua" w:cs="Arial"/>
        </w:rPr>
        <w:t>Having advance</w:t>
      </w:r>
      <w:r>
        <w:rPr>
          <w:rFonts w:ascii="Book Antiqua" w:hAnsi="Book Antiqua" w:cs="Arial"/>
        </w:rPr>
        <w:t>d</w:t>
      </w:r>
      <w:r w:rsidR="00326621">
        <w:rPr>
          <w:rFonts w:ascii="Book Antiqua" w:hAnsi="Book Antiqua" w:cs="Arial"/>
        </w:rPr>
        <w:t xml:space="preserve"> to proportionality, as the grounds </w:t>
      </w:r>
      <w:r w:rsidR="00A164A3">
        <w:rPr>
          <w:rFonts w:ascii="Book Antiqua" w:hAnsi="Book Antiqua" w:cs="Arial"/>
        </w:rPr>
        <w:t>indicate, despite having noted s</w:t>
      </w:r>
      <w:r w:rsidR="00326621">
        <w:rPr>
          <w:rFonts w:ascii="Book Antiqua" w:hAnsi="Book Antiqua" w:cs="Arial"/>
        </w:rPr>
        <w:t>ection 117 of the 200</w:t>
      </w:r>
      <w:r w:rsidR="00A164A3">
        <w:rPr>
          <w:rFonts w:ascii="Book Antiqua" w:hAnsi="Book Antiqua" w:cs="Arial"/>
        </w:rPr>
        <w:t>2 Act the j</w:t>
      </w:r>
      <w:r w:rsidR="00326621">
        <w:rPr>
          <w:rFonts w:ascii="Book Antiqua" w:hAnsi="Book Antiqua" w:cs="Arial"/>
        </w:rPr>
        <w:t>udge did not consider</w:t>
      </w:r>
      <w:r w:rsidR="00A164A3">
        <w:rPr>
          <w:rFonts w:ascii="Book Antiqua" w:hAnsi="Book Antiqua" w:cs="Arial"/>
        </w:rPr>
        <w:t xml:space="preserve"> it</w:t>
      </w:r>
      <w:r w:rsidR="00326621">
        <w:rPr>
          <w:rFonts w:ascii="Book Antiqua" w:hAnsi="Book Antiqua" w:cs="Arial"/>
        </w:rPr>
        <w:t>.  The appellant may well, with the flight training, speak English, but she is not financially independent.  Such weighs against the appellant.  However, I do not find suc</w:t>
      </w:r>
      <w:r w:rsidR="0026622A">
        <w:rPr>
          <w:rFonts w:ascii="Book Antiqua" w:hAnsi="Book Antiqua" w:cs="Arial"/>
        </w:rPr>
        <w:t>h to be a material error.  The j</w:t>
      </w:r>
      <w:r w:rsidR="00326621">
        <w:rPr>
          <w:rFonts w:ascii="Book Antiqua" w:hAnsi="Book Antiqua" w:cs="Arial"/>
        </w:rPr>
        <w:t xml:space="preserve">udge noted </w:t>
      </w:r>
      <w:proofErr w:type="spellStart"/>
      <w:r w:rsidR="00326621" w:rsidRPr="00326621">
        <w:rPr>
          <w:rFonts w:ascii="Book Antiqua" w:hAnsi="Book Antiqua" w:cs="Arial"/>
          <w:b/>
          <w:i/>
          <w:u w:val="single"/>
        </w:rPr>
        <w:t>Ghising</w:t>
      </w:r>
      <w:proofErr w:type="spellEnd"/>
      <w:r w:rsidR="001B63A3">
        <w:rPr>
          <w:rFonts w:ascii="Book Antiqua" w:hAnsi="Book Antiqua" w:cs="Arial"/>
          <w:b/>
          <w:i/>
          <w:u w:val="single"/>
        </w:rPr>
        <w:t xml:space="preserve"> and others (Ghurkhas/BOCs:</w:t>
      </w:r>
      <w:r w:rsidR="008A78E3">
        <w:rPr>
          <w:rFonts w:ascii="Book Antiqua" w:hAnsi="Book Antiqua" w:cs="Arial"/>
          <w:b/>
          <w:i/>
          <w:u w:val="single"/>
        </w:rPr>
        <w:t xml:space="preserve"> historic wrong: weight)</w:t>
      </w:r>
      <w:r w:rsidR="008A78E3">
        <w:rPr>
          <w:rFonts w:ascii="Book Antiqua" w:hAnsi="Book Antiqua" w:cs="Arial"/>
          <w:b/>
          <w:i/>
        </w:rPr>
        <w:t xml:space="preserve"> [2013]</w:t>
      </w:r>
      <w:r w:rsidR="008A78E3" w:rsidRPr="008A78E3">
        <w:rPr>
          <w:rFonts w:ascii="Book Antiqua" w:hAnsi="Book Antiqua" w:cs="Arial"/>
          <w:b/>
          <w:i/>
        </w:rPr>
        <w:t xml:space="preserve"> UKUT 567</w:t>
      </w:r>
      <w:r w:rsidR="00326621">
        <w:rPr>
          <w:rFonts w:ascii="Book Antiqua" w:hAnsi="Book Antiqua" w:cs="Arial"/>
        </w:rPr>
        <w:t>:</w:t>
      </w:r>
    </w:p>
    <w:p w:rsidR="00983F69" w:rsidRDefault="00983F69" w:rsidP="00983F69">
      <w:pPr>
        <w:pStyle w:val="ListParagraph"/>
        <w:rPr>
          <w:rFonts w:ascii="Book Antiqua" w:hAnsi="Book Antiqua" w:cs="Arial"/>
        </w:rPr>
      </w:pPr>
    </w:p>
    <w:p w:rsidR="00983F69" w:rsidRPr="000E7A44" w:rsidRDefault="00983F69" w:rsidP="00983F69">
      <w:pPr>
        <w:ind w:left="567"/>
        <w:jc w:val="both"/>
        <w:rPr>
          <w:rFonts w:ascii="Book Antiqua" w:hAnsi="Book Antiqua" w:cs="Arial"/>
          <w:i/>
        </w:rPr>
      </w:pPr>
      <w:r>
        <w:rPr>
          <w:rFonts w:ascii="Book Antiqua" w:hAnsi="Book Antiqua" w:cs="Arial"/>
        </w:rPr>
        <w:t xml:space="preserve">              </w:t>
      </w:r>
      <w:r w:rsidR="000E7A44">
        <w:rPr>
          <w:rFonts w:ascii="Book Antiqua" w:hAnsi="Book Antiqua" w:cs="Arial"/>
        </w:rPr>
        <w:t>“</w:t>
      </w:r>
      <w:r>
        <w:rPr>
          <w:rFonts w:ascii="Book Antiqua" w:hAnsi="Book Antiqua" w:cs="Arial"/>
        </w:rPr>
        <w:t>[</w:t>
      </w:r>
      <w:r w:rsidRPr="000E7A44">
        <w:rPr>
          <w:rFonts w:ascii="Book Antiqua" w:hAnsi="Book Antiqua" w:cs="Arial"/>
          <w:i/>
        </w:rPr>
        <w:t xml:space="preserve">In </w:t>
      </w:r>
      <w:r w:rsidRPr="000E7A44">
        <w:rPr>
          <w:rFonts w:ascii="Book Antiqua" w:hAnsi="Book Antiqua" w:cs="Arial"/>
          <w:b/>
          <w:i/>
          <w:u w:val="single"/>
        </w:rPr>
        <w:t>Gurung and others</w:t>
      </w:r>
      <w:r w:rsidRPr="000E7A44">
        <w:rPr>
          <w:rFonts w:ascii="Book Antiqua" w:hAnsi="Book Antiqua" w:cs="Arial"/>
          <w:b/>
          <w:i/>
        </w:rPr>
        <w:t xml:space="preserve"> [</w:t>
      </w:r>
      <w:r w:rsidR="000E7A44" w:rsidRPr="000E7A44">
        <w:rPr>
          <w:rFonts w:ascii="Book Antiqua" w:hAnsi="Book Antiqua" w:cs="Arial"/>
          <w:b/>
          <w:i/>
        </w:rPr>
        <w:t xml:space="preserve">2013] EWCA </w:t>
      </w:r>
      <w:proofErr w:type="spellStart"/>
      <w:r w:rsidR="000E7A44" w:rsidRPr="000E7A44">
        <w:rPr>
          <w:rFonts w:ascii="Book Antiqua" w:hAnsi="Book Antiqua" w:cs="Arial"/>
          <w:b/>
          <w:i/>
        </w:rPr>
        <w:t>Civ</w:t>
      </w:r>
      <w:proofErr w:type="spellEnd"/>
      <w:r w:rsidR="000E7A44" w:rsidRPr="000E7A44">
        <w:rPr>
          <w:rFonts w:ascii="Book Antiqua" w:hAnsi="Book Antiqua" w:cs="Arial"/>
          <w:b/>
          <w:i/>
        </w:rPr>
        <w:t xml:space="preserve"> 8</w:t>
      </w:r>
      <w:r w:rsidR="000E7A44" w:rsidRPr="000E7A44">
        <w:rPr>
          <w:rFonts w:ascii="Book Antiqua" w:hAnsi="Book Antiqua" w:cs="Arial"/>
          <w:i/>
        </w:rPr>
        <w:t>] The Court held that, as in the</w:t>
      </w:r>
    </w:p>
    <w:p w:rsidR="000E7A44" w:rsidRPr="000E7A44" w:rsidRDefault="000E7A44" w:rsidP="00983F69">
      <w:pPr>
        <w:ind w:left="567"/>
        <w:jc w:val="both"/>
        <w:rPr>
          <w:rFonts w:ascii="Book Antiqua" w:hAnsi="Book Antiqua" w:cs="Arial"/>
          <w:i/>
        </w:rPr>
      </w:pPr>
      <w:r w:rsidRPr="000E7A44">
        <w:rPr>
          <w:rFonts w:ascii="Book Antiqua" w:hAnsi="Book Antiqua" w:cs="Arial"/>
          <w:i/>
        </w:rPr>
        <w:t xml:space="preserve">                case of British Overseas Citizens, the historic wrong suffered by Ghurkha ex</w:t>
      </w:r>
    </w:p>
    <w:p w:rsidR="000E7A44" w:rsidRPr="000E7A44" w:rsidRDefault="000E7A44" w:rsidP="00983F69">
      <w:pPr>
        <w:ind w:left="567"/>
        <w:jc w:val="both"/>
        <w:rPr>
          <w:rFonts w:ascii="Book Antiqua" w:hAnsi="Book Antiqua" w:cs="Arial"/>
          <w:i/>
        </w:rPr>
      </w:pPr>
      <w:r w:rsidRPr="000E7A44">
        <w:rPr>
          <w:rFonts w:ascii="Book Antiqua" w:hAnsi="Book Antiqua" w:cs="Arial"/>
          <w:i/>
        </w:rPr>
        <w:t xml:space="preserve">                servicemen should be given substantial weight.</w:t>
      </w:r>
      <w:r>
        <w:rPr>
          <w:rFonts w:ascii="Book Antiqua" w:hAnsi="Book Antiqua" w:cs="Arial"/>
          <w:i/>
        </w:rPr>
        <w:t>”</w:t>
      </w:r>
    </w:p>
    <w:p w:rsidR="000E7A44" w:rsidRDefault="000E7A44" w:rsidP="00983F69">
      <w:pPr>
        <w:ind w:left="567"/>
        <w:jc w:val="both"/>
        <w:rPr>
          <w:rFonts w:ascii="Book Antiqua" w:hAnsi="Book Antiqua" w:cs="Arial"/>
        </w:rPr>
      </w:pPr>
      <w:r>
        <w:rPr>
          <w:rFonts w:ascii="Book Antiqua" w:hAnsi="Book Antiqua" w:cs="Arial"/>
        </w:rPr>
        <w:t xml:space="preserve">                (headnote (3))</w:t>
      </w:r>
    </w:p>
    <w:p w:rsidR="00326621" w:rsidRDefault="00326621" w:rsidP="00326621">
      <w:pPr>
        <w:pStyle w:val="ListParagraph"/>
        <w:rPr>
          <w:rFonts w:ascii="Book Antiqua" w:hAnsi="Book Antiqua" w:cs="Arial"/>
        </w:rPr>
      </w:pPr>
    </w:p>
    <w:p w:rsidR="00326621" w:rsidRDefault="00326621" w:rsidP="003A6801">
      <w:pPr>
        <w:ind w:left="1440"/>
        <w:jc w:val="both"/>
        <w:rPr>
          <w:rFonts w:ascii="Book Antiqua" w:hAnsi="Book Antiqua" w:cs="Arial"/>
          <w:i/>
        </w:rPr>
      </w:pPr>
      <w:r w:rsidRPr="00A164A3">
        <w:rPr>
          <w:rFonts w:ascii="Book Antiqua" w:hAnsi="Book Antiqua" w:cs="Arial"/>
          <w:i/>
        </w:rPr>
        <w:t xml:space="preserve">“Where it is found that Article 8 is engaged and, but for the historic wrong, the appellant would have settled in the UK long ago, this will ordinarily determine the outcome of the Article 8 proportionality assessment in an appellant’s favour, where the matters relied on by the SSHD/ECO consist solely of the public interest and maintaining a firm immigration </w:t>
      </w:r>
      <w:r w:rsidR="00842E51" w:rsidRPr="00A164A3">
        <w:rPr>
          <w:rFonts w:ascii="Book Antiqua" w:hAnsi="Book Antiqua" w:cs="Arial"/>
          <w:i/>
        </w:rPr>
        <w:t>policy.”</w:t>
      </w:r>
    </w:p>
    <w:p w:rsidR="0026622A" w:rsidRPr="0026622A" w:rsidRDefault="0026622A" w:rsidP="003A6801">
      <w:pPr>
        <w:ind w:left="1440"/>
        <w:jc w:val="both"/>
        <w:rPr>
          <w:rFonts w:ascii="Book Antiqua" w:hAnsi="Book Antiqua" w:cs="Arial"/>
        </w:rPr>
      </w:pPr>
      <w:r w:rsidRPr="0026622A">
        <w:rPr>
          <w:rFonts w:ascii="Book Antiqua" w:hAnsi="Book Antiqua" w:cs="Arial"/>
        </w:rPr>
        <w:t>(headnote (4))</w:t>
      </w:r>
    </w:p>
    <w:p w:rsidR="00842E51" w:rsidRDefault="00842E51" w:rsidP="00326621">
      <w:pPr>
        <w:ind w:left="1440"/>
        <w:jc w:val="both"/>
        <w:rPr>
          <w:rFonts w:ascii="Book Antiqua" w:hAnsi="Book Antiqua" w:cs="Arial"/>
        </w:rPr>
      </w:pPr>
    </w:p>
    <w:p w:rsidR="003A6801" w:rsidRDefault="00A164A3" w:rsidP="002A15C6">
      <w:pPr>
        <w:numPr>
          <w:ilvl w:val="0"/>
          <w:numId w:val="3"/>
        </w:numPr>
        <w:ind w:left="567" w:hanging="567"/>
        <w:jc w:val="both"/>
        <w:rPr>
          <w:rFonts w:ascii="Book Antiqua" w:hAnsi="Book Antiqua" w:cs="Arial"/>
        </w:rPr>
      </w:pPr>
      <w:r>
        <w:rPr>
          <w:rFonts w:ascii="Book Antiqua" w:hAnsi="Book Antiqua" w:cs="Arial"/>
        </w:rPr>
        <w:t xml:space="preserve">I do not see that the grounds are </w:t>
      </w:r>
      <w:r w:rsidR="0026622A">
        <w:rPr>
          <w:rFonts w:ascii="Book Antiqua" w:hAnsi="Book Antiqua" w:cs="Arial"/>
        </w:rPr>
        <w:t>correct in stating that it was “</w:t>
      </w:r>
      <w:r w:rsidRPr="0026622A">
        <w:rPr>
          <w:rFonts w:ascii="Book Antiqua" w:hAnsi="Book Antiqua" w:cs="Arial"/>
          <w:i/>
        </w:rPr>
        <w:t>pure speculati</w:t>
      </w:r>
      <w:r w:rsidR="0026622A" w:rsidRPr="0026622A">
        <w:rPr>
          <w:rFonts w:ascii="Book Antiqua" w:hAnsi="Book Antiqua" w:cs="Arial"/>
          <w:i/>
        </w:rPr>
        <w:t>on</w:t>
      </w:r>
      <w:r w:rsidR="0026622A">
        <w:rPr>
          <w:rFonts w:ascii="Book Antiqua" w:hAnsi="Book Antiqua" w:cs="Arial"/>
        </w:rPr>
        <w:t>”</w:t>
      </w:r>
      <w:r>
        <w:rPr>
          <w:rFonts w:ascii="Book Antiqua" w:hAnsi="Book Antiqua" w:cs="Arial"/>
        </w:rPr>
        <w:t xml:space="preserve"> that the sponsor would have come to the UK on retirement but for the historic injustice. He states such in his witness statement (para 4). He was found to be credible.</w:t>
      </w:r>
    </w:p>
    <w:p w:rsidR="003A6801" w:rsidRDefault="003A6801" w:rsidP="003A6801">
      <w:pPr>
        <w:ind w:left="567"/>
        <w:jc w:val="both"/>
        <w:rPr>
          <w:rFonts w:ascii="Book Antiqua" w:hAnsi="Book Antiqua" w:cs="Arial"/>
        </w:rPr>
      </w:pPr>
    </w:p>
    <w:p w:rsidR="00BB20B9" w:rsidRDefault="003A6801" w:rsidP="002A15C6">
      <w:pPr>
        <w:numPr>
          <w:ilvl w:val="0"/>
          <w:numId w:val="3"/>
        </w:numPr>
        <w:ind w:left="567" w:hanging="567"/>
        <w:jc w:val="both"/>
        <w:rPr>
          <w:rFonts w:ascii="Book Antiqua" w:hAnsi="Book Antiqua" w:cs="Arial"/>
        </w:rPr>
      </w:pPr>
      <w:r>
        <w:rPr>
          <w:rFonts w:ascii="Book Antiqua" w:hAnsi="Book Antiqua" w:cs="Arial"/>
        </w:rPr>
        <w:t>The j</w:t>
      </w:r>
      <w:r w:rsidR="00842E51">
        <w:rPr>
          <w:rFonts w:ascii="Book Antiqua" w:hAnsi="Book Antiqua" w:cs="Arial"/>
        </w:rPr>
        <w:t>udge’s conclusion that the respondent’s decision was a disproportionate breach of the right to respect for family life was one that was open to him for the reasons he gave.</w:t>
      </w:r>
    </w:p>
    <w:p w:rsidR="00842E51" w:rsidRDefault="00842E51" w:rsidP="00842E51">
      <w:pPr>
        <w:jc w:val="both"/>
        <w:rPr>
          <w:rFonts w:ascii="Book Antiqua" w:hAnsi="Book Antiqua" w:cs="Arial"/>
        </w:rPr>
      </w:pPr>
    </w:p>
    <w:p w:rsidR="00842E51" w:rsidRPr="00842E51" w:rsidRDefault="00842E51" w:rsidP="00842E51">
      <w:pPr>
        <w:jc w:val="both"/>
        <w:rPr>
          <w:rFonts w:ascii="Book Antiqua" w:hAnsi="Book Antiqua" w:cs="Arial"/>
          <w:b/>
          <w:u w:val="single"/>
        </w:rPr>
      </w:pPr>
      <w:r w:rsidRPr="00842E51">
        <w:rPr>
          <w:rFonts w:ascii="Book Antiqua" w:hAnsi="Book Antiqua" w:cs="Arial"/>
          <w:b/>
          <w:u w:val="single"/>
        </w:rPr>
        <w:t>Summary of Decision</w:t>
      </w:r>
    </w:p>
    <w:p w:rsidR="002A15C6" w:rsidRDefault="002A15C6" w:rsidP="002A15C6">
      <w:pPr>
        <w:jc w:val="both"/>
        <w:rPr>
          <w:rFonts w:ascii="Book Antiqua" w:hAnsi="Book Antiqua" w:cs="Arial"/>
        </w:rPr>
      </w:pPr>
    </w:p>
    <w:p w:rsidR="00842E51" w:rsidRDefault="00842E51" w:rsidP="002A15C6">
      <w:pPr>
        <w:jc w:val="both"/>
        <w:rPr>
          <w:rFonts w:ascii="Book Antiqua" w:hAnsi="Book Antiqua" w:cs="Arial"/>
        </w:rPr>
      </w:pPr>
      <w:r>
        <w:rPr>
          <w:rFonts w:ascii="Book Antiqua" w:hAnsi="Book Antiqua" w:cs="Arial"/>
        </w:rPr>
        <w:t>The decision of the First-tier Tribunal shows no material error of law and that decision allowing the appeal on human rights grounds shall stand.</w:t>
      </w:r>
    </w:p>
    <w:p w:rsidR="00842E51" w:rsidRDefault="00842E51" w:rsidP="002A15C6">
      <w:pPr>
        <w:jc w:val="both"/>
        <w:rPr>
          <w:rFonts w:ascii="Book Antiqua" w:hAnsi="Book Antiqua" w:cs="Arial"/>
        </w:rPr>
      </w:pPr>
    </w:p>
    <w:p w:rsidR="00842E51" w:rsidRDefault="00842E51" w:rsidP="002A15C6">
      <w:pPr>
        <w:jc w:val="both"/>
        <w:rPr>
          <w:rFonts w:ascii="Book Antiqua" w:hAnsi="Book Antiqua" w:cs="Arial"/>
        </w:rPr>
      </w:pPr>
      <w:r>
        <w:rPr>
          <w:rFonts w:ascii="Book Antiqua" w:hAnsi="Book Antiqua" w:cs="Arial"/>
        </w:rPr>
        <w:t>No anonymity order made.</w:t>
      </w:r>
    </w:p>
    <w:p w:rsidR="00933B65" w:rsidRPr="00F97703" w:rsidRDefault="00933B65" w:rsidP="00933B65">
      <w:pPr>
        <w:ind w:left="540" w:hanging="540"/>
        <w:jc w:val="both"/>
        <w:rPr>
          <w:rFonts w:ascii="Book Antiqua" w:hAnsi="Book Antiqua" w:cs="Arial"/>
        </w:rPr>
      </w:pPr>
    </w:p>
    <w:p w:rsidR="00933B65" w:rsidRPr="00F97703" w:rsidRDefault="00933B65" w:rsidP="00933B65">
      <w:pPr>
        <w:ind w:left="540" w:hanging="540"/>
        <w:jc w:val="both"/>
        <w:rPr>
          <w:rFonts w:ascii="Book Antiqua" w:hAnsi="Book Antiqua" w:cs="Arial"/>
        </w:rPr>
      </w:pPr>
    </w:p>
    <w:p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proofErr w:type="gramStart"/>
      <w:r w:rsidRPr="00F97703">
        <w:rPr>
          <w:rFonts w:ascii="Book Antiqua" w:hAnsi="Book Antiqua" w:cs="Arial"/>
        </w:rPr>
        <w:t>Date</w:t>
      </w:r>
      <w:r w:rsidR="00643ED8">
        <w:rPr>
          <w:rFonts w:ascii="Book Antiqua" w:hAnsi="Book Antiqua" w:cs="Arial"/>
        </w:rPr>
        <w:t xml:space="preserve">  8</w:t>
      </w:r>
      <w:proofErr w:type="gramEnd"/>
      <w:r w:rsidR="00643ED8">
        <w:rPr>
          <w:rFonts w:ascii="Book Antiqua" w:hAnsi="Book Antiqua" w:cs="Arial"/>
        </w:rPr>
        <w:t xml:space="preserve"> June 2018</w:t>
      </w:r>
    </w:p>
    <w:p w:rsidR="0034540B" w:rsidRDefault="0034540B" w:rsidP="0034540B">
      <w:pPr>
        <w:tabs>
          <w:tab w:val="left" w:pos="2520"/>
        </w:tabs>
        <w:rPr>
          <w:rFonts w:ascii="Book Antiqua" w:hAnsi="Book Antiqua" w:cs="Arial"/>
          <w:color w:val="000000"/>
        </w:rPr>
      </w:pPr>
    </w:p>
    <w:p w:rsidR="00BF2ED8" w:rsidRPr="000619F9" w:rsidRDefault="00933B65" w:rsidP="006F17F4">
      <w:pPr>
        <w:tabs>
          <w:tab w:val="left" w:pos="2520"/>
        </w:tabs>
        <w:rPr>
          <w:rFonts w:ascii="Book Antiqua" w:hAnsi="Book Antiqua" w:cs="Arial"/>
          <w:color w:val="000000"/>
        </w:rPr>
      </w:pPr>
      <w:r>
        <w:rPr>
          <w:rFonts w:ascii="Book Antiqua" w:hAnsi="Book Antiqua" w:cs="Arial"/>
          <w:color w:val="000000"/>
        </w:rPr>
        <w:t xml:space="preserve">Upper Tribunal </w:t>
      </w:r>
      <w:r w:rsidR="00025F0F">
        <w:rPr>
          <w:rFonts w:ascii="Book Antiqua" w:hAnsi="Book Antiqua" w:cs="Arial"/>
          <w:color w:val="000000"/>
        </w:rPr>
        <w:t>Judge Conway</w:t>
      </w:r>
    </w:p>
    <w:sectPr w:rsidR="00BF2ED8" w:rsidRPr="000619F9" w:rsidSect="00682797">
      <w:headerReference w:type="default" r:id="rId8"/>
      <w:footerReference w:type="default" r:id="rId9"/>
      <w:footerReference w:type="first" r:id="rId10"/>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D99" w:rsidRDefault="00E92D99">
      <w:r>
        <w:separator/>
      </w:r>
    </w:p>
  </w:endnote>
  <w:endnote w:type="continuationSeparator" w:id="0">
    <w:p w:rsidR="00E92D99" w:rsidRDefault="00E92D99">
      <w:r>
        <w:continuationSeparator/>
      </w:r>
    </w:p>
  </w:endnote>
  <w:endnote w:type="continuationNotice" w:id="1">
    <w:p w:rsidR="00E92D99" w:rsidRDefault="00E92D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1D9" w:rsidRPr="00682797" w:rsidRDefault="000D61D9" w:rsidP="00614E94">
    <w:pPr>
      <w:pStyle w:val="Footer"/>
      <w:jc w:val="center"/>
      <w:rPr>
        <w:rFonts w:ascii="Book Antiqua" w:hAnsi="Book Antiqua" w:cs="Arial"/>
      </w:rPr>
    </w:pPr>
    <w:r w:rsidRPr="00682797">
      <w:rPr>
        <w:rStyle w:val="PageNumber"/>
        <w:rFonts w:ascii="Book Antiqua" w:hAnsi="Book Antiqua" w:cs="Arial"/>
      </w:rPr>
      <w:fldChar w:fldCharType="begin"/>
    </w:r>
    <w:r w:rsidRPr="00682797">
      <w:rPr>
        <w:rStyle w:val="PageNumber"/>
        <w:rFonts w:ascii="Book Antiqua" w:hAnsi="Book Antiqua" w:cs="Arial"/>
      </w:rPr>
      <w:instrText xml:space="preserve"> PAGE </w:instrText>
    </w:r>
    <w:r w:rsidRPr="00682797">
      <w:rPr>
        <w:rStyle w:val="PageNumber"/>
        <w:rFonts w:ascii="Book Antiqua" w:hAnsi="Book Antiqua" w:cs="Arial"/>
      </w:rPr>
      <w:fldChar w:fldCharType="separate"/>
    </w:r>
    <w:r w:rsidR="00836A94">
      <w:rPr>
        <w:rStyle w:val="PageNumber"/>
        <w:rFonts w:ascii="Book Antiqua" w:hAnsi="Book Antiqua" w:cs="Arial"/>
        <w:noProof/>
      </w:rPr>
      <w:t>6</w:t>
    </w:r>
    <w:r w:rsidRPr="0068279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1D9" w:rsidRPr="00682797" w:rsidRDefault="000D61D9" w:rsidP="00614E94">
    <w:pPr>
      <w:jc w:val="center"/>
      <w:rPr>
        <w:rFonts w:ascii="Book Antiqua" w:hAnsi="Book Antiqua" w:cs="Arial"/>
        <w:b/>
      </w:rPr>
    </w:pPr>
    <w:r w:rsidRPr="00682797">
      <w:rPr>
        <w:rFonts w:ascii="Book Antiqua" w:hAnsi="Book Antiqua" w:cs="Arial"/>
        <w:b/>
        <w:spacing w:val="-6"/>
      </w:rPr>
      <w:t>©</w:t>
    </w:r>
    <w:r w:rsidRPr="0068279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D99" w:rsidRDefault="00E92D99">
      <w:r>
        <w:separator/>
      </w:r>
    </w:p>
  </w:footnote>
  <w:footnote w:type="continuationSeparator" w:id="0">
    <w:p w:rsidR="00E92D99" w:rsidRDefault="00E92D99">
      <w:r>
        <w:continuationSeparator/>
      </w:r>
    </w:p>
  </w:footnote>
  <w:footnote w:type="continuationNotice" w:id="1">
    <w:p w:rsidR="00E92D99" w:rsidRDefault="00E92D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1D9" w:rsidRDefault="000D61D9" w:rsidP="00614E94">
    <w:pPr>
      <w:pStyle w:val="Header"/>
      <w:jc w:val="right"/>
      <w:rPr>
        <w:rFonts w:ascii="Book Antiqua" w:hAnsi="Book Antiqua" w:cs="Arial"/>
        <w:color w:val="000000"/>
        <w:sz w:val="16"/>
        <w:szCs w:val="16"/>
      </w:rPr>
    </w:pPr>
    <w:r w:rsidRPr="002A15C6">
      <w:rPr>
        <w:rFonts w:ascii="Book Antiqua" w:hAnsi="Book Antiqua" w:cs="Arial"/>
        <w:sz w:val="16"/>
        <w:szCs w:val="16"/>
      </w:rPr>
      <w:t xml:space="preserve">Appeal Number: </w:t>
    </w:r>
    <w:r w:rsidRPr="002A15C6">
      <w:rPr>
        <w:rFonts w:ascii="Book Antiqua" w:hAnsi="Book Antiqua" w:cs="Arial"/>
        <w:color w:val="000000"/>
        <w:sz w:val="16"/>
        <w:szCs w:val="16"/>
      </w:rPr>
      <w:t>HU/01045/2016</w:t>
    </w:r>
  </w:p>
  <w:p w:rsidR="00682797" w:rsidRPr="002A15C6" w:rsidRDefault="00682797"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50C5"/>
    <w:multiLevelType w:val="hybridMultilevel"/>
    <w:tmpl w:val="1E08830A"/>
    <w:lvl w:ilvl="0" w:tplc="827C7522">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42F7"/>
    <w:rsid w:val="00014C0E"/>
    <w:rsid w:val="00023D29"/>
    <w:rsid w:val="00025F0F"/>
    <w:rsid w:val="000265CC"/>
    <w:rsid w:val="00031202"/>
    <w:rsid w:val="00041BE9"/>
    <w:rsid w:val="00042283"/>
    <w:rsid w:val="0008236B"/>
    <w:rsid w:val="00091185"/>
    <w:rsid w:val="000B5D22"/>
    <w:rsid w:val="000D61D9"/>
    <w:rsid w:val="000D6CEE"/>
    <w:rsid w:val="000E3C1A"/>
    <w:rsid w:val="000E7A44"/>
    <w:rsid w:val="00101FC2"/>
    <w:rsid w:val="00112B05"/>
    <w:rsid w:val="00121FE6"/>
    <w:rsid w:val="00126DF1"/>
    <w:rsid w:val="00160793"/>
    <w:rsid w:val="0017612F"/>
    <w:rsid w:val="00180266"/>
    <w:rsid w:val="00181DDC"/>
    <w:rsid w:val="001832F8"/>
    <w:rsid w:val="00185EAE"/>
    <w:rsid w:val="0019082C"/>
    <w:rsid w:val="001B63A3"/>
    <w:rsid w:val="001C0DFD"/>
    <w:rsid w:val="001D75B7"/>
    <w:rsid w:val="0020041E"/>
    <w:rsid w:val="0020234F"/>
    <w:rsid w:val="002137C8"/>
    <w:rsid w:val="0022452C"/>
    <w:rsid w:val="002327A5"/>
    <w:rsid w:val="0026622A"/>
    <w:rsid w:val="00266FFE"/>
    <w:rsid w:val="00274350"/>
    <w:rsid w:val="00281261"/>
    <w:rsid w:val="0029403C"/>
    <w:rsid w:val="002A15C6"/>
    <w:rsid w:val="002B3AC8"/>
    <w:rsid w:val="002D4296"/>
    <w:rsid w:val="002F3BEB"/>
    <w:rsid w:val="00326621"/>
    <w:rsid w:val="00332DFB"/>
    <w:rsid w:val="0034540B"/>
    <w:rsid w:val="003769E7"/>
    <w:rsid w:val="003838D3"/>
    <w:rsid w:val="0039796A"/>
    <w:rsid w:val="003A2B97"/>
    <w:rsid w:val="003A6801"/>
    <w:rsid w:val="003C408D"/>
    <w:rsid w:val="003D49EB"/>
    <w:rsid w:val="003D7DC1"/>
    <w:rsid w:val="003F55EA"/>
    <w:rsid w:val="00402A16"/>
    <w:rsid w:val="00404806"/>
    <w:rsid w:val="004171D0"/>
    <w:rsid w:val="00433BB9"/>
    <w:rsid w:val="0047063F"/>
    <w:rsid w:val="00470937"/>
    <w:rsid w:val="004A012D"/>
    <w:rsid w:val="004A289F"/>
    <w:rsid w:val="004A5827"/>
    <w:rsid w:val="004B040F"/>
    <w:rsid w:val="004B69ED"/>
    <w:rsid w:val="004C5989"/>
    <w:rsid w:val="004E01C2"/>
    <w:rsid w:val="004F3024"/>
    <w:rsid w:val="005018A4"/>
    <w:rsid w:val="005232B5"/>
    <w:rsid w:val="0057020B"/>
    <w:rsid w:val="005B2E5C"/>
    <w:rsid w:val="005E306C"/>
    <w:rsid w:val="006008DE"/>
    <w:rsid w:val="00614204"/>
    <w:rsid w:val="00614E94"/>
    <w:rsid w:val="0061689F"/>
    <w:rsid w:val="00631E82"/>
    <w:rsid w:val="0063242E"/>
    <w:rsid w:val="0063313F"/>
    <w:rsid w:val="00643ED8"/>
    <w:rsid w:val="006748D6"/>
    <w:rsid w:val="00680A32"/>
    <w:rsid w:val="00682797"/>
    <w:rsid w:val="006A607E"/>
    <w:rsid w:val="006B3731"/>
    <w:rsid w:val="006B633C"/>
    <w:rsid w:val="006C3B88"/>
    <w:rsid w:val="006C495F"/>
    <w:rsid w:val="006C73CE"/>
    <w:rsid w:val="006F143B"/>
    <w:rsid w:val="006F17F4"/>
    <w:rsid w:val="00714BC3"/>
    <w:rsid w:val="0076419F"/>
    <w:rsid w:val="00765C51"/>
    <w:rsid w:val="007A7333"/>
    <w:rsid w:val="007D5D52"/>
    <w:rsid w:val="007E4478"/>
    <w:rsid w:val="007F0995"/>
    <w:rsid w:val="007F2D17"/>
    <w:rsid w:val="008149E5"/>
    <w:rsid w:val="00836A94"/>
    <w:rsid w:val="00841BE5"/>
    <w:rsid w:val="00842E51"/>
    <w:rsid w:val="00853A2C"/>
    <w:rsid w:val="008653E4"/>
    <w:rsid w:val="008773C6"/>
    <w:rsid w:val="008832E8"/>
    <w:rsid w:val="00887F50"/>
    <w:rsid w:val="00891BE3"/>
    <w:rsid w:val="008A3F8D"/>
    <w:rsid w:val="008A78E3"/>
    <w:rsid w:val="00900455"/>
    <w:rsid w:val="009067F6"/>
    <w:rsid w:val="00920B15"/>
    <w:rsid w:val="00932E18"/>
    <w:rsid w:val="00933B65"/>
    <w:rsid w:val="00942951"/>
    <w:rsid w:val="00964EA3"/>
    <w:rsid w:val="009701EB"/>
    <w:rsid w:val="009805DF"/>
    <w:rsid w:val="00983F69"/>
    <w:rsid w:val="00991496"/>
    <w:rsid w:val="009A7216"/>
    <w:rsid w:val="009B0702"/>
    <w:rsid w:val="009B2D50"/>
    <w:rsid w:val="009D328D"/>
    <w:rsid w:val="00A164A3"/>
    <w:rsid w:val="00A42B65"/>
    <w:rsid w:val="00A5523E"/>
    <w:rsid w:val="00A64955"/>
    <w:rsid w:val="00A86A8D"/>
    <w:rsid w:val="00A86B80"/>
    <w:rsid w:val="00AA0959"/>
    <w:rsid w:val="00AC5481"/>
    <w:rsid w:val="00AC5C04"/>
    <w:rsid w:val="00AF37C0"/>
    <w:rsid w:val="00B026C2"/>
    <w:rsid w:val="00B1737B"/>
    <w:rsid w:val="00B402A2"/>
    <w:rsid w:val="00B45951"/>
    <w:rsid w:val="00B50AD4"/>
    <w:rsid w:val="00B50C2E"/>
    <w:rsid w:val="00B626F2"/>
    <w:rsid w:val="00B73865"/>
    <w:rsid w:val="00B94499"/>
    <w:rsid w:val="00B94978"/>
    <w:rsid w:val="00BA0230"/>
    <w:rsid w:val="00BA58FF"/>
    <w:rsid w:val="00BB20B9"/>
    <w:rsid w:val="00BC2CD0"/>
    <w:rsid w:val="00BE796B"/>
    <w:rsid w:val="00BF2ED8"/>
    <w:rsid w:val="00C06D9E"/>
    <w:rsid w:val="00C11E7A"/>
    <w:rsid w:val="00C27071"/>
    <w:rsid w:val="00C31AFF"/>
    <w:rsid w:val="00C52169"/>
    <w:rsid w:val="00C71410"/>
    <w:rsid w:val="00C72908"/>
    <w:rsid w:val="00C771CF"/>
    <w:rsid w:val="00C82B52"/>
    <w:rsid w:val="00C83668"/>
    <w:rsid w:val="00CB76C5"/>
    <w:rsid w:val="00CC550D"/>
    <w:rsid w:val="00CD6D45"/>
    <w:rsid w:val="00D04426"/>
    <w:rsid w:val="00D31422"/>
    <w:rsid w:val="00D35582"/>
    <w:rsid w:val="00D44A14"/>
    <w:rsid w:val="00D45AB3"/>
    <w:rsid w:val="00D4684B"/>
    <w:rsid w:val="00D51C95"/>
    <w:rsid w:val="00DE58CA"/>
    <w:rsid w:val="00E00C91"/>
    <w:rsid w:val="00E92D99"/>
    <w:rsid w:val="00EE435A"/>
    <w:rsid w:val="00EF0FBA"/>
    <w:rsid w:val="00EF2220"/>
    <w:rsid w:val="00EF6F1E"/>
    <w:rsid w:val="00F04ED9"/>
    <w:rsid w:val="00F176CD"/>
    <w:rsid w:val="00F648C0"/>
    <w:rsid w:val="00F73F12"/>
    <w:rsid w:val="00F86A34"/>
    <w:rsid w:val="00F907A2"/>
    <w:rsid w:val="00F954A5"/>
    <w:rsid w:val="00FA0A2E"/>
    <w:rsid w:val="00FB0516"/>
    <w:rsid w:val="00FD5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650F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8A3F8D"/>
    <w:pPr>
      <w:ind w:left="720"/>
    </w:pPr>
  </w:style>
  <w:style w:type="paragraph" w:styleId="BalloonText">
    <w:name w:val="Balloon Text"/>
    <w:basedOn w:val="Normal"/>
    <w:link w:val="BalloonTextChar"/>
    <w:rsid w:val="00614204"/>
    <w:rPr>
      <w:rFonts w:ascii="Segoe UI" w:hAnsi="Segoe UI" w:cs="Segoe UI"/>
      <w:sz w:val="18"/>
      <w:szCs w:val="18"/>
    </w:rPr>
  </w:style>
  <w:style w:type="character" w:customStyle="1" w:styleId="BalloonTextChar">
    <w:name w:val="Balloon Text Char"/>
    <w:link w:val="BalloonText"/>
    <w:rsid w:val="006142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2547</Words>
  <Characters>12473</Characters>
  <Application>Microsoft Office Word</Application>
  <DocSecurity>0</DocSecurity>
  <Lines>103</Lines>
  <Paragraphs>29</Paragraphs>
  <ScaleCrop>false</ScaleCrop>
  <Company/>
  <LinksUpToDate>false</LinksUpToDate>
  <CharactersWithSpaces>14991</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2018-07-04T11:48:00Z</dcterms:created>
  <dcterms:modified xsi:type="dcterms:W3CDTF">2018-07-04T11:48:00Z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