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26568D" w:rsidP="00933B65">
      <w:pPr>
        <w:jc w:val="center"/>
        <w:rPr>
          <w:rFonts w:ascii="Book Antiqua" w:hAnsi="Book Antiqua" w:cs="Arial"/>
          <w:color w:val="000000"/>
        </w:rPr>
      </w:pPr>
      <w:bookmarkStart w:id="0" w:name="_GoBack"/>
      <w:bookmarkEnd w:id="0"/>
      <w:r>
        <w:rPr>
          <w:noProof/>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7A11C8" w:rsidRPr="00F97703" w:rsidRDefault="007A11C8" w:rsidP="007A11C8">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3D1F9B">
        <w:rPr>
          <w:rFonts w:ascii="Book Antiqua" w:hAnsi="Book Antiqua" w:cs="Arial"/>
          <w:color w:val="000000"/>
        </w:rPr>
        <w:t>HU/01217/2017</w:t>
      </w:r>
    </w:p>
    <w:p w:rsidR="003D1F9B" w:rsidRPr="00F97703" w:rsidRDefault="003D1F9B" w:rsidP="003D1F9B">
      <w:pPr>
        <w:tabs>
          <w:tab w:val="right" w:pos="9720"/>
        </w:tabs>
        <w:ind w:right="-82"/>
        <w:jc w:val="right"/>
        <w:rPr>
          <w:rFonts w:ascii="Book Antiqua" w:hAnsi="Book Antiqua" w:cs="Arial"/>
          <w:color w:val="000000"/>
        </w:rPr>
      </w:pPr>
      <w:r>
        <w:rPr>
          <w:rFonts w:ascii="Book Antiqua" w:hAnsi="Book Antiqua" w:cs="Arial"/>
          <w:color w:val="000000"/>
        </w:rPr>
        <w:t>HU/01218/2017</w:t>
      </w:r>
    </w:p>
    <w:p w:rsidR="00933B65" w:rsidRDefault="00933B65" w:rsidP="00933B65">
      <w:pPr>
        <w:jc w:val="center"/>
        <w:rPr>
          <w:rFonts w:ascii="Book Antiqua" w:hAnsi="Book Antiqua" w:cs="Arial"/>
          <w:color w:val="000000"/>
        </w:rPr>
      </w:pPr>
    </w:p>
    <w:p w:rsidR="007A11C8" w:rsidRPr="00F97703" w:rsidRDefault="007A11C8"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405694" w:rsidRDefault="00405694" w:rsidP="00405694">
      <w:pPr>
        <w:jc w:val="center"/>
        <w:rPr>
          <w:rFonts w:ascii="Book Antiqua" w:hAnsi="Book Antiqua" w:cs="Arial"/>
          <w:b/>
          <w:u w:val="single"/>
        </w:rPr>
      </w:pPr>
    </w:p>
    <w:p w:rsidR="007A11C8" w:rsidRPr="00F97703" w:rsidRDefault="007A11C8" w:rsidP="00405694">
      <w:pPr>
        <w:jc w:val="center"/>
        <w:rPr>
          <w:rFonts w:ascii="Book Antiqua" w:hAnsi="Book Antiqua" w:cs="Arial"/>
          <w:b/>
          <w:u w:val="single"/>
        </w:rPr>
      </w:pPr>
    </w:p>
    <w:tbl>
      <w:tblPr>
        <w:tblW w:w="0" w:type="auto"/>
        <w:tblLook w:val="01E0" w:firstRow="1" w:lastRow="1" w:firstColumn="1" w:lastColumn="1" w:noHBand="0" w:noVBand="0"/>
      </w:tblPr>
      <w:tblGrid>
        <w:gridCol w:w="5915"/>
        <w:gridCol w:w="3723"/>
      </w:tblGrid>
      <w:tr w:rsidR="00405694" w:rsidRPr="00AB1DC6" w:rsidTr="00AB1DC6">
        <w:tc>
          <w:tcPr>
            <w:tcW w:w="6048"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3780" w:type="dxa"/>
            <w:shd w:val="clear" w:color="auto" w:fill="auto"/>
          </w:tcPr>
          <w:p w:rsidR="00405694" w:rsidRPr="00AB1DC6" w:rsidRDefault="00405694" w:rsidP="00AB1DC6">
            <w:pPr>
              <w:jc w:val="both"/>
              <w:rPr>
                <w:rFonts w:ascii="Book Antiqua" w:hAnsi="Book Antiqua" w:cs="Arial"/>
                <w:b/>
                <w:color w:val="000000"/>
              </w:rPr>
            </w:pPr>
            <w:r w:rsidRPr="00AB1DC6">
              <w:rPr>
                <w:rFonts w:ascii="Book Antiqua" w:hAnsi="Book Antiqua" w:cs="Arial"/>
                <w:b/>
                <w:color w:val="000000"/>
              </w:rPr>
              <w:t>Decision Promulgated</w:t>
            </w:r>
          </w:p>
        </w:tc>
      </w:tr>
      <w:tr w:rsidR="00405694" w:rsidRPr="00AB1DC6" w:rsidTr="00AB1DC6">
        <w:tc>
          <w:tcPr>
            <w:tcW w:w="6048"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3D1F9B">
              <w:rPr>
                <w:rFonts w:ascii="Book Antiqua" w:hAnsi="Book Antiqua" w:cs="Arial"/>
                <w:b/>
              </w:rPr>
              <w:t>20 August 2018</w:t>
            </w:r>
          </w:p>
        </w:tc>
        <w:tc>
          <w:tcPr>
            <w:tcW w:w="3780" w:type="dxa"/>
            <w:shd w:val="clear" w:color="auto" w:fill="auto"/>
          </w:tcPr>
          <w:p w:rsidR="00405694" w:rsidRPr="00AB1DC6" w:rsidRDefault="0026568D" w:rsidP="00AB1DC6">
            <w:pPr>
              <w:jc w:val="both"/>
              <w:rPr>
                <w:rFonts w:ascii="Book Antiqua" w:hAnsi="Book Antiqua" w:cs="Arial"/>
                <w:b/>
              </w:rPr>
            </w:pPr>
            <w:r>
              <w:rPr>
                <w:rFonts w:ascii="Book Antiqua" w:hAnsi="Book Antiqua" w:cs="Arial"/>
                <w:b/>
              </w:rPr>
              <w:t>On 29 August 2018</w:t>
            </w:r>
          </w:p>
        </w:tc>
      </w:tr>
      <w:tr w:rsidR="00405694" w:rsidRPr="00AB1DC6" w:rsidTr="00AB1DC6">
        <w:tc>
          <w:tcPr>
            <w:tcW w:w="6048" w:type="dxa"/>
            <w:shd w:val="clear" w:color="auto" w:fill="auto"/>
          </w:tcPr>
          <w:p w:rsidR="00405694" w:rsidRPr="00AB1DC6" w:rsidRDefault="00405694" w:rsidP="00AB1DC6">
            <w:pPr>
              <w:jc w:val="both"/>
              <w:rPr>
                <w:rFonts w:ascii="Book Antiqua" w:hAnsi="Book Antiqua" w:cs="Arial"/>
                <w:b/>
              </w:rPr>
            </w:pPr>
          </w:p>
        </w:tc>
        <w:tc>
          <w:tcPr>
            <w:tcW w:w="3780" w:type="dxa"/>
            <w:shd w:val="clear" w:color="auto" w:fill="auto"/>
          </w:tcPr>
          <w:p w:rsidR="00405694" w:rsidRPr="00AB1DC6" w:rsidRDefault="00405694" w:rsidP="00AB1DC6">
            <w:pPr>
              <w:jc w:val="both"/>
              <w:rPr>
                <w:rFonts w:ascii="Book Antiqua" w:hAnsi="Book Antiqua" w:cs="Arial"/>
                <w:b/>
              </w:rPr>
            </w:pPr>
          </w:p>
        </w:tc>
      </w:tr>
    </w:tbl>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294F41" w:rsidRPr="00F97703" w:rsidRDefault="00294F41"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294F41" w:rsidRDefault="00294F41" w:rsidP="00933B65">
      <w:pPr>
        <w:jc w:val="center"/>
        <w:rPr>
          <w:rFonts w:ascii="Book Antiqua" w:hAnsi="Book Antiqua" w:cs="Arial"/>
          <w:b/>
        </w:rPr>
      </w:pPr>
    </w:p>
    <w:p w:rsidR="00933B65" w:rsidRDefault="003D1F9B" w:rsidP="00933B65">
      <w:pPr>
        <w:jc w:val="center"/>
        <w:rPr>
          <w:rFonts w:ascii="Book Antiqua" w:hAnsi="Book Antiqua" w:cs="Arial"/>
          <w:b/>
        </w:rPr>
      </w:pPr>
      <w:r>
        <w:rPr>
          <w:rFonts w:ascii="Book Antiqua" w:hAnsi="Book Antiqua" w:cs="Arial"/>
          <w:b/>
        </w:rPr>
        <w:t xml:space="preserve">SITA </w:t>
      </w:r>
      <w:r w:rsidR="009348DE">
        <w:rPr>
          <w:rFonts w:ascii="Book Antiqua" w:hAnsi="Book Antiqua" w:cs="Arial"/>
          <w:b/>
        </w:rPr>
        <w:t>[</w:t>
      </w:r>
      <w:r>
        <w:rPr>
          <w:rFonts w:ascii="Book Antiqua" w:hAnsi="Book Antiqua" w:cs="Arial"/>
          <w:b/>
        </w:rPr>
        <w:t>B</w:t>
      </w:r>
      <w:r w:rsidR="009348DE">
        <w:rPr>
          <w:rFonts w:ascii="Book Antiqua" w:hAnsi="Book Antiqua" w:cs="Arial"/>
          <w:b/>
        </w:rPr>
        <w:t>]</w:t>
      </w:r>
    </w:p>
    <w:p w:rsidR="003D1F9B" w:rsidRDefault="003D1F9B" w:rsidP="00933B65">
      <w:pPr>
        <w:jc w:val="center"/>
        <w:rPr>
          <w:rFonts w:ascii="Book Antiqua" w:hAnsi="Book Antiqua" w:cs="Arial"/>
          <w:b/>
        </w:rPr>
      </w:pPr>
      <w:r>
        <w:rPr>
          <w:rFonts w:ascii="Book Antiqua" w:hAnsi="Book Antiqua" w:cs="Arial"/>
          <w:b/>
        </w:rPr>
        <w:t xml:space="preserve">RAJENDRA </w:t>
      </w:r>
      <w:r w:rsidR="009348DE">
        <w:rPr>
          <w:rFonts w:ascii="Book Antiqua" w:hAnsi="Book Antiqua" w:cs="Arial"/>
          <w:b/>
        </w:rPr>
        <w:t>[</w:t>
      </w:r>
      <w:r>
        <w:rPr>
          <w:rFonts w:ascii="Book Antiqua" w:hAnsi="Book Antiqua" w:cs="Arial"/>
          <w:b/>
        </w:rPr>
        <w:t>D</w:t>
      </w:r>
      <w:r w:rsidR="009348DE">
        <w:rPr>
          <w:rFonts w:ascii="Book Antiqua" w:hAnsi="Book Antiqua" w:cs="Arial"/>
          <w:b/>
        </w:rPr>
        <w:t>]</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294F41" w:rsidRPr="00F97703" w:rsidRDefault="00294F41"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7A11C8" w:rsidRPr="00F97703" w:rsidRDefault="007A11C8"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EC4C92">
        <w:rPr>
          <w:rFonts w:ascii="Book Antiqua" w:hAnsi="Book Antiqua" w:cs="Arial"/>
        </w:rPr>
        <w:t>Ms P. Glass, instructed by Shah Jalal Solicitors</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EC4C92">
        <w:rPr>
          <w:rFonts w:ascii="Book Antiqua" w:hAnsi="Book Antiqua" w:cs="Arial"/>
        </w:rPr>
        <w:t xml:space="preserve">Ms A. </w:t>
      </w:r>
      <w:proofErr w:type="spellStart"/>
      <w:r w:rsidR="00EC4C92">
        <w:rPr>
          <w:rFonts w:ascii="Book Antiqua" w:hAnsi="Book Antiqua" w:cs="Arial"/>
        </w:rPr>
        <w:t>Fijiwala</w:t>
      </w:r>
      <w:proofErr w:type="spellEnd"/>
      <w:r w:rsidR="00EC4C92">
        <w:rPr>
          <w:rFonts w:ascii="Book Antiqua" w:hAnsi="Book Antiqua" w:cs="Arial"/>
        </w:rPr>
        <w:t>, Senior Home Office Presenting Officer</w:t>
      </w:r>
    </w:p>
    <w:p w:rsidR="00405694" w:rsidRDefault="00405694" w:rsidP="00933B65">
      <w:pPr>
        <w:rPr>
          <w:rFonts w:ascii="Book Antiqua" w:hAnsi="Book Antiqua" w:cs="Arial"/>
        </w:rPr>
      </w:pPr>
    </w:p>
    <w:p w:rsidR="007A11C8" w:rsidRPr="00405694" w:rsidRDefault="007A11C8" w:rsidP="00933B65">
      <w:pPr>
        <w:rPr>
          <w:rFonts w:ascii="Book Antiqua" w:hAnsi="Book Antiqua" w:cs="Arial"/>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56E7C" w:rsidRDefault="00056E7C" w:rsidP="00933B65">
      <w:pPr>
        <w:tabs>
          <w:tab w:val="left" w:pos="567"/>
        </w:tabs>
        <w:jc w:val="both"/>
        <w:rPr>
          <w:rFonts w:ascii="Book Antiqua" w:hAnsi="Book Antiqua" w:cs="Arial"/>
        </w:rPr>
      </w:pPr>
    </w:p>
    <w:p w:rsidR="00405694" w:rsidRDefault="003D1F9B" w:rsidP="009C1E70">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r>
      <w:r w:rsidR="009C1E70">
        <w:rPr>
          <w:rFonts w:ascii="Book Antiqua" w:hAnsi="Book Antiqua" w:cs="Arial"/>
        </w:rPr>
        <w:t xml:space="preserve">The appellants appealed against the respondent’s decision dated 03 January 2017 to refuse a human rights claim. </w:t>
      </w:r>
    </w:p>
    <w:p w:rsidR="00405694" w:rsidRDefault="00405694" w:rsidP="00933B65">
      <w:pPr>
        <w:tabs>
          <w:tab w:val="left" w:pos="567"/>
        </w:tabs>
        <w:jc w:val="both"/>
        <w:rPr>
          <w:rFonts w:ascii="Book Antiqua" w:hAnsi="Book Antiqua" w:cs="Arial"/>
        </w:rPr>
      </w:pPr>
    </w:p>
    <w:p w:rsidR="00D74EDE" w:rsidRDefault="009C1E70" w:rsidP="00D74EDE">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t xml:space="preserve">The appeal was listed for hearing on 20 April 2018. The appellants applied for an adjournment on 06 April 2018. The appellants said that their child had a medical </w:t>
      </w:r>
      <w:r>
        <w:rPr>
          <w:rFonts w:ascii="Book Antiqua" w:hAnsi="Book Antiqua" w:cs="Arial"/>
        </w:rPr>
        <w:lastRenderedPageBreak/>
        <w:t xml:space="preserve">appointment on 20 April 2018. They were unable to get this appointment before because there was a long wait for appointments. The appellants said that their </w:t>
      </w:r>
      <w:r w:rsidR="00EC4C92">
        <w:rPr>
          <w:rFonts w:ascii="Book Antiqua" w:hAnsi="Book Antiqua" w:cs="Arial"/>
        </w:rPr>
        <w:t>six-year-old</w:t>
      </w:r>
      <w:r w:rsidR="0069151B">
        <w:rPr>
          <w:rFonts w:ascii="Book Antiqua" w:hAnsi="Book Antiqua" w:cs="Arial"/>
        </w:rPr>
        <w:t xml:space="preserve"> </w:t>
      </w:r>
      <w:r>
        <w:rPr>
          <w:rFonts w:ascii="Book Antiqua" w:hAnsi="Book Antiqua" w:cs="Arial"/>
        </w:rPr>
        <w:t xml:space="preserve">son was suffering from a bad root canal problem and that he needed an anaesthetic. </w:t>
      </w:r>
      <w:r w:rsidR="00D74EDE">
        <w:rPr>
          <w:rFonts w:ascii="Book Antiqua" w:hAnsi="Book Antiqua" w:cs="Arial"/>
        </w:rPr>
        <w:t xml:space="preserve">Due to a high number of referrals they had only just received the appointment. The appellants attached a copy of a letter from Dr Andrzej </w:t>
      </w:r>
      <w:proofErr w:type="spellStart"/>
      <w:r w:rsidR="00D74EDE">
        <w:rPr>
          <w:rFonts w:ascii="Book Antiqua" w:hAnsi="Book Antiqua" w:cs="Arial"/>
        </w:rPr>
        <w:t>Oborski</w:t>
      </w:r>
      <w:proofErr w:type="spellEnd"/>
      <w:r w:rsidR="00D74EDE">
        <w:rPr>
          <w:rFonts w:ascii="Book Antiqua" w:hAnsi="Book Antiqua" w:cs="Arial"/>
        </w:rPr>
        <w:t xml:space="preserve"> dated 22 March 2018 offering a “pre-General Anaesthetic Assessment” appointment for 20 April 2018. The First-tier Tribunal refused the adjournment request on 10 April 2018 stating that the appointment was only for an assessment and not surgery and that alternative child care arrangements could be made. </w:t>
      </w:r>
    </w:p>
    <w:p w:rsidR="00405694" w:rsidRDefault="00405694" w:rsidP="00933B65">
      <w:pPr>
        <w:tabs>
          <w:tab w:val="left" w:pos="567"/>
        </w:tabs>
        <w:jc w:val="both"/>
        <w:rPr>
          <w:rFonts w:ascii="Book Antiqua" w:hAnsi="Book Antiqua" w:cs="Arial"/>
        </w:rPr>
      </w:pPr>
    </w:p>
    <w:p w:rsidR="00D74EDE" w:rsidRDefault="00D74EDE" w:rsidP="00D74EDE">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t>First-tier Tribunal Judge Fox (“the judge”) dismissed the appeal in a decision promulgated on 02 May 2018. The appellants were represented by counsel, who renewed the application for an adjournment. The judge refused the adjournment request in the following terms:</w:t>
      </w:r>
    </w:p>
    <w:p w:rsidR="00D74EDE" w:rsidRPr="009348DE" w:rsidRDefault="00D74EDE" w:rsidP="009348DE">
      <w:pPr>
        <w:tabs>
          <w:tab w:val="left" w:pos="567"/>
        </w:tabs>
        <w:spacing w:before="120" w:after="120"/>
        <w:ind w:left="1701" w:hanging="567"/>
        <w:jc w:val="both"/>
        <w:rPr>
          <w:rFonts w:ascii="Book Antiqua" w:hAnsi="Book Antiqua" w:cs="Arial"/>
          <w:sz w:val="22"/>
          <w:szCs w:val="20"/>
        </w:rPr>
      </w:pPr>
      <w:r w:rsidRPr="009348DE">
        <w:rPr>
          <w:rFonts w:ascii="Book Antiqua" w:hAnsi="Book Antiqua" w:cs="Arial"/>
          <w:sz w:val="22"/>
          <w:szCs w:val="20"/>
        </w:rPr>
        <w:t>“11.</w:t>
      </w:r>
      <w:r w:rsidRPr="009348DE">
        <w:rPr>
          <w:rFonts w:ascii="Book Antiqua" w:hAnsi="Book Antiqua" w:cs="Arial"/>
          <w:sz w:val="22"/>
          <w:szCs w:val="20"/>
        </w:rPr>
        <w:tab/>
        <w:t xml:space="preserve">Mr Lourdes renewed the application at the hearing. I noted that </w:t>
      </w:r>
      <w:r w:rsidR="00A85C2A" w:rsidRPr="009348DE">
        <w:rPr>
          <w:rFonts w:ascii="Book Antiqua" w:hAnsi="Book Antiqua" w:cs="Arial"/>
          <w:sz w:val="22"/>
          <w:szCs w:val="20"/>
        </w:rPr>
        <w:t>there</w:t>
      </w:r>
      <w:r w:rsidRPr="009348DE">
        <w:rPr>
          <w:rFonts w:ascii="Book Antiqua" w:hAnsi="Book Antiqua" w:cs="Arial"/>
          <w:sz w:val="22"/>
          <w:szCs w:val="20"/>
        </w:rPr>
        <w:t xml:space="preserve"> is no further evidence to go behind the Tribunal’s original decision. I also noted that the child’s dental appointment </w:t>
      </w:r>
      <w:r w:rsidR="00A85C2A" w:rsidRPr="009348DE">
        <w:rPr>
          <w:rFonts w:ascii="Book Antiqua" w:hAnsi="Book Antiqua" w:cs="Arial"/>
          <w:sz w:val="22"/>
          <w:szCs w:val="20"/>
        </w:rPr>
        <w:t xml:space="preserve">was made on 22 March 2018 for 20 April 2018 at 9.50am at a venue in south-east London. The appellants were notified of the appeal hearing in a notice dated 11 September 2018. </w:t>
      </w:r>
    </w:p>
    <w:p w:rsidR="00A85C2A" w:rsidRPr="009348DE" w:rsidRDefault="00A85C2A" w:rsidP="009348DE">
      <w:pPr>
        <w:tabs>
          <w:tab w:val="left" w:pos="567"/>
        </w:tabs>
        <w:spacing w:before="120" w:after="120"/>
        <w:ind w:left="1701" w:hanging="567"/>
        <w:jc w:val="both"/>
        <w:rPr>
          <w:rFonts w:ascii="Book Antiqua" w:hAnsi="Book Antiqua" w:cs="Arial"/>
          <w:sz w:val="22"/>
          <w:szCs w:val="20"/>
        </w:rPr>
      </w:pPr>
      <w:r w:rsidRPr="009348DE">
        <w:rPr>
          <w:rFonts w:ascii="Book Antiqua" w:hAnsi="Book Antiqua" w:cs="Arial"/>
          <w:sz w:val="22"/>
          <w:szCs w:val="20"/>
        </w:rPr>
        <w:t>12.</w:t>
      </w:r>
      <w:r w:rsidRPr="009348DE">
        <w:rPr>
          <w:rFonts w:ascii="Book Antiqua" w:hAnsi="Book Antiqua" w:cs="Arial"/>
          <w:sz w:val="22"/>
          <w:szCs w:val="20"/>
        </w:rPr>
        <w:tab/>
        <w:t>They nominated a date f</w:t>
      </w:r>
      <w:r w:rsidR="00531DAB" w:rsidRPr="009348DE">
        <w:rPr>
          <w:rFonts w:ascii="Book Antiqua" w:hAnsi="Book Antiqua" w:cs="Arial"/>
          <w:sz w:val="22"/>
          <w:szCs w:val="20"/>
        </w:rPr>
        <w:t>or the non-</w:t>
      </w:r>
      <w:r w:rsidRPr="009348DE">
        <w:rPr>
          <w:rFonts w:ascii="Book Antiqua" w:hAnsi="Book Antiqua" w:cs="Arial"/>
          <w:sz w:val="22"/>
          <w:szCs w:val="20"/>
        </w:rPr>
        <w:t>urgent dental consultation which conflicts with their appeal hearing. Mr Lourdes stated that the child wanted both appellants to attend the dental appointment with him.</w:t>
      </w:r>
    </w:p>
    <w:p w:rsidR="00A85C2A" w:rsidRPr="009348DE" w:rsidRDefault="00A85C2A" w:rsidP="009348DE">
      <w:pPr>
        <w:tabs>
          <w:tab w:val="left" w:pos="567"/>
        </w:tabs>
        <w:spacing w:before="120" w:after="120"/>
        <w:ind w:left="1701" w:hanging="567"/>
        <w:jc w:val="both"/>
        <w:rPr>
          <w:rFonts w:ascii="Book Antiqua" w:hAnsi="Book Antiqua" w:cs="Arial"/>
          <w:sz w:val="22"/>
          <w:szCs w:val="20"/>
        </w:rPr>
      </w:pPr>
      <w:r w:rsidRPr="009348DE">
        <w:rPr>
          <w:rFonts w:ascii="Book Antiqua" w:hAnsi="Book Antiqua" w:cs="Arial"/>
          <w:sz w:val="22"/>
          <w:szCs w:val="20"/>
        </w:rPr>
        <w:t>13.</w:t>
      </w:r>
      <w:r w:rsidRPr="009348DE">
        <w:rPr>
          <w:rFonts w:ascii="Book Antiqua" w:hAnsi="Book Antiqua" w:cs="Arial"/>
          <w:sz w:val="22"/>
          <w:szCs w:val="20"/>
        </w:rPr>
        <w:tab/>
        <w:t xml:space="preserve">The matter was put back until 2pm for the appellants to attend the hearing. The timing of the dental appointment and its location makes it reasonable for the appellants to attend the hearing centre after the dental appointment. </w:t>
      </w:r>
    </w:p>
    <w:p w:rsidR="00A85C2A" w:rsidRPr="009348DE" w:rsidRDefault="00A85C2A" w:rsidP="009348DE">
      <w:pPr>
        <w:tabs>
          <w:tab w:val="left" w:pos="567"/>
        </w:tabs>
        <w:spacing w:before="120" w:after="120"/>
        <w:ind w:left="1701" w:hanging="567"/>
        <w:jc w:val="both"/>
        <w:rPr>
          <w:rFonts w:ascii="Book Antiqua" w:hAnsi="Book Antiqua" w:cs="Arial"/>
          <w:sz w:val="22"/>
          <w:szCs w:val="20"/>
        </w:rPr>
      </w:pPr>
      <w:r w:rsidRPr="009348DE">
        <w:rPr>
          <w:rFonts w:ascii="Book Antiqua" w:hAnsi="Book Antiqua" w:cs="Arial"/>
          <w:sz w:val="22"/>
          <w:szCs w:val="20"/>
        </w:rPr>
        <w:t>14.</w:t>
      </w:r>
      <w:r w:rsidRPr="009348DE">
        <w:rPr>
          <w:rFonts w:ascii="Book Antiqua" w:hAnsi="Book Antiqua" w:cs="Arial"/>
          <w:sz w:val="22"/>
          <w:szCs w:val="20"/>
        </w:rPr>
        <w:tab/>
        <w:t xml:space="preserve">Mr Lourdes provided me with an update at 12.45pm. He spoke with the first appellant at 11am. The dental appointment had been concluded by then and the appellants have decided to return to their home before embarking upon their journey to the Tribunal hearing centre. The appellants expect the journey from their home to the hearing centre to take approximately 90 minutes. </w:t>
      </w:r>
    </w:p>
    <w:p w:rsidR="00A85C2A" w:rsidRPr="009348DE" w:rsidRDefault="00A85C2A" w:rsidP="009348DE">
      <w:pPr>
        <w:tabs>
          <w:tab w:val="left" w:pos="567"/>
        </w:tabs>
        <w:spacing w:before="120" w:after="120"/>
        <w:ind w:left="1701" w:hanging="567"/>
        <w:jc w:val="both"/>
        <w:rPr>
          <w:rFonts w:ascii="Book Antiqua" w:hAnsi="Book Antiqua" w:cs="Arial"/>
          <w:sz w:val="22"/>
          <w:szCs w:val="20"/>
        </w:rPr>
      </w:pPr>
      <w:r w:rsidRPr="009348DE">
        <w:rPr>
          <w:rFonts w:ascii="Book Antiqua" w:hAnsi="Book Antiqua" w:cs="Arial"/>
          <w:sz w:val="22"/>
          <w:szCs w:val="20"/>
        </w:rPr>
        <w:t>15.</w:t>
      </w:r>
      <w:r w:rsidRPr="009348DE">
        <w:rPr>
          <w:rFonts w:ascii="Book Antiqua" w:hAnsi="Book Antiqua" w:cs="Arial"/>
          <w:sz w:val="22"/>
          <w:szCs w:val="20"/>
        </w:rPr>
        <w:tab/>
        <w:t xml:space="preserve">When the matter was called forward at 2pm Mr Lourdes stated that he has spoken once again with the first appellant at 1.45pm. The child was unwell during the journey home so the journey was interrupted to buy food for him in the Catford area. The appellants now feel too tired to travel to the hearing centre. </w:t>
      </w:r>
    </w:p>
    <w:p w:rsidR="00A85C2A" w:rsidRPr="009348DE" w:rsidRDefault="00A85C2A" w:rsidP="009348DE">
      <w:pPr>
        <w:tabs>
          <w:tab w:val="left" w:pos="567"/>
        </w:tabs>
        <w:spacing w:before="120" w:after="120"/>
        <w:ind w:left="1701" w:hanging="567"/>
        <w:jc w:val="both"/>
        <w:rPr>
          <w:rFonts w:ascii="Book Antiqua" w:hAnsi="Book Antiqua" w:cs="Arial"/>
          <w:sz w:val="22"/>
          <w:szCs w:val="20"/>
        </w:rPr>
      </w:pPr>
      <w:r w:rsidRPr="009348DE">
        <w:rPr>
          <w:rFonts w:ascii="Book Antiqua" w:hAnsi="Book Antiqua" w:cs="Arial"/>
          <w:sz w:val="22"/>
          <w:szCs w:val="20"/>
        </w:rPr>
        <w:t>16.</w:t>
      </w:r>
      <w:r w:rsidRPr="009348DE">
        <w:rPr>
          <w:rFonts w:ascii="Book Antiqua" w:hAnsi="Book Antiqua" w:cs="Arial"/>
          <w:sz w:val="22"/>
          <w:szCs w:val="20"/>
        </w:rPr>
        <w:tab/>
        <w:t>The hearing can proceed justly and fairly in these circumstances. They have chosen to prioritise a non-urgent dental appointment made 6 months after they were notified of the hearing date. The Tribunal facilitated the opportunity to engage with both obligations and there is no reasonable excuse for their absence.</w:t>
      </w:r>
    </w:p>
    <w:p w:rsidR="00A85C2A" w:rsidRPr="009348DE" w:rsidRDefault="00A85C2A" w:rsidP="009348DE">
      <w:pPr>
        <w:tabs>
          <w:tab w:val="left" w:pos="567"/>
        </w:tabs>
        <w:spacing w:before="120" w:after="120"/>
        <w:ind w:left="1701" w:hanging="567"/>
        <w:jc w:val="both"/>
        <w:rPr>
          <w:rFonts w:ascii="Book Antiqua" w:hAnsi="Book Antiqua" w:cs="Arial"/>
          <w:sz w:val="22"/>
          <w:szCs w:val="20"/>
        </w:rPr>
      </w:pPr>
      <w:r w:rsidRPr="009348DE">
        <w:rPr>
          <w:rFonts w:ascii="Book Antiqua" w:hAnsi="Book Antiqua" w:cs="Arial"/>
          <w:sz w:val="22"/>
          <w:szCs w:val="20"/>
        </w:rPr>
        <w:t>17.</w:t>
      </w:r>
      <w:r w:rsidRPr="009348DE">
        <w:rPr>
          <w:rFonts w:ascii="Book Antiqua" w:hAnsi="Book Antiqua" w:cs="Arial"/>
          <w:sz w:val="22"/>
          <w:szCs w:val="20"/>
        </w:rPr>
        <w:tab/>
        <w:t>They have been afforded every reasonable opportunity to attend the hearing and engage with the appeal, they have submitted documentary evidence in support of the appeal and they are formally represented.”</w:t>
      </w:r>
    </w:p>
    <w:p w:rsidR="00A85C2A" w:rsidRDefault="00531DAB" w:rsidP="00531DAB">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r>
      <w:r w:rsidR="00A85C2A">
        <w:rPr>
          <w:rFonts w:ascii="Book Antiqua" w:hAnsi="Book Antiqua" w:cs="Arial"/>
        </w:rPr>
        <w:t xml:space="preserve">The </w:t>
      </w:r>
      <w:r>
        <w:rPr>
          <w:rFonts w:ascii="Book Antiqua" w:hAnsi="Book Antiqua" w:cs="Arial"/>
        </w:rPr>
        <w:t xml:space="preserve">appellants applied for permission to appeal, explaining that it was important that their child attended the pre-operative dental appointment. His teeth were decayed to the extent that it might cause an infection and nerve damage. If they had not accepted the appointment date offered to them they would have had to wait another 1-2 months </w:t>
      </w:r>
      <w:r>
        <w:rPr>
          <w:rFonts w:ascii="Book Antiqua" w:hAnsi="Book Antiqua" w:cs="Arial"/>
        </w:rPr>
        <w:lastRenderedPageBreak/>
        <w:t xml:space="preserve">for another assessment appointment and another 3-4 months for the operation. They tried their best to attend the hearing once they had been to the appointment, but their son was sick on the way home. They had to get off the bus in Catford to feed him. They did not get home until 1.00pm, by which time they thought that it was too late to attend the hearing. </w:t>
      </w:r>
    </w:p>
    <w:p w:rsidR="00531DAB" w:rsidRDefault="00531DAB" w:rsidP="00531DAB">
      <w:pPr>
        <w:tabs>
          <w:tab w:val="left" w:pos="567"/>
        </w:tabs>
        <w:ind w:left="564" w:hanging="564"/>
        <w:jc w:val="both"/>
        <w:rPr>
          <w:rFonts w:ascii="Book Antiqua" w:hAnsi="Book Antiqua" w:cs="Arial"/>
        </w:rPr>
      </w:pPr>
    </w:p>
    <w:p w:rsidR="00531DAB" w:rsidRDefault="00531DAB" w:rsidP="00531DAB">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r>
      <w:r w:rsidR="00410FC9">
        <w:rPr>
          <w:rFonts w:ascii="Book Antiqua" w:hAnsi="Book Antiqua" w:cs="Arial"/>
        </w:rPr>
        <w:t>Upper Tribunal Judge Storey granted permission in the following terms:</w:t>
      </w:r>
    </w:p>
    <w:p w:rsidR="00410FC9" w:rsidRPr="009348DE" w:rsidRDefault="00410FC9" w:rsidP="009348DE">
      <w:pPr>
        <w:spacing w:before="120" w:after="120"/>
        <w:ind w:left="1134"/>
        <w:jc w:val="both"/>
        <w:rPr>
          <w:rFonts w:ascii="Book Antiqua" w:hAnsi="Book Antiqua" w:cs="Arial"/>
          <w:sz w:val="22"/>
          <w:szCs w:val="20"/>
        </w:rPr>
      </w:pPr>
      <w:r w:rsidRPr="009348DE">
        <w:rPr>
          <w:rFonts w:ascii="Book Antiqua" w:hAnsi="Book Antiqua" w:cs="Arial"/>
          <w:sz w:val="22"/>
          <w:szCs w:val="20"/>
        </w:rPr>
        <w:t>“It is just arguable that in concluding that there was no valid reason to adjourn the judge failed to take sufficient account of (or to reasonably assess) the circumstances which had led the principal appellant to book an appointment for her child on the same day as the appeal hearing.”</w:t>
      </w:r>
    </w:p>
    <w:p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t>Decision and reasons</w:t>
      </w:r>
    </w:p>
    <w:p w:rsidR="00405694" w:rsidRDefault="00405694" w:rsidP="00933B65">
      <w:pPr>
        <w:tabs>
          <w:tab w:val="left" w:pos="567"/>
        </w:tabs>
        <w:jc w:val="both"/>
        <w:rPr>
          <w:rFonts w:ascii="Book Antiqua" w:hAnsi="Book Antiqua" w:cs="Arial"/>
        </w:rPr>
      </w:pPr>
    </w:p>
    <w:p w:rsidR="0069151B" w:rsidRDefault="0069151B" w:rsidP="00E41B2B">
      <w:pPr>
        <w:tabs>
          <w:tab w:val="left" w:pos="567"/>
        </w:tabs>
        <w:ind w:left="564" w:hanging="564"/>
        <w:jc w:val="both"/>
        <w:rPr>
          <w:rFonts w:ascii="Book Antiqua" w:hAnsi="Book Antiqua" w:cs="Arial"/>
        </w:rPr>
      </w:pPr>
      <w:r>
        <w:rPr>
          <w:rFonts w:ascii="Book Antiqua" w:hAnsi="Book Antiqua" w:cs="Arial"/>
        </w:rPr>
        <w:t>6.</w:t>
      </w:r>
      <w:r>
        <w:rPr>
          <w:rFonts w:ascii="Book Antiqua" w:hAnsi="Book Antiqua" w:cs="Arial"/>
        </w:rPr>
        <w:tab/>
      </w:r>
      <w:r w:rsidR="00E41B2B">
        <w:rPr>
          <w:rFonts w:ascii="Book Antiqua" w:hAnsi="Book Antiqua" w:cs="Arial"/>
        </w:rPr>
        <w:tab/>
        <w:t>This is a borderline decision, but I have concluded that the First-tier Tribunal erred on grounds of procedural fairness and that the appeal must be remitted for a fresh hearing.</w:t>
      </w:r>
    </w:p>
    <w:p w:rsidR="00E41B2B" w:rsidRDefault="00E41B2B" w:rsidP="00E41B2B">
      <w:pPr>
        <w:tabs>
          <w:tab w:val="left" w:pos="567"/>
        </w:tabs>
        <w:ind w:left="564" w:hanging="564"/>
        <w:jc w:val="both"/>
        <w:rPr>
          <w:rFonts w:ascii="Book Antiqua" w:hAnsi="Book Antiqua" w:cs="Arial"/>
        </w:rPr>
      </w:pPr>
    </w:p>
    <w:p w:rsidR="004B5A8F" w:rsidRDefault="00E41B2B" w:rsidP="00CB0A7B">
      <w:pPr>
        <w:tabs>
          <w:tab w:val="left" w:pos="567"/>
        </w:tabs>
        <w:ind w:left="564" w:hanging="564"/>
        <w:jc w:val="both"/>
        <w:rPr>
          <w:rFonts w:ascii="Book Antiqua" w:hAnsi="Book Antiqua" w:cs="Arial"/>
        </w:rPr>
      </w:pPr>
      <w:r>
        <w:rPr>
          <w:rFonts w:ascii="Book Antiqua" w:hAnsi="Book Antiqua" w:cs="Arial"/>
        </w:rPr>
        <w:t>7.</w:t>
      </w:r>
      <w:r>
        <w:rPr>
          <w:rFonts w:ascii="Book Antiqua" w:hAnsi="Book Antiqua" w:cs="Arial"/>
        </w:rPr>
        <w:tab/>
        <w:t xml:space="preserve">This is not a case where the appellants gave no explanation for their non-attendance. The judge </w:t>
      </w:r>
      <w:r w:rsidR="0027684E">
        <w:rPr>
          <w:rFonts w:ascii="Book Antiqua" w:hAnsi="Book Antiqua" w:cs="Arial"/>
        </w:rPr>
        <w:t>considered</w:t>
      </w:r>
      <w:r>
        <w:rPr>
          <w:rFonts w:ascii="Book Antiqua" w:hAnsi="Book Antiqua" w:cs="Arial"/>
        </w:rPr>
        <w:t xml:space="preserve"> the circumstances and gave </w:t>
      </w:r>
      <w:r w:rsidR="004B5A8F">
        <w:rPr>
          <w:rFonts w:ascii="Book Antiqua" w:hAnsi="Book Antiqua" w:cs="Arial"/>
        </w:rPr>
        <w:t xml:space="preserve">the appellants </w:t>
      </w:r>
      <w:r>
        <w:rPr>
          <w:rFonts w:ascii="Book Antiqua" w:hAnsi="Book Antiqua" w:cs="Arial"/>
        </w:rPr>
        <w:t xml:space="preserve">a reasonable opportunity to attend the hearing later in the day. </w:t>
      </w:r>
    </w:p>
    <w:p w:rsidR="004B5A8F" w:rsidRDefault="004B5A8F" w:rsidP="00CB0A7B">
      <w:pPr>
        <w:tabs>
          <w:tab w:val="left" w:pos="567"/>
        </w:tabs>
        <w:ind w:left="564" w:hanging="564"/>
        <w:jc w:val="both"/>
        <w:rPr>
          <w:rFonts w:ascii="Book Antiqua" w:hAnsi="Book Antiqua" w:cs="Arial"/>
        </w:rPr>
      </w:pPr>
    </w:p>
    <w:p w:rsidR="00CB0A7B" w:rsidRDefault="004B5A8F" w:rsidP="00CB0A7B">
      <w:pPr>
        <w:tabs>
          <w:tab w:val="left" w:pos="567"/>
        </w:tabs>
        <w:ind w:left="564" w:hanging="564"/>
        <w:jc w:val="both"/>
        <w:rPr>
          <w:rFonts w:ascii="Book Antiqua" w:hAnsi="Book Antiqua" w:cs="Arial"/>
        </w:rPr>
      </w:pPr>
      <w:r>
        <w:rPr>
          <w:rFonts w:ascii="Book Antiqua" w:hAnsi="Book Antiqua" w:cs="Arial"/>
        </w:rPr>
        <w:t>8.</w:t>
      </w:r>
      <w:r>
        <w:rPr>
          <w:rFonts w:ascii="Book Antiqua" w:hAnsi="Book Antiqua" w:cs="Arial"/>
        </w:rPr>
        <w:tab/>
      </w:r>
      <w:r w:rsidR="00E41B2B">
        <w:rPr>
          <w:rFonts w:ascii="Book Antiqua" w:hAnsi="Book Antiqua" w:cs="Arial"/>
        </w:rPr>
        <w:t xml:space="preserve">However, </w:t>
      </w:r>
      <w:r w:rsidR="0027684E">
        <w:rPr>
          <w:rFonts w:ascii="Book Antiqua" w:hAnsi="Book Antiqua" w:cs="Arial"/>
        </w:rPr>
        <w:t xml:space="preserve">the judge may not have fully appreciated the importance of the medical appointment in the context of the child’s treatment. The appellants were on notice of the </w:t>
      </w:r>
      <w:r w:rsidR="00CB0A7B">
        <w:rPr>
          <w:rFonts w:ascii="Book Antiqua" w:hAnsi="Book Antiqua" w:cs="Arial"/>
        </w:rPr>
        <w:t>hearing but</w:t>
      </w:r>
      <w:r w:rsidR="0027684E">
        <w:rPr>
          <w:rFonts w:ascii="Book Antiqua" w:hAnsi="Book Antiqua" w:cs="Arial"/>
        </w:rPr>
        <w:t xml:space="preserve"> were only informed of the appointment date shortly before the First-tier Tribunal hearing. The evidence before the judge showed that the child needed to attend a “pre-General Anaesthetic Assessment appointment” and indicated that the clinic received a high number of referrals. Although the appellants’ letter did not explain the length of time they had been waiting for the appointment, or the consequences if they did not attend, the evidence indicated that it was likely to be an important appointment if the child was awaiting treatment that would have to be </w:t>
      </w:r>
      <w:r>
        <w:rPr>
          <w:rFonts w:ascii="Book Antiqua" w:hAnsi="Book Antiqua" w:cs="Arial"/>
        </w:rPr>
        <w:t>done under</w:t>
      </w:r>
      <w:r w:rsidR="0027684E">
        <w:rPr>
          <w:rFonts w:ascii="Book Antiqua" w:hAnsi="Book Antiqua" w:cs="Arial"/>
        </w:rPr>
        <w:t xml:space="preserve"> general anaesthetic. </w:t>
      </w:r>
      <w:r w:rsidR="00CB0A7B">
        <w:rPr>
          <w:rFonts w:ascii="Book Antiqua" w:hAnsi="Book Antiqua" w:cs="Arial"/>
        </w:rPr>
        <w:t>It is difficult to assess the extent of the information provided to the judge at the hearing if counsel had only recently been instructed and might only have taken instructions over the telephone on the morning of the hearing. However, the evidence indicated that the child was suffering from a dental problem that was sufficiently serious to require treatment under general anaesthetic, and in those circumstances, it was reasonable t</w:t>
      </w:r>
      <w:r w:rsidR="00262585">
        <w:rPr>
          <w:rFonts w:ascii="Book Antiqua" w:hAnsi="Book Antiqua" w:cs="Arial"/>
        </w:rPr>
        <w:t xml:space="preserve">o infer that it was not necessarily a “non-urgent dental consultation” in the general sense of the phrase. There was some indication that it related to a relatively serious problem that might justify prioritising the appointment in the best interests of the child. </w:t>
      </w:r>
    </w:p>
    <w:p w:rsidR="00262585" w:rsidRDefault="00262585" w:rsidP="00CB0A7B">
      <w:pPr>
        <w:tabs>
          <w:tab w:val="left" w:pos="567"/>
        </w:tabs>
        <w:ind w:left="564" w:hanging="564"/>
        <w:jc w:val="both"/>
        <w:rPr>
          <w:rFonts w:ascii="Book Antiqua" w:hAnsi="Book Antiqua" w:cs="Arial"/>
        </w:rPr>
      </w:pPr>
    </w:p>
    <w:p w:rsidR="0027684E" w:rsidRDefault="00262585" w:rsidP="004B5A8F">
      <w:pPr>
        <w:tabs>
          <w:tab w:val="left" w:pos="567"/>
        </w:tabs>
        <w:ind w:left="564" w:hanging="564"/>
        <w:jc w:val="both"/>
        <w:rPr>
          <w:rFonts w:ascii="Book Antiqua" w:hAnsi="Book Antiqua" w:cs="Arial"/>
        </w:rPr>
      </w:pPr>
      <w:r>
        <w:rPr>
          <w:rFonts w:ascii="Book Antiqua" w:hAnsi="Book Antiqua" w:cs="Arial"/>
        </w:rPr>
        <w:t>9.</w:t>
      </w:r>
      <w:r>
        <w:rPr>
          <w:rFonts w:ascii="Book Antiqua" w:hAnsi="Book Antiqua" w:cs="Arial"/>
        </w:rPr>
        <w:tab/>
        <w:t xml:space="preserve">Even if the judge was sceptical about the appellant’s decision to prioritise the appointment rather than the immigration hearing, it seems clear that the appellants did attempt to travel to the hearing centre. When informed that they had to return home because the child was unwell, the judge needed to reconsider whether it was in the interests of justice to adjourn the hearing in light of </w:t>
      </w:r>
      <w:r w:rsidR="004B5A8F">
        <w:rPr>
          <w:rFonts w:ascii="Book Antiqua" w:hAnsi="Book Antiqua" w:cs="Arial"/>
        </w:rPr>
        <w:t xml:space="preserve">that </w:t>
      </w:r>
      <w:r>
        <w:rPr>
          <w:rFonts w:ascii="Book Antiqua" w:hAnsi="Book Antiqua" w:cs="Arial"/>
        </w:rPr>
        <w:t>information</w:t>
      </w:r>
      <w:r w:rsidR="00021BF9">
        <w:rPr>
          <w:rFonts w:ascii="Book Antiqua" w:hAnsi="Book Antiqua" w:cs="Arial"/>
        </w:rPr>
        <w:t xml:space="preserve">, taking into account the distance that the appellants would have to travel from Plumstead to </w:t>
      </w:r>
      <w:r w:rsidR="00021BF9">
        <w:rPr>
          <w:rFonts w:ascii="Book Antiqua" w:hAnsi="Book Antiqua" w:cs="Arial"/>
        </w:rPr>
        <w:lastRenderedPageBreak/>
        <w:t>Hatton Cross</w:t>
      </w:r>
      <w:r>
        <w:rPr>
          <w:rFonts w:ascii="Book Antiqua" w:hAnsi="Book Antiqua" w:cs="Arial"/>
        </w:rPr>
        <w:t>. Th</w:t>
      </w:r>
      <w:r w:rsidR="004B5A8F">
        <w:rPr>
          <w:rFonts w:ascii="Book Antiqua" w:hAnsi="Book Antiqua" w:cs="Arial"/>
        </w:rPr>
        <w:t xml:space="preserve">e appellants </w:t>
      </w:r>
      <w:r>
        <w:rPr>
          <w:rFonts w:ascii="Book Antiqua" w:hAnsi="Book Antiqua" w:cs="Arial"/>
        </w:rPr>
        <w:t xml:space="preserve">kept the court informed of the situation and appeared to </w:t>
      </w:r>
      <w:r w:rsidR="00021BF9">
        <w:rPr>
          <w:rFonts w:ascii="Book Antiqua" w:hAnsi="Book Antiqua" w:cs="Arial"/>
        </w:rPr>
        <w:t>make efforts</w:t>
      </w:r>
      <w:r>
        <w:rPr>
          <w:rFonts w:ascii="Book Antiqua" w:hAnsi="Book Antiqua" w:cs="Arial"/>
        </w:rPr>
        <w:t xml:space="preserve"> to</w:t>
      </w:r>
      <w:r w:rsidR="00021BF9">
        <w:rPr>
          <w:rFonts w:ascii="Book Antiqua" w:hAnsi="Book Antiqua" w:cs="Arial"/>
        </w:rPr>
        <w:t xml:space="preserve"> attend the hearing</w:t>
      </w:r>
      <w:r>
        <w:rPr>
          <w:rFonts w:ascii="Book Antiqua" w:hAnsi="Book Antiqua" w:cs="Arial"/>
        </w:rPr>
        <w:t xml:space="preserve">. This was not a case where there was evidence to suggest that the appellants </w:t>
      </w:r>
      <w:r w:rsidR="004B5A8F">
        <w:rPr>
          <w:rFonts w:ascii="Book Antiqua" w:hAnsi="Book Antiqua" w:cs="Arial"/>
        </w:rPr>
        <w:t>were</w:t>
      </w:r>
      <w:r>
        <w:rPr>
          <w:rFonts w:ascii="Book Antiqua" w:hAnsi="Book Antiqua" w:cs="Arial"/>
        </w:rPr>
        <w:t xml:space="preserve"> deliberately s</w:t>
      </w:r>
      <w:r w:rsidR="004B5A8F">
        <w:rPr>
          <w:rFonts w:ascii="Book Antiqua" w:hAnsi="Book Antiqua" w:cs="Arial"/>
        </w:rPr>
        <w:t xml:space="preserve">eeking to delay the proceedings. </w:t>
      </w:r>
    </w:p>
    <w:p w:rsidR="004B5A8F" w:rsidRDefault="004B5A8F" w:rsidP="00E41B2B">
      <w:pPr>
        <w:tabs>
          <w:tab w:val="left" w:pos="567"/>
        </w:tabs>
        <w:ind w:left="564" w:hanging="564"/>
        <w:jc w:val="both"/>
        <w:rPr>
          <w:rFonts w:ascii="Book Antiqua" w:hAnsi="Book Antiqua" w:cs="Arial"/>
        </w:rPr>
      </w:pPr>
    </w:p>
    <w:p w:rsidR="004B5A8F" w:rsidRDefault="004B5A8F" w:rsidP="00E41B2B">
      <w:pPr>
        <w:tabs>
          <w:tab w:val="left" w:pos="567"/>
        </w:tabs>
        <w:ind w:left="564" w:hanging="564"/>
        <w:jc w:val="both"/>
        <w:rPr>
          <w:rFonts w:ascii="Book Antiqua" w:hAnsi="Book Antiqua" w:cs="Arial"/>
        </w:rPr>
      </w:pPr>
      <w:r>
        <w:rPr>
          <w:rFonts w:ascii="Book Antiqua" w:hAnsi="Book Antiqua" w:cs="Arial"/>
        </w:rPr>
        <w:t>10.</w:t>
      </w:r>
      <w:r>
        <w:rPr>
          <w:rFonts w:ascii="Book Antiqua" w:hAnsi="Book Antiqua" w:cs="Arial"/>
        </w:rPr>
        <w:tab/>
        <w:t xml:space="preserve">Ms </w:t>
      </w:r>
      <w:proofErr w:type="spellStart"/>
      <w:r>
        <w:rPr>
          <w:rFonts w:ascii="Book Antiqua" w:hAnsi="Book Antiqua" w:cs="Arial"/>
        </w:rPr>
        <w:t>Fijiwala</w:t>
      </w:r>
      <w:proofErr w:type="spellEnd"/>
      <w:r>
        <w:rPr>
          <w:rFonts w:ascii="Book Antiqua" w:hAnsi="Book Antiqua" w:cs="Arial"/>
        </w:rPr>
        <w:t xml:space="preserve"> argued that any unfairness that might have been caused was immaterial given that the appellants </w:t>
      </w:r>
      <w:r w:rsidR="005269BB">
        <w:rPr>
          <w:rFonts w:ascii="Book Antiqua" w:hAnsi="Book Antiqua" w:cs="Arial"/>
        </w:rPr>
        <w:t>did not meet</w:t>
      </w:r>
      <w:r>
        <w:rPr>
          <w:rFonts w:ascii="Book Antiqua" w:hAnsi="Book Antiqua" w:cs="Arial"/>
        </w:rPr>
        <w:t xml:space="preserve"> the requirements of the immigration rules and no exceptional circumstances were disclosed that might engage the operation of Article 8 outside the rules. However, I bear in mind that matters of fairness must be considered carefully. The fact that, on the face of the evidence, the appellants are not likely to have a strong claim to remain in the UK on human rights grounds is immaterial to issues of procedural fairness. </w:t>
      </w:r>
      <w:r w:rsidR="00B81201">
        <w:rPr>
          <w:rFonts w:ascii="Book Antiqua" w:hAnsi="Book Antiqua" w:cs="Arial"/>
        </w:rPr>
        <w:t xml:space="preserve">Fairness is not reserved only for those who have a good prospect of success. The appellants were deprived of an opportunity to give evidence </w:t>
      </w:r>
      <w:r w:rsidR="00EC4C92">
        <w:rPr>
          <w:rFonts w:ascii="Book Antiqua" w:hAnsi="Book Antiqua" w:cs="Arial"/>
        </w:rPr>
        <w:t xml:space="preserve">so that the judge could properly </w:t>
      </w:r>
      <w:r w:rsidR="00B81201">
        <w:rPr>
          <w:rFonts w:ascii="Book Antiqua" w:hAnsi="Book Antiqua" w:cs="Arial"/>
        </w:rPr>
        <w:t>evalu</w:t>
      </w:r>
      <w:r w:rsidR="00EC4C92">
        <w:rPr>
          <w:rFonts w:ascii="Book Antiqua" w:hAnsi="Book Antiqua" w:cs="Arial"/>
        </w:rPr>
        <w:t>ate the</w:t>
      </w:r>
      <w:r w:rsidR="00B81201">
        <w:rPr>
          <w:rFonts w:ascii="Book Antiqua" w:hAnsi="Book Antiqua" w:cs="Arial"/>
        </w:rPr>
        <w:t xml:space="preserve"> strength of </w:t>
      </w:r>
      <w:r w:rsidR="00EC4C92">
        <w:rPr>
          <w:rFonts w:ascii="Book Antiqua" w:hAnsi="Book Antiqua" w:cs="Arial"/>
        </w:rPr>
        <w:t xml:space="preserve">their </w:t>
      </w:r>
      <w:r w:rsidR="00B81201">
        <w:rPr>
          <w:rFonts w:ascii="Book Antiqua" w:hAnsi="Book Antiqua" w:cs="Arial"/>
        </w:rPr>
        <w:t>ties</w:t>
      </w:r>
      <w:r w:rsidR="00EC4C92">
        <w:rPr>
          <w:rFonts w:ascii="Book Antiqua" w:hAnsi="Book Antiqua" w:cs="Arial"/>
        </w:rPr>
        <w:t xml:space="preserve"> to the UK</w:t>
      </w:r>
      <w:r w:rsidR="00B81201">
        <w:rPr>
          <w:rFonts w:ascii="Book Antiqua" w:hAnsi="Book Antiqua" w:cs="Arial"/>
        </w:rPr>
        <w:t>, and in particular, the ties that th</w:t>
      </w:r>
      <w:r w:rsidR="005269BB">
        <w:rPr>
          <w:rFonts w:ascii="Book Antiqua" w:hAnsi="Book Antiqua" w:cs="Arial"/>
        </w:rPr>
        <w:t>eir child might have established during his six years of residence</w:t>
      </w:r>
      <w:r w:rsidR="00B81201">
        <w:rPr>
          <w:rFonts w:ascii="Book Antiqua" w:hAnsi="Book Antiqua" w:cs="Arial"/>
        </w:rPr>
        <w:t xml:space="preserve">. </w:t>
      </w:r>
    </w:p>
    <w:p w:rsidR="00B81201" w:rsidRDefault="00B81201" w:rsidP="00B81201">
      <w:pPr>
        <w:tabs>
          <w:tab w:val="left" w:pos="567"/>
        </w:tabs>
        <w:jc w:val="both"/>
        <w:rPr>
          <w:rFonts w:ascii="Book Antiqua" w:hAnsi="Book Antiqua" w:cs="Arial"/>
        </w:rPr>
      </w:pPr>
    </w:p>
    <w:p w:rsidR="00B81201" w:rsidRDefault="00B81201" w:rsidP="00B81201">
      <w:pPr>
        <w:tabs>
          <w:tab w:val="left" w:pos="567"/>
        </w:tabs>
        <w:ind w:left="564" w:hanging="564"/>
        <w:jc w:val="both"/>
        <w:rPr>
          <w:rFonts w:ascii="Book Antiqua" w:hAnsi="Book Antiqua" w:cs="Arial"/>
        </w:rPr>
      </w:pPr>
      <w:r>
        <w:rPr>
          <w:rFonts w:ascii="Book Antiqua" w:hAnsi="Book Antiqua" w:cs="Arial"/>
        </w:rPr>
        <w:t>11.</w:t>
      </w:r>
      <w:r>
        <w:rPr>
          <w:rFonts w:ascii="Book Antiqua" w:hAnsi="Book Antiqua" w:cs="Arial"/>
        </w:rPr>
        <w:tab/>
        <w:t xml:space="preserve">After having considered all the circumstances, I conclude that it was unfair to refuse to adjourn the hearing in the circumstances of this case. The First-tier Tribunal decision involved the making of an error of law. The effect of the error was to deprive the appellants of a fair hearing and an opportunity to give evidence before the First-tier Tribunal. In such circumstances it is appropriate to remit the </w:t>
      </w:r>
      <w:r w:rsidR="005269BB">
        <w:rPr>
          <w:rFonts w:ascii="Book Antiqua" w:hAnsi="Book Antiqua" w:cs="Arial"/>
        </w:rPr>
        <w:t xml:space="preserve">case </w:t>
      </w:r>
      <w:r>
        <w:rPr>
          <w:rFonts w:ascii="Book Antiqua" w:hAnsi="Book Antiqua" w:cs="Arial"/>
        </w:rPr>
        <w:t xml:space="preserve">for a fresh hearing before the First-tier Tribunal (see </w:t>
      </w:r>
      <w:r w:rsidR="00EC4C92">
        <w:rPr>
          <w:rFonts w:ascii="Book Antiqua" w:hAnsi="Book Antiqua" w:cs="Arial"/>
        </w:rPr>
        <w:t xml:space="preserve">paragraph 7.2(a) </w:t>
      </w:r>
      <w:r>
        <w:rPr>
          <w:rFonts w:ascii="Book Antiqua" w:hAnsi="Book Antiqua" w:cs="Arial"/>
        </w:rPr>
        <w:t>Practice Statement</w:t>
      </w:r>
      <w:r w:rsidR="00EC4C92">
        <w:rPr>
          <w:rFonts w:ascii="Book Antiqua" w:hAnsi="Book Antiqua" w:cs="Arial"/>
        </w:rPr>
        <w:t xml:space="preserve"> – 25 September 2012</w:t>
      </w:r>
      <w:r>
        <w:rPr>
          <w:rFonts w:ascii="Book Antiqua" w:hAnsi="Book Antiqua" w:cs="Arial"/>
        </w:rPr>
        <w:t>).</w:t>
      </w:r>
    </w:p>
    <w:p w:rsidR="004B5A8F" w:rsidRDefault="004B5A8F" w:rsidP="00933B65">
      <w:pPr>
        <w:tabs>
          <w:tab w:val="left" w:pos="567"/>
        </w:tabs>
        <w:jc w:val="both"/>
        <w:rPr>
          <w:rFonts w:ascii="Book Antiqua" w:hAnsi="Book Antiqua" w:cs="Arial"/>
        </w:rPr>
      </w:pPr>
    </w:p>
    <w:p w:rsidR="004B5A8F" w:rsidRPr="004B5A8F" w:rsidRDefault="004B5A8F" w:rsidP="00933B65">
      <w:pPr>
        <w:tabs>
          <w:tab w:val="left" w:pos="567"/>
        </w:tabs>
        <w:jc w:val="both"/>
        <w:rPr>
          <w:rFonts w:ascii="Book Antiqua" w:hAnsi="Book Antiqua" w:cs="Arial"/>
          <w:u w:val="single"/>
        </w:rPr>
      </w:pPr>
      <w:r w:rsidRPr="004B5A8F">
        <w:rPr>
          <w:rFonts w:ascii="Book Antiqua" w:hAnsi="Book Antiqua" w:cs="Arial"/>
          <w:u w:val="single"/>
        </w:rPr>
        <w:t>DECISION</w:t>
      </w:r>
    </w:p>
    <w:p w:rsidR="004B5A8F" w:rsidRDefault="004B5A8F" w:rsidP="00933B65">
      <w:pPr>
        <w:tabs>
          <w:tab w:val="left" w:pos="567"/>
        </w:tabs>
        <w:jc w:val="both"/>
        <w:rPr>
          <w:rFonts w:ascii="Book Antiqua" w:hAnsi="Book Antiqua" w:cs="Arial"/>
        </w:rPr>
      </w:pPr>
    </w:p>
    <w:p w:rsidR="004B5A8F" w:rsidRDefault="004B5A8F" w:rsidP="00933B65">
      <w:pPr>
        <w:tabs>
          <w:tab w:val="left" w:pos="567"/>
        </w:tabs>
        <w:jc w:val="both"/>
        <w:rPr>
          <w:rFonts w:ascii="Book Antiqua" w:hAnsi="Book Antiqua" w:cs="Arial"/>
        </w:rPr>
      </w:pPr>
      <w:r>
        <w:rPr>
          <w:rFonts w:ascii="Book Antiqua" w:hAnsi="Book Antiqua" w:cs="Arial"/>
        </w:rPr>
        <w:t>The First-tier Tribunal decision involved the making of an error on a point of law</w:t>
      </w:r>
    </w:p>
    <w:p w:rsidR="004B5A8F" w:rsidRDefault="004B5A8F" w:rsidP="00933B65">
      <w:pPr>
        <w:tabs>
          <w:tab w:val="left" w:pos="567"/>
        </w:tabs>
        <w:jc w:val="both"/>
        <w:rPr>
          <w:rFonts w:ascii="Book Antiqua" w:hAnsi="Book Antiqua" w:cs="Arial"/>
        </w:rPr>
      </w:pPr>
    </w:p>
    <w:p w:rsidR="004B5A8F" w:rsidRDefault="004B5A8F" w:rsidP="00933B65">
      <w:pPr>
        <w:tabs>
          <w:tab w:val="left" w:pos="567"/>
        </w:tabs>
        <w:jc w:val="both"/>
        <w:rPr>
          <w:rFonts w:ascii="Book Antiqua" w:hAnsi="Book Antiqua" w:cs="Arial"/>
        </w:rPr>
      </w:pPr>
      <w:r>
        <w:rPr>
          <w:rFonts w:ascii="Book Antiqua" w:hAnsi="Book Antiqua" w:cs="Arial"/>
        </w:rPr>
        <w:t>The decision is set aside and remitted for a fresh hearing in the First-tier Tribunal</w:t>
      </w:r>
    </w:p>
    <w:p w:rsidR="00405694" w:rsidRDefault="00405694" w:rsidP="00933B65">
      <w:pPr>
        <w:tabs>
          <w:tab w:val="left" w:pos="567"/>
        </w:tabs>
        <w:jc w:val="both"/>
        <w:rPr>
          <w:rFonts w:ascii="Book Antiqua" w:hAnsi="Book Antiqua" w:cs="Arial"/>
        </w:rPr>
      </w:pPr>
    </w:p>
    <w:p w:rsidR="004B5A8F" w:rsidRDefault="004B5A8F"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26568D" w:rsidRPr="000A38E1">
        <w:rPr>
          <w:rFonts w:ascii="Book Antiqua" w:hAnsi="Book Antiqua" w:cs="Arial"/>
          <w:noProof/>
        </w:rPr>
        <w:drawing>
          <wp:inline distT="0" distB="0" distL="0" distR="0">
            <wp:extent cx="1379855" cy="3727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855" cy="372745"/>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410FC9">
        <w:rPr>
          <w:rFonts w:ascii="Book Antiqua" w:hAnsi="Book Antiqua" w:cs="Arial"/>
        </w:rPr>
        <w:t>20 August 2018</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546523" w:rsidRDefault="00546523" w:rsidP="00933B65">
      <w:pPr>
        <w:tabs>
          <w:tab w:val="left" w:pos="567"/>
        </w:tabs>
        <w:jc w:val="both"/>
        <w:rPr>
          <w:rFonts w:ascii="Book Antiqua" w:hAnsi="Book Antiqua" w:cs="Arial"/>
        </w:rPr>
      </w:pPr>
    </w:p>
    <w:p w:rsidR="00BB40C3" w:rsidRDefault="00BB40C3" w:rsidP="00546523">
      <w:pPr>
        <w:tabs>
          <w:tab w:val="left" w:pos="567"/>
        </w:tabs>
        <w:jc w:val="both"/>
        <w:rPr>
          <w:rFonts w:ascii="Book Antiqua" w:hAnsi="Book Antiqua" w:cs="Arial"/>
          <w:u w:val="single"/>
        </w:rPr>
      </w:pP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076" w:rsidRDefault="00DA7076">
      <w:r>
        <w:separator/>
      </w:r>
    </w:p>
  </w:endnote>
  <w:endnote w:type="continuationSeparator" w:id="0">
    <w:p w:rsidR="00DA7076" w:rsidRDefault="00DA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C11A40">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076" w:rsidRDefault="00DA7076">
      <w:r>
        <w:separator/>
      </w:r>
    </w:p>
  </w:footnote>
  <w:footnote w:type="continuationSeparator" w:id="0">
    <w:p w:rsidR="00DA7076" w:rsidRDefault="00DA7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F9B" w:rsidRPr="003D1F9B" w:rsidRDefault="00F75541" w:rsidP="003D1F9B">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3D1F9B" w:rsidRPr="003D1F9B">
      <w:rPr>
        <w:rFonts w:ascii="Book Antiqua" w:hAnsi="Book Antiqua" w:cs="Arial"/>
        <w:color w:val="000000"/>
        <w:sz w:val="16"/>
        <w:szCs w:val="16"/>
      </w:rPr>
      <w:t>HU/01217/2017</w:t>
    </w:r>
  </w:p>
  <w:p w:rsidR="003D1F9B" w:rsidRPr="003D1F9B" w:rsidRDefault="003D1F9B" w:rsidP="003D1F9B">
    <w:pPr>
      <w:tabs>
        <w:tab w:val="right" w:pos="9720"/>
      </w:tabs>
      <w:ind w:right="-82"/>
      <w:jc w:val="right"/>
      <w:rPr>
        <w:rFonts w:ascii="Book Antiqua" w:hAnsi="Book Antiqua" w:cs="Arial"/>
        <w:color w:val="000000"/>
        <w:sz w:val="16"/>
        <w:szCs w:val="16"/>
      </w:rPr>
    </w:pPr>
    <w:r w:rsidRPr="003D1F9B">
      <w:rPr>
        <w:rFonts w:ascii="Book Antiqua" w:hAnsi="Book Antiqua" w:cs="Arial"/>
        <w:color w:val="000000"/>
        <w:sz w:val="16"/>
        <w:szCs w:val="16"/>
      </w:rPr>
      <w:t>HU/01218/2017</w:t>
    </w:r>
  </w:p>
  <w:p w:rsidR="00CF2453" w:rsidRPr="00CF2453" w:rsidRDefault="00CF2453" w:rsidP="00CF2453">
    <w:pPr>
      <w:tabs>
        <w:tab w:val="right" w:pos="9720"/>
      </w:tabs>
      <w:ind w:right="-82"/>
      <w:jc w:val="right"/>
      <w:rPr>
        <w:rFonts w:ascii="Book Antiqua" w:hAnsi="Book Antiqua" w:cs="Arial"/>
        <w:color w:val="000000"/>
        <w:sz w:val="16"/>
        <w:szCs w:val="16"/>
      </w:rPr>
    </w:pP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7DD50B0"/>
    <w:multiLevelType w:val="hybridMultilevel"/>
    <w:tmpl w:val="4C08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520144E3"/>
    <w:multiLevelType w:val="hybridMultilevel"/>
    <w:tmpl w:val="889C4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21BF9"/>
    <w:rsid w:val="00047060"/>
    <w:rsid w:val="00056E7C"/>
    <w:rsid w:val="000644CE"/>
    <w:rsid w:val="000D0603"/>
    <w:rsid w:val="00115648"/>
    <w:rsid w:val="00194FB4"/>
    <w:rsid w:val="001A14A2"/>
    <w:rsid w:val="001A373D"/>
    <w:rsid w:val="001C2435"/>
    <w:rsid w:val="00200671"/>
    <w:rsid w:val="00262585"/>
    <w:rsid w:val="0026568D"/>
    <w:rsid w:val="00266FFE"/>
    <w:rsid w:val="00270D89"/>
    <w:rsid w:val="00272712"/>
    <w:rsid w:val="0027684E"/>
    <w:rsid w:val="00294F41"/>
    <w:rsid w:val="002F6D78"/>
    <w:rsid w:val="003049FE"/>
    <w:rsid w:val="00345182"/>
    <w:rsid w:val="00396F7B"/>
    <w:rsid w:val="003B36AE"/>
    <w:rsid w:val="003D1F9B"/>
    <w:rsid w:val="004044E6"/>
    <w:rsid w:val="00405694"/>
    <w:rsid w:val="00407E66"/>
    <w:rsid w:val="00410FC9"/>
    <w:rsid w:val="004171D0"/>
    <w:rsid w:val="00426F9F"/>
    <w:rsid w:val="00497CC7"/>
    <w:rsid w:val="004A012D"/>
    <w:rsid w:val="004B5A8F"/>
    <w:rsid w:val="004F4BE7"/>
    <w:rsid w:val="005269BB"/>
    <w:rsid w:val="00531DAB"/>
    <w:rsid w:val="00546523"/>
    <w:rsid w:val="0057020B"/>
    <w:rsid w:val="005819E4"/>
    <w:rsid w:val="005907D8"/>
    <w:rsid w:val="00614E94"/>
    <w:rsid w:val="00631E34"/>
    <w:rsid w:val="00662048"/>
    <w:rsid w:val="0068059E"/>
    <w:rsid w:val="0069151B"/>
    <w:rsid w:val="006A364A"/>
    <w:rsid w:val="00731039"/>
    <w:rsid w:val="0073630A"/>
    <w:rsid w:val="007A11C8"/>
    <w:rsid w:val="007B09CD"/>
    <w:rsid w:val="00816668"/>
    <w:rsid w:val="00821972"/>
    <w:rsid w:val="008832E8"/>
    <w:rsid w:val="008A3B24"/>
    <w:rsid w:val="008D02F3"/>
    <w:rsid w:val="008E01FB"/>
    <w:rsid w:val="008F0F73"/>
    <w:rsid w:val="00933B65"/>
    <w:rsid w:val="009348DE"/>
    <w:rsid w:val="0094479E"/>
    <w:rsid w:val="009671B5"/>
    <w:rsid w:val="009701EB"/>
    <w:rsid w:val="009942DD"/>
    <w:rsid w:val="009C1E70"/>
    <w:rsid w:val="009D5EB6"/>
    <w:rsid w:val="00A03E4C"/>
    <w:rsid w:val="00A472B6"/>
    <w:rsid w:val="00A57676"/>
    <w:rsid w:val="00A621AC"/>
    <w:rsid w:val="00A64052"/>
    <w:rsid w:val="00A7051D"/>
    <w:rsid w:val="00A70F8E"/>
    <w:rsid w:val="00A85C2A"/>
    <w:rsid w:val="00A86A8D"/>
    <w:rsid w:val="00AB1DC6"/>
    <w:rsid w:val="00AB703E"/>
    <w:rsid w:val="00B81201"/>
    <w:rsid w:val="00BB40C3"/>
    <w:rsid w:val="00C11A40"/>
    <w:rsid w:val="00C56E05"/>
    <w:rsid w:val="00C61D30"/>
    <w:rsid w:val="00C91E16"/>
    <w:rsid w:val="00CB0A7B"/>
    <w:rsid w:val="00CE5C94"/>
    <w:rsid w:val="00CF2453"/>
    <w:rsid w:val="00D25C76"/>
    <w:rsid w:val="00D3274C"/>
    <w:rsid w:val="00D36F32"/>
    <w:rsid w:val="00D40718"/>
    <w:rsid w:val="00D74EDE"/>
    <w:rsid w:val="00DA52F3"/>
    <w:rsid w:val="00DA7076"/>
    <w:rsid w:val="00DE3D56"/>
    <w:rsid w:val="00E15512"/>
    <w:rsid w:val="00E2527C"/>
    <w:rsid w:val="00E41B2B"/>
    <w:rsid w:val="00E468D9"/>
    <w:rsid w:val="00E63B55"/>
    <w:rsid w:val="00E96B33"/>
    <w:rsid w:val="00EC4C92"/>
    <w:rsid w:val="00ED1E61"/>
    <w:rsid w:val="00F648C0"/>
    <w:rsid w:val="00F66C52"/>
    <w:rsid w:val="00F75541"/>
    <w:rsid w:val="00F8752A"/>
    <w:rsid w:val="00FA0A2E"/>
    <w:rsid w:val="00FB051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1508</Words>
  <Characters>7716</Characters>
  <Application>Microsoft Office Word</Application>
  <DocSecurity>0</DocSecurity>
  <Lines>64</Lines>
  <Paragraphs>18</Paragraphs>
  <ScaleCrop>false</ScaleCrop>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2018-09-12T11:52:00Z</dcterms:created>
  <dcterms:modified xsi:type="dcterms:W3CDTF">2018-09-12T11:52:00Z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