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C0A" w:rsidRPr="000704BB" w:rsidRDefault="00860178" w:rsidP="00643BFC">
      <w:pPr>
        <w:jc w:val="center"/>
        <w:rPr>
          <w:rFonts w:ascii="Book Antiqua" w:hAnsi="Book Antiqua" w:cs="Arial"/>
          <w:caps/>
          <w:color w:val="000000"/>
          <w:sz w:val="16"/>
          <w:szCs w:val="16"/>
        </w:rPr>
      </w:pPr>
      <w:r w:rsidRPr="00F63A10">
        <w:rPr>
          <w:noProof/>
        </w:rPr>
        <w:drawing>
          <wp:inline distT="0" distB="0" distL="0" distR="0">
            <wp:extent cx="103314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3145" cy="906145"/>
                    </a:xfrm>
                    <a:prstGeom prst="rect">
                      <a:avLst/>
                    </a:prstGeom>
                    <a:noFill/>
                    <a:ln>
                      <a:noFill/>
                    </a:ln>
                  </pic:spPr>
                </pic:pic>
              </a:graphicData>
            </a:graphic>
          </wp:inline>
        </w:drawing>
      </w:r>
    </w:p>
    <w:p w:rsidR="00F31C0A" w:rsidRPr="000704BB" w:rsidRDefault="00F31C0A">
      <w:pPr>
        <w:rPr>
          <w:rFonts w:ascii="Book Antiqua" w:hAnsi="Book Antiqua" w:cs="Arial"/>
          <w:color w:val="000000"/>
          <w:sz w:val="16"/>
          <w:szCs w:val="16"/>
        </w:rPr>
      </w:pPr>
    </w:p>
    <w:p w:rsidR="00F31C0A" w:rsidRPr="000704BB" w:rsidRDefault="00F31C0A"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rsidR="00F31C0A" w:rsidRPr="000704BB" w:rsidRDefault="00F31C0A"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 xml:space="preserve">Appeal Number: </w:t>
      </w:r>
      <w:bookmarkStart w:id="0" w:name="_GoBack"/>
      <w:r>
        <w:rPr>
          <w:rFonts w:ascii="Book Antiqua" w:hAnsi="Book Antiqua" w:cs="Arial"/>
          <w:caps/>
          <w:color w:val="000000"/>
        </w:rPr>
        <w:t>hu/01531/2015</w:t>
      </w:r>
      <w:bookmarkEnd w:id="0"/>
    </w:p>
    <w:p w:rsidR="00F31C0A" w:rsidRPr="000704BB" w:rsidRDefault="00F31C0A" w:rsidP="00C345E1">
      <w:pPr>
        <w:jc w:val="center"/>
        <w:rPr>
          <w:rFonts w:ascii="Book Antiqua" w:hAnsi="Book Antiqua" w:cs="Arial"/>
          <w:color w:val="000000"/>
        </w:rPr>
      </w:pPr>
    </w:p>
    <w:p w:rsidR="00F31C0A" w:rsidRPr="000704BB" w:rsidRDefault="00F31C0A" w:rsidP="00C345E1">
      <w:pPr>
        <w:jc w:val="center"/>
        <w:rPr>
          <w:rFonts w:ascii="Book Antiqua" w:hAnsi="Book Antiqua" w:cs="Arial"/>
          <w:color w:val="000000"/>
        </w:rPr>
      </w:pPr>
    </w:p>
    <w:p w:rsidR="00F31C0A" w:rsidRPr="000704BB" w:rsidRDefault="00F31C0A"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F31C0A" w:rsidRPr="000704BB" w:rsidRDefault="00F31C0A" w:rsidP="00C345E1">
      <w:pPr>
        <w:jc w:val="center"/>
        <w:rPr>
          <w:rFonts w:ascii="Book Antiqua" w:hAnsi="Book Antiqua" w:cs="Arial"/>
          <w:b/>
          <w:u w:val="single"/>
        </w:rPr>
      </w:pPr>
    </w:p>
    <w:p w:rsidR="00F31C0A" w:rsidRPr="000704BB" w:rsidRDefault="00F31C0A"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F31C0A" w:rsidRPr="000704BB" w:rsidTr="007F1058">
        <w:tc>
          <w:tcPr>
            <w:tcW w:w="6048" w:type="dxa"/>
          </w:tcPr>
          <w:p w:rsidR="00F31C0A" w:rsidRPr="007F1058" w:rsidRDefault="00F31C0A" w:rsidP="007F1058">
            <w:pPr>
              <w:jc w:val="both"/>
              <w:rPr>
                <w:rFonts w:ascii="Book Antiqua" w:hAnsi="Book Antiqua" w:cs="Arial"/>
                <w:b/>
              </w:rPr>
            </w:pPr>
            <w:r w:rsidRPr="007F1058">
              <w:rPr>
                <w:rFonts w:ascii="Book Antiqua" w:hAnsi="Book Antiqua" w:cs="Arial"/>
                <w:b/>
              </w:rPr>
              <w:t>Heard at Field House</w:t>
            </w:r>
          </w:p>
        </w:tc>
        <w:tc>
          <w:tcPr>
            <w:tcW w:w="3960" w:type="dxa"/>
          </w:tcPr>
          <w:p w:rsidR="00F31C0A" w:rsidRPr="007F1058" w:rsidRDefault="00F31C0A" w:rsidP="007F1058">
            <w:pPr>
              <w:jc w:val="both"/>
              <w:rPr>
                <w:rFonts w:ascii="Book Antiqua" w:hAnsi="Book Antiqua" w:cs="Arial"/>
                <w:b/>
                <w:color w:val="000000"/>
              </w:rPr>
            </w:pPr>
            <w:r w:rsidRPr="007F1058">
              <w:rPr>
                <w:rFonts w:ascii="Book Antiqua" w:hAnsi="Book Antiqua" w:cs="Arial"/>
                <w:b/>
                <w:color w:val="000000"/>
              </w:rPr>
              <w:t>Decision &amp; Reasons Promulgated</w:t>
            </w:r>
          </w:p>
        </w:tc>
      </w:tr>
      <w:tr w:rsidR="00F31C0A" w:rsidRPr="000704BB" w:rsidTr="007F1058">
        <w:tc>
          <w:tcPr>
            <w:tcW w:w="6048" w:type="dxa"/>
          </w:tcPr>
          <w:p w:rsidR="00F31C0A" w:rsidRPr="007F1058" w:rsidRDefault="00F31C0A" w:rsidP="007F1058">
            <w:pPr>
              <w:jc w:val="both"/>
              <w:rPr>
                <w:rFonts w:ascii="Book Antiqua" w:hAnsi="Book Antiqua" w:cs="Arial"/>
                <w:b/>
              </w:rPr>
            </w:pPr>
            <w:r w:rsidRPr="007F1058">
              <w:rPr>
                <w:rFonts w:ascii="Book Antiqua" w:hAnsi="Book Antiqua" w:cs="Arial"/>
                <w:b/>
              </w:rPr>
              <w:t>On 14 May 2018</w:t>
            </w:r>
          </w:p>
        </w:tc>
        <w:tc>
          <w:tcPr>
            <w:tcW w:w="3960" w:type="dxa"/>
          </w:tcPr>
          <w:p w:rsidR="00F31C0A" w:rsidRPr="007F1058" w:rsidRDefault="00860178" w:rsidP="007F1058">
            <w:pPr>
              <w:jc w:val="both"/>
              <w:rPr>
                <w:rFonts w:ascii="Book Antiqua" w:hAnsi="Book Antiqua" w:cs="Arial"/>
                <w:b/>
              </w:rPr>
            </w:pPr>
            <w:r>
              <w:rPr>
                <w:rFonts w:ascii="Book Antiqua" w:hAnsi="Book Antiqua" w:cs="Arial"/>
                <w:b/>
              </w:rPr>
              <w:t>On 7 August 2018</w:t>
            </w:r>
          </w:p>
        </w:tc>
      </w:tr>
      <w:tr w:rsidR="00F31C0A" w:rsidRPr="000704BB" w:rsidTr="007F1058">
        <w:tc>
          <w:tcPr>
            <w:tcW w:w="6048" w:type="dxa"/>
          </w:tcPr>
          <w:p w:rsidR="00F31C0A" w:rsidRPr="007F1058" w:rsidRDefault="00F31C0A" w:rsidP="007F1058">
            <w:pPr>
              <w:jc w:val="both"/>
              <w:rPr>
                <w:rFonts w:ascii="Book Antiqua" w:hAnsi="Book Antiqua" w:cs="Arial"/>
                <w:b/>
              </w:rPr>
            </w:pPr>
          </w:p>
        </w:tc>
        <w:tc>
          <w:tcPr>
            <w:tcW w:w="3960" w:type="dxa"/>
          </w:tcPr>
          <w:p w:rsidR="00F31C0A" w:rsidRPr="007F1058" w:rsidRDefault="00F31C0A" w:rsidP="007F1058">
            <w:pPr>
              <w:jc w:val="both"/>
              <w:rPr>
                <w:rFonts w:ascii="Book Antiqua" w:hAnsi="Book Antiqua" w:cs="Arial"/>
                <w:b/>
              </w:rPr>
            </w:pPr>
          </w:p>
        </w:tc>
      </w:tr>
    </w:tbl>
    <w:p w:rsidR="00F31C0A" w:rsidRPr="000704BB" w:rsidRDefault="00F31C0A" w:rsidP="00A15234">
      <w:pPr>
        <w:jc w:val="center"/>
        <w:rPr>
          <w:rFonts w:ascii="Book Antiqua" w:hAnsi="Book Antiqua" w:cs="Arial"/>
        </w:rPr>
      </w:pPr>
    </w:p>
    <w:p w:rsidR="00F31C0A" w:rsidRPr="000704BB" w:rsidRDefault="00F31C0A" w:rsidP="00A15234">
      <w:pPr>
        <w:jc w:val="center"/>
        <w:rPr>
          <w:rFonts w:ascii="Book Antiqua" w:hAnsi="Book Antiqua" w:cs="Arial"/>
          <w:b/>
        </w:rPr>
      </w:pPr>
      <w:r w:rsidRPr="000704BB">
        <w:rPr>
          <w:rFonts w:ascii="Book Antiqua" w:hAnsi="Book Antiqua" w:cs="Arial"/>
          <w:b/>
        </w:rPr>
        <w:t>Before</w:t>
      </w:r>
    </w:p>
    <w:p w:rsidR="00F31C0A" w:rsidRPr="000704BB" w:rsidRDefault="00F31C0A" w:rsidP="00A15234">
      <w:pPr>
        <w:jc w:val="center"/>
        <w:rPr>
          <w:rFonts w:ascii="Book Antiqua" w:hAnsi="Book Antiqua" w:cs="Arial"/>
          <w:b/>
        </w:rPr>
      </w:pPr>
    </w:p>
    <w:p w:rsidR="00F31C0A" w:rsidRPr="000704BB" w:rsidRDefault="00F31C0A" w:rsidP="00A15234">
      <w:pPr>
        <w:jc w:val="center"/>
        <w:rPr>
          <w:rFonts w:ascii="Book Antiqua" w:hAnsi="Book Antiqua" w:cs="Arial"/>
          <w:b/>
          <w:color w:val="000000"/>
        </w:rPr>
      </w:pPr>
      <w:r>
        <w:rPr>
          <w:rFonts w:ascii="Book Antiqua" w:hAnsi="Book Antiqua" w:cs="Arial"/>
          <w:b/>
          <w:color w:val="000000"/>
        </w:rPr>
        <w:t>DEPUTY UPPER TRIBUNAL JUDGE DAVEY</w:t>
      </w:r>
    </w:p>
    <w:p w:rsidR="00F31C0A" w:rsidRPr="000704BB" w:rsidRDefault="00F31C0A" w:rsidP="00A15234">
      <w:pPr>
        <w:jc w:val="center"/>
        <w:rPr>
          <w:rFonts w:ascii="Book Antiqua" w:hAnsi="Book Antiqua" w:cs="Arial"/>
          <w:b/>
          <w:color w:val="000000"/>
        </w:rPr>
      </w:pPr>
    </w:p>
    <w:p w:rsidR="00F31C0A" w:rsidRPr="000704BB" w:rsidRDefault="00F31C0A" w:rsidP="00A15234">
      <w:pPr>
        <w:jc w:val="center"/>
        <w:rPr>
          <w:rFonts w:ascii="Book Antiqua" w:hAnsi="Book Antiqua" w:cs="Arial"/>
          <w:b/>
        </w:rPr>
      </w:pPr>
    </w:p>
    <w:p w:rsidR="00F31C0A" w:rsidRPr="000704BB" w:rsidRDefault="00F31C0A" w:rsidP="00A15234">
      <w:pPr>
        <w:jc w:val="center"/>
        <w:rPr>
          <w:rFonts w:ascii="Book Antiqua" w:hAnsi="Book Antiqua" w:cs="Arial"/>
          <w:b/>
        </w:rPr>
      </w:pPr>
      <w:r w:rsidRPr="000704BB">
        <w:rPr>
          <w:rFonts w:ascii="Book Antiqua" w:hAnsi="Book Antiqua" w:cs="Arial"/>
          <w:b/>
        </w:rPr>
        <w:t>Between</w:t>
      </w:r>
    </w:p>
    <w:p w:rsidR="00F31C0A" w:rsidRPr="000704BB" w:rsidRDefault="00F31C0A" w:rsidP="00A15234">
      <w:pPr>
        <w:jc w:val="center"/>
        <w:rPr>
          <w:rFonts w:ascii="Book Antiqua" w:hAnsi="Book Antiqua" w:cs="Arial"/>
          <w:b/>
        </w:rPr>
      </w:pPr>
    </w:p>
    <w:p w:rsidR="00F31C0A" w:rsidRDefault="00F31C0A" w:rsidP="00A15234">
      <w:pPr>
        <w:jc w:val="center"/>
        <w:rPr>
          <w:rFonts w:ascii="Book Antiqua" w:hAnsi="Book Antiqua" w:cs="Arial"/>
          <w:b/>
          <w:caps/>
        </w:rPr>
      </w:pPr>
      <w:r>
        <w:rPr>
          <w:rFonts w:ascii="Book Antiqua" w:hAnsi="Book Antiqua" w:cs="Arial"/>
          <w:b/>
          <w:caps/>
        </w:rPr>
        <w:t xml:space="preserve">mohammad </w:t>
      </w:r>
      <w:r w:rsidR="00207449">
        <w:rPr>
          <w:rFonts w:ascii="Book Antiqua" w:hAnsi="Book Antiqua" w:cs="Arial"/>
          <w:b/>
          <w:caps/>
        </w:rPr>
        <w:t>[</w:t>
      </w:r>
      <w:r>
        <w:rPr>
          <w:rFonts w:ascii="Book Antiqua" w:hAnsi="Book Antiqua" w:cs="Arial"/>
          <w:b/>
          <w:caps/>
        </w:rPr>
        <w:t>u</w:t>
      </w:r>
      <w:r w:rsidR="00207449">
        <w:rPr>
          <w:rFonts w:ascii="Book Antiqua" w:hAnsi="Book Antiqua" w:cs="Arial"/>
          <w:b/>
          <w:caps/>
        </w:rPr>
        <w:t>]</w:t>
      </w:r>
    </w:p>
    <w:p w:rsidR="00F31C0A" w:rsidRPr="00207449" w:rsidRDefault="00F31C0A" w:rsidP="000B0A3F">
      <w:pPr>
        <w:jc w:val="center"/>
        <w:rPr>
          <w:rFonts w:ascii="Book Antiqua" w:hAnsi="Book Antiqua" w:cs="Arial"/>
          <w:b/>
          <w:caps/>
          <w:sz w:val="22"/>
        </w:rPr>
      </w:pPr>
      <w:r w:rsidRPr="00207449">
        <w:rPr>
          <w:rFonts w:ascii="Book Antiqua" w:hAnsi="Book Antiqua" w:cs="Arial"/>
          <w:b/>
          <w:caps/>
          <w:sz w:val="22"/>
        </w:rPr>
        <w:t>(ANONYMITY DIRECTION not made)</w:t>
      </w:r>
    </w:p>
    <w:p w:rsidR="00F31C0A" w:rsidRPr="000704BB" w:rsidRDefault="00F31C0A" w:rsidP="00704B61">
      <w:pPr>
        <w:jc w:val="right"/>
        <w:rPr>
          <w:rFonts w:ascii="Book Antiqua" w:hAnsi="Book Antiqua" w:cs="Arial"/>
          <w:u w:val="single"/>
        </w:rPr>
      </w:pPr>
      <w:r w:rsidRPr="000704BB">
        <w:rPr>
          <w:rFonts w:ascii="Book Antiqua" w:hAnsi="Book Antiqua" w:cs="Arial"/>
          <w:u w:val="single"/>
        </w:rPr>
        <w:t>Appellant</w:t>
      </w:r>
    </w:p>
    <w:p w:rsidR="00F31C0A" w:rsidRPr="000704BB" w:rsidRDefault="00F31C0A" w:rsidP="00704B61">
      <w:pPr>
        <w:jc w:val="center"/>
        <w:rPr>
          <w:rFonts w:ascii="Book Antiqua" w:hAnsi="Book Antiqua" w:cs="Arial"/>
          <w:b/>
        </w:rPr>
      </w:pPr>
      <w:r w:rsidRPr="000704BB">
        <w:rPr>
          <w:rFonts w:ascii="Book Antiqua" w:hAnsi="Book Antiqua" w:cs="Arial"/>
          <w:b/>
        </w:rPr>
        <w:t>and</w:t>
      </w:r>
    </w:p>
    <w:p w:rsidR="00F31C0A" w:rsidRPr="000704BB" w:rsidRDefault="00F31C0A" w:rsidP="00704B61">
      <w:pPr>
        <w:jc w:val="center"/>
        <w:rPr>
          <w:rFonts w:ascii="Book Antiqua" w:hAnsi="Book Antiqua" w:cs="Arial"/>
          <w:b/>
        </w:rPr>
      </w:pPr>
    </w:p>
    <w:bookmarkStart w:id="1" w:name="Text7"/>
    <w:p w:rsidR="00F31C0A" w:rsidRPr="000704BB" w:rsidRDefault="00F31C0A"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F31C0A" w:rsidRPr="000704BB" w:rsidRDefault="00F31C0A" w:rsidP="00DD5071">
      <w:pPr>
        <w:jc w:val="right"/>
        <w:rPr>
          <w:rFonts w:ascii="Book Antiqua" w:hAnsi="Book Antiqua" w:cs="Arial"/>
          <w:u w:val="single"/>
        </w:rPr>
      </w:pPr>
      <w:r w:rsidRPr="000704BB">
        <w:rPr>
          <w:rFonts w:ascii="Book Antiqua" w:hAnsi="Book Antiqua" w:cs="Arial"/>
          <w:u w:val="single"/>
        </w:rPr>
        <w:t>Respondent</w:t>
      </w:r>
    </w:p>
    <w:p w:rsidR="00F31C0A" w:rsidRDefault="00F31C0A" w:rsidP="00DD5071">
      <w:pPr>
        <w:rPr>
          <w:rFonts w:ascii="Book Antiqua" w:hAnsi="Book Antiqua" w:cs="Arial"/>
          <w:u w:val="single"/>
        </w:rPr>
      </w:pPr>
    </w:p>
    <w:p w:rsidR="00207449" w:rsidRPr="000704BB" w:rsidRDefault="00207449" w:rsidP="00DD5071">
      <w:pPr>
        <w:rPr>
          <w:rFonts w:ascii="Book Antiqua" w:hAnsi="Book Antiqua" w:cs="Arial"/>
          <w:u w:val="single"/>
        </w:rPr>
      </w:pPr>
    </w:p>
    <w:p w:rsidR="00F31C0A" w:rsidRPr="000704BB" w:rsidRDefault="00F31C0A"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F31C0A" w:rsidRPr="000704BB" w:rsidRDefault="00F31C0A" w:rsidP="00825C75">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 xml:space="preserve">Mr A </w:t>
      </w:r>
      <w:proofErr w:type="spellStart"/>
      <w:r>
        <w:rPr>
          <w:rFonts w:ascii="Book Antiqua" w:hAnsi="Book Antiqua" w:cs="Arial"/>
        </w:rPr>
        <w:t>Slatter</w:t>
      </w:r>
      <w:proofErr w:type="spellEnd"/>
      <w:r>
        <w:rPr>
          <w:rFonts w:ascii="Book Antiqua" w:hAnsi="Book Antiqua" w:cs="Arial"/>
        </w:rPr>
        <w:t xml:space="preserve">, counsel instructed by </w:t>
      </w:r>
      <w:proofErr w:type="spellStart"/>
      <w:r>
        <w:rPr>
          <w:rFonts w:ascii="Book Antiqua" w:hAnsi="Book Antiqua" w:cs="Arial"/>
        </w:rPr>
        <w:t>Makka</w:t>
      </w:r>
      <w:proofErr w:type="spellEnd"/>
      <w:r>
        <w:rPr>
          <w:rFonts w:ascii="Book Antiqua" w:hAnsi="Book Antiqua" w:cs="Arial"/>
        </w:rPr>
        <w:t xml:space="preserve"> Solicitors Limited</w:t>
      </w:r>
    </w:p>
    <w:p w:rsidR="00F31C0A" w:rsidRPr="000704BB" w:rsidRDefault="00F31C0A" w:rsidP="00825C75">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Miss J Isherwood, Senior Presenting Officer</w:t>
      </w:r>
    </w:p>
    <w:p w:rsidR="00F31C0A" w:rsidRPr="000704BB" w:rsidRDefault="00F31C0A" w:rsidP="00402B9E">
      <w:pPr>
        <w:tabs>
          <w:tab w:val="left" w:pos="2520"/>
        </w:tabs>
        <w:jc w:val="center"/>
        <w:rPr>
          <w:rFonts w:ascii="Book Antiqua" w:hAnsi="Book Antiqua" w:cs="Arial"/>
        </w:rPr>
      </w:pPr>
    </w:p>
    <w:p w:rsidR="00F31C0A" w:rsidRPr="000704BB" w:rsidRDefault="00F31C0A" w:rsidP="00402B9E">
      <w:pPr>
        <w:tabs>
          <w:tab w:val="left" w:pos="2520"/>
        </w:tabs>
        <w:jc w:val="center"/>
        <w:rPr>
          <w:rFonts w:ascii="Book Antiqua" w:hAnsi="Book Antiqua" w:cs="Arial"/>
        </w:rPr>
      </w:pPr>
    </w:p>
    <w:p w:rsidR="00F31C0A" w:rsidRPr="000704BB" w:rsidRDefault="00F31C0A" w:rsidP="00402B9E">
      <w:pPr>
        <w:tabs>
          <w:tab w:val="left" w:pos="2520"/>
        </w:tabs>
        <w:jc w:val="center"/>
        <w:rPr>
          <w:rFonts w:ascii="Book Antiqua" w:hAnsi="Book Antiqua" w:cs="Arial"/>
        </w:rPr>
      </w:pPr>
      <w:r>
        <w:rPr>
          <w:rFonts w:ascii="Book Antiqua" w:hAnsi="Book Antiqua" w:cs="Arial"/>
          <w:b/>
          <w:u w:val="single"/>
        </w:rPr>
        <w:t xml:space="preserve">DECISION </w:t>
      </w:r>
      <w:r w:rsidRPr="000704BB">
        <w:rPr>
          <w:rFonts w:ascii="Book Antiqua" w:hAnsi="Book Antiqua" w:cs="Arial"/>
          <w:b/>
          <w:u w:val="single"/>
        </w:rPr>
        <w:t>AND REASONS</w:t>
      </w:r>
    </w:p>
    <w:p w:rsidR="003C12D0" w:rsidRDefault="00F31C0A" w:rsidP="00207449">
      <w:pPr>
        <w:spacing w:before="160" w:after="160" w:line="360" w:lineRule="auto"/>
        <w:ind w:left="567" w:hanging="567"/>
        <w:jc w:val="both"/>
        <w:rPr>
          <w:rFonts w:ascii="Book Antiqua" w:hAnsi="Book Antiqua" w:cs="Arial"/>
        </w:rPr>
      </w:pPr>
      <w:r>
        <w:rPr>
          <w:rFonts w:ascii="Book Antiqua" w:hAnsi="Book Antiqua" w:cs="Arial"/>
        </w:rPr>
        <w:t>1.</w:t>
      </w:r>
      <w:r>
        <w:rPr>
          <w:rFonts w:ascii="Book Antiqua" w:hAnsi="Book Antiqua" w:cs="Arial"/>
        </w:rPr>
        <w:tab/>
        <w:t>The Appellant, a national of Bangladesh, date of birth 25 December 1979, appealed against the Respondent’s decision made on 23 June 2015 to refuse an application for leave to remain on the basis o</w:t>
      </w:r>
      <w:r w:rsidR="003C12D0">
        <w:rPr>
          <w:rFonts w:ascii="Book Antiqua" w:hAnsi="Book Antiqua" w:cs="Arial"/>
        </w:rPr>
        <w:t>f his private and family life.</w:t>
      </w:r>
    </w:p>
    <w:p w:rsidR="003C12D0" w:rsidRDefault="003C12D0" w:rsidP="00207449">
      <w:pPr>
        <w:spacing w:before="160" w:after="160"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r>
      <w:r w:rsidR="00F31C0A">
        <w:rPr>
          <w:rFonts w:ascii="Book Antiqua" w:hAnsi="Book Antiqua" w:cs="Arial"/>
        </w:rPr>
        <w:t xml:space="preserve">The appeal came before First-tier Tribunal Judge L Rahman (the Judge) who dismissed the appeal against that decision.  Permission to appeal that decision was given and on </w:t>
      </w:r>
      <w:r w:rsidR="00F31C0A">
        <w:rPr>
          <w:rFonts w:ascii="Book Antiqua" w:hAnsi="Book Antiqua" w:cs="Arial"/>
        </w:rPr>
        <w:lastRenderedPageBreak/>
        <w:t>11 April 2018 I</w:t>
      </w:r>
      <w:r>
        <w:rPr>
          <w:rFonts w:ascii="Book Antiqua" w:hAnsi="Book Antiqua" w:cs="Arial"/>
        </w:rPr>
        <w:t xml:space="preserve"> </w:t>
      </w:r>
      <w:r w:rsidR="00F31C0A">
        <w:rPr>
          <w:rFonts w:ascii="Book Antiqua" w:hAnsi="Book Antiqua" w:cs="Arial"/>
        </w:rPr>
        <w:t>found for reasons given in the decision dated 20 February 2018 that the original Tribunal decision could not stand and that matter would have to be remade in the Upper Tri</w:t>
      </w:r>
      <w:r>
        <w:rPr>
          <w:rFonts w:ascii="Book Antiqua" w:hAnsi="Book Antiqua" w:cs="Arial"/>
        </w:rPr>
        <w:t>bunal.  Directions were given.</w:t>
      </w:r>
    </w:p>
    <w:p w:rsidR="003C12D0" w:rsidRDefault="003C12D0" w:rsidP="00207449">
      <w:pPr>
        <w:spacing w:before="160" w:after="160"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r>
      <w:r w:rsidR="00F31C0A">
        <w:rPr>
          <w:rFonts w:ascii="Book Antiqua" w:hAnsi="Book Antiqua" w:cs="Arial"/>
        </w:rPr>
        <w:t xml:space="preserve">At the resumed hearing on 14 May 2018 evidence was provided concerning from the Appellant and his wife </w:t>
      </w:r>
      <w:r w:rsidR="00207449">
        <w:rPr>
          <w:rFonts w:ascii="Book Antiqua" w:hAnsi="Book Antiqua" w:cs="Arial"/>
        </w:rPr>
        <w:t>[</w:t>
      </w:r>
      <w:r w:rsidR="00F31C0A">
        <w:rPr>
          <w:rFonts w:ascii="Book Antiqua" w:hAnsi="Book Antiqua" w:cs="Arial"/>
        </w:rPr>
        <w:t>SC</w:t>
      </w:r>
      <w:r w:rsidR="00207449">
        <w:rPr>
          <w:rFonts w:ascii="Book Antiqua" w:hAnsi="Book Antiqua" w:cs="Arial"/>
        </w:rPr>
        <w:t>]</w:t>
      </w:r>
      <w:r w:rsidR="00F31C0A">
        <w:rPr>
          <w:rFonts w:ascii="Book Antiqua" w:hAnsi="Book Antiqua" w:cs="Arial"/>
        </w:rPr>
        <w:t xml:space="preserve">, a British national date of birth 20 August 1988.  The Appellant’s wife had come to the </w:t>
      </w:r>
      <w:smartTag w:uri="urn:schemas-microsoft-com:office:smarttags" w:element="country-region">
        <w:smartTag w:uri="urn:schemas-microsoft-com:office:smarttags" w:element="place">
          <w:r w:rsidR="00F31C0A">
            <w:rPr>
              <w:rFonts w:ascii="Book Antiqua" w:hAnsi="Book Antiqua" w:cs="Arial"/>
            </w:rPr>
            <w:t>United Kingdom</w:t>
          </w:r>
        </w:smartTag>
      </w:smartTag>
      <w:r w:rsidR="00F31C0A">
        <w:rPr>
          <w:rFonts w:ascii="Book Antiqua" w:hAnsi="Book Antiqua" w:cs="Arial"/>
        </w:rPr>
        <w:t xml:space="preserve"> aged about 17 years and had lived here since about 2005, getting indefinite leave to remain in 2007.  She is the mother of their child </w:t>
      </w:r>
      <w:r w:rsidR="00207449">
        <w:rPr>
          <w:rFonts w:ascii="Book Antiqua" w:hAnsi="Book Antiqua" w:cs="Arial"/>
        </w:rPr>
        <w:t>[</w:t>
      </w:r>
      <w:r w:rsidR="00F31C0A">
        <w:rPr>
          <w:rFonts w:ascii="Book Antiqua" w:hAnsi="Book Antiqua" w:cs="Arial"/>
        </w:rPr>
        <w:t>Z</w:t>
      </w:r>
      <w:r w:rsidR="00207449">
        <w:rPr>
          <w:rFonts w:ascii="Book Antiqua" w:hAnsi="Book Antiqua" w:cs="Arial"/>
        </w:rPr>
        <w:t>]</w:t>
      </w:r>
      <w:r w:rsidR="00F31C0A">
        <w:rPr>
          <w:rFonts w:ascii="Book Antiqua" w:hAnsi="Book Antiqua" w:cs="Arial"/>
        </w:rPr>
        <w:t xml:space="preserve">, date of birth 18 May 2015.  </w:t>
      </w:r>
      <w:r w:rsidR="00207449">
        <w:rPr>
          <w:rFonts w:ascii="Book Antiqua" w:hAnsi="Book Antiqua" w:cs="Arial"/>
        </w:rPr>
        <w:t>[Z]</w:t>
      </w:r>
      <w:r w:rsidR="00F31C0A">
        <w:rPr>
          <w:rFonts w:ascii="Book Antiqua" w:hAnsi="Book Antiqua" w:cs="Arial"/>
        </w:rPr>
        <w:t xml:space="preserve"> is a British national.  The Appellant claim</w:t>
      </w:r>
      <w:r>
        <w:rPr>
          <w:rFonts w:ascii="Book Antiqua" w:hAnsi="Book Antiqua" w:cs="Arial"/>
        </w:rPr>
        <w:t>ed</w:t>
      </w:r>
      <w:r w:rsidR="00F31C0A">
        <w:rPr>
          <w:rFonts w:ascii="Book Antiqua" w:hAnsi="Book Antiqua" w:cs="Arial"/>
        </w:rPr>
        <w:t xml:space="preserve"> that his removal would be a breach of Article 8 ECHR rights in that it would interfere with his private and family life of which the care of his daughter </w:t>
      </w:r>
      <w:r w:rsidR="00207449">
        <w:rPr>
          <w:rFonts w:ascii="Book Antiqua" w:hAnsi="Book Antiqua" w:cs="Arial"/>
        </w:rPr>
        <w:t>[Z]</w:t>
      </w:r>
      <w:r w:rsidR="00F31C0A">
        <w:rPr>
          <w:rFonts w:ascii="Book Antiqua" w:hAnsi="Book Antiqua" w:cs="Arial"/>
        </w:rPr>
        <w:t xml:space="preserve"> plays a significant part and i</w:t>
      </w:r>
      <w:r>
        <w:rPr>
          <w:rFonts w:ascii="Book Antiqua" w:hAnsi="Book Antiqua" w:cs="Arial"/>
        </w:rPr>
        <w:t>n which he has an active role.</w:t>
      </w:r>
    </w:p>
    <w:p w:rsidR="00B640B0" w:rsidRDefault="003C12D0" w:rsidP="00207449">
      <w:pPr>
        <w:spacing w:before="160" w:after="160"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r>
      <w:r w:rsidR="00F31C0A">
        <w:rPr>
          <w:rFonts w:ascii="Book Antiqua" w:hAnsi="Book Antiqua" w:cs="Arial"/>
        </w:rPr>
        <w:t xml:space="preserve">For the avoidance of doubt, the Appellant’s wife has a good immigration history.  So far as the Appellant is concerned, the Appellant lawfully entered the </w:t>
      </w:r>
      <w:smartTag w:uri="urn:schemas-microsoft-com:office:smarttags" w:element="country-region">
        <w:smartTag w:uri="urn:schemas-microsoft-com:office:smarttags" w:element="place">
          <w:r w:rsidR="00F31C0A">
            <w:rPr>
              <w:rFonts w:ascii="Book Antiqua" w:hAnsi="Book Antiqua" w:cs="Arial"/>
            </w:rPr>
            <w:t>United Kingdom</w:t>
          </w:r>
        </w:smartTag>
      </w:smartTag>
      <w:r w:rsidR="00F31C0A">
        <w:rPr>
          <w:rFonts w:ascii="Book Antiqua" w:hAnsi="Book Antiqua" w:cs="Arial"/>
        </w:rPr>
        <w:t xml:space="preserve"> with a valid student visa on 12 August 2009 which by various extensions was granted until 27 June 2014.  On 26 June 2014 the Appellant made an application for a further extension as a student but was refused with a right of appeal on 31 December 2014.  The App</w:t>
      </w:r>
      <w:r w:rsidR="00B640B0">
        <w:rPr>
          <w:rFonts w:ascii="Book Antiqua" w:hAnsi="Book Antiqua" w:cs="Arial"/>
        </w:rPr>
        <w:t>ellant appealed that decision.</w:t>
      </w:r>
    </w:p>
    <w:p w:rsidR="00B640B0" w:rsidRDefault="00B640B0" w:rsidP="00207449">
      <w:pPr>
        <w:spacing w:before="160" w:after="160" w:line="360" w:lineRule="auto"/>
        <w:ind w:left="567" w:hanging="567"/>
        <w:jc w:val="both"/>
        <w:rPr>
          <w:rFonts w:ascii="Book Antiqua" w:hAnsi="Book Antiqua" w:cs="Arial"/>
        </w:rPr>
      </w:pPr>
      <w:r>
        <w:rPr>
          <w:rFonts w:ascii="Book Antiqua" w:hAnsi="Book Antiqua" w:cs="Arial"/>
        </w:rPr>
        <w:t>5.</w:t>
      </w:r>
      <w:r>
        <w:rPr>
          <w:rFonts w:ascii="Book Antiqua" w:hAnsi="Book Antiqua" w:cs="Arial"/>
        </w:rPr>
        <w:tab/>
      </w:r>
      <w:r w:rsidR="00F31C0A">
        <w:rPr>
          <w:rFonts w:ascii="Book Antiqua" w:hAnsi="Book Antiqua" w:cs="Arial"/>
        </w:rPr>
        <w:t xml:space="preserve">The Appellant married his wife in or on 7 January 2015 and they have been together ever since.  Following the marriage on 12 February 2015 the Appellant’s previous representatives (Simon Noble solicitors) submitted a further leave to remain on the basis of marriage.  Subsequently the representatives withdrew the pending appeal mentioned above whereas they should have withdrawn the appeal prior to making </w:t>
      </w:r>
      <w:r>
        <w:rPr>
          <w:rFonts w:ascii="Book Antiqua" w:hAnsi="Book Antiqua" w:cs="Arial"/>
        </w:rPr>
        <w:t>the FLR application.</w:t>
      </w:r>
    </w:p>
    <w:p w:rsidR="00F31C0A" w:rsidRDefault="00B640B0" w:rsidP="00207449">
      <w:pPr>
        <w:spacing w:before="160" w:after="160" w:line="360" w:lineRule="auto"/>
        <w:ind w:left="567" w:hanging="567"/>
        <w:jc w:val="both"/>
        <w:rPr>
          <w:rFonts w:ascii="Book Antiqua" w:hAnsi="Book Antiqua" w:cs="Arial"/>
        </w:rPr>
      </w:pPr>
      <w:r>
        <w:rPr>
          <w:rFonts w:ascii="Book Antiqua" w:hAnsi="Book Antiqua" w:cs="Arial"/>
        </w:rPr>
        <w:t>6.</w:t>
      </w:r>
      <w:r>
        <w:rPr>
          <w:rFonts w:ascii="Book Antiqua" w:hAnsi="Book Antiqua" w:cs="Arial"/>
        </w:rPr>
        <w:tab/>
      </w:r>
      <w:r w:rsidR="00F31C0A">
        <w:rPr>
          <w:rFonts w:ascii="Book Antiqua" w:hAnsi="Book Antiqua" w:cs="Arial"/>
        </w:rPr>
        <w:t xml:space="preserve">In consequence on 15 April 2015 the Respondent wrote to the former representatives returning the FLR application on the basis that it had been submitted while an appeal was pending.  On 30 April 2015 the Appellant’s representatives then submitted a fresh application for leave to remain in which the Respondent was also informed that the Appellant’s wife was pregnant and due to give birth on 4 July 2015.  The child was born slightly prematurely on 18 May 2015 and the child’s birth has been registered </w:t>
      </w:r>
      <w:r w:rsidR="00F31C0A">
        <w:rPr>
          <w:rFonts w:ascii="Book Antiqua" w:hAnsi="Book Antiqua" w:cs="Arial"/>
        </w:rPr>
        <w:lastRenderedPageBreak/>
        <w:t>with the Appellant and his wife as the parents.  The birth certificate and other relevant information has been sent to the Respondent.</w:t>
      </w:r>
    </w:p>
    <w:p w:rsidR="00F31C0A" w:rsidRDefault="00B640B0" w:rsidP="00207449">
      <w:pPr>
        <w:spacing w:before="160" w:after="160" w:line="360" w:lineRule="auto"/>
        <w:ind w:left="567" w:hanging="567"/>
        <w:jc w:val="both"/>
        <w:rPr>
          <w:rFonts w:ascii="Book Antiqua" w:hAnsi="Book Antiqua" w:cs="Arial"/>
        </w:rPr>
      </w:pPr>
      <w:r>
        <w:rPr>
          <w:rFonts w:ascii="Book Antiqua" w:hAnsi="Book Antiqua" w:cs="Arial"/>
        </w:rPr>
        <w:t>7</w:t>
      </w:r>
      <w:r w:rsidR="00F31C0A">
        <w:rPr>
          <w:rFonts w:ascii="Book Antiqua" w:hAnsi="Book Antiqua" w:cs="Arial"/>
        </w:rPr>
        <w:t>.</w:t>
      </w:r>
      <w:r w:rsidR="00F31C0A">
        <w:rPr>
          <w:rFonts w:ascii="Book Antiqua" w:hAnsi="Book Antiqua" w:cs="Arial"/>
        </w:rPr>
        <w:tab/>
        <w:t xml:space="preserve">There is thus a period following the withdrawal of the appeal when the Appellant was an overstayer because of the </w:t>
      </w:r>
      <w:r>
        <w:rPr>
          <w:rFonts w:ascii="Book Antiqua" w:hAnsi="Book Antiqua" w:cs="Arial"/>
        </w:rPr>
        <w:t xml:space="preserve">original </w:t>
      </w:r>
      <w:r w:rsidR="00F31C0A">
        <w:rPr>
          <w:rFonts w:ascii="Book Antiqua" w:hAnsi="Book Antiqua" w:cs="Arial"/>
        </w:rPr>
        <w:t xml:space="preserve">failure of his representatives to make the application after the withdrawal of the extant appeal.  The complexities of the law on this point are really not apparent to the average person and the legal representatives are plainly at fault.  Whilst they have not been directly challenged in the sense of a claim the position is that there really is no other explanation that can sensibly prevail which shows that it was the fault of the Appellant.  </w:t>
      </w:r>
    </w:p>
    <w:p w:rsidR="00506249" w:rsidRDefault="00B640B0" w:rsidP="00207449">
      <w:pPr>
        <w:spacing w:before="160" w:after="160" w:line="360" w:lineRule="auto"/>
        <w:ind w:left="567" w:hanging="567"/>
        <w:jc w:val="both"/>
        <w:rPr>
          <w:rFonts w:ascii="Book Antiqua" w:hAnsi="Book Antiqua" w:cs="Arial"/>
        </w:rPr>
      </w:pPr>
      <w:r>
        <w:rPr>
          <w:rFonts w:ascii="Book Antiqua" w:hAnsi="Book Antiqua" w:cs="Arial"/>
        </w:rPr>
        <w:t>8</w:t>
      </w:r>
      <w:r w:rsidR="00F31C0A">
        <w:rPr>
          <w:rFonts w:ascii="Book Antiqua" w:hAnsi="Book Antiqua" w:cs="Arial"/>
        </w:rPr>
        <w:t>.</w:t>
      </w:r>
      <w:r w:rsidR="00F31C0A">
        <w:rPr>
          <w:rFonts w:ascii="Book Antiqua" w:hAnsi="Book Antiqua" w:cs="Arial"/>
        </w:rPr>
        <w:tab/>
        <w:t xml:space="preserve">The witness statement of the Appellant contained within the supplementary bundle sets out briefly his dealings with Simon Noble solicitors and his change to new solicitors who have properly pursued the correct course.  The position therefore is that the application the subject of this appeal was made more than 30 days after his leave to remain had come to an end and to that extent he is accepted to be an overstayer.  But it is simply said it is not through his fault but rather the actions of others and he had no intention to overstay or act in breach of </w:t>
      </w:r>
      <w:smartTag w:uri="urn:schemas-microsoft-com:office:smarttags" w:element="country-region">
        <w:smartTag w:uri="urn:schemas-microsoft-com:office:smarttags" w:element="place">
          <w:r w:rsidR="00F31C0A">
            <w:rPr>
              <w:rFonts w:ascii="Book Antiqua" w:hAnsi="Book Antiqua" w:cs="Arial"/>
            </w:rPr>
            <w:t>UK</w:t>
          </w:r>
        </w:smartTag>
      </w:smartTag>
      <w:r w:rsidR="00F31C0A">
        <w:rPr>
          <w:rFonts w:ascii="Book Antiqua" w:hAnsi="Book Antiqua" w:cs="Arial"/>
        </w:rPr>
        <w:t xml:space="preserve"> immigration controls.  His signed statement of 22 February 2018 sets out his future plans in the </w:t>
      </w:r>
      <w:smartTag w:uri="urn:schemas-microsoft-com:office:smarttags" w:element="country-region">
        <w:r w:rsidR="00F31C0A">
          <w:rPr>
            <w:rFonts w:ascii="Book Antiqua" w:hAnsi="Book Antiqua" w:cs="Arial"/>
          </w:rPr>
          <w:t>UK</w:t>
        </w:r>
      </w:smartTag>
      <w:r w:rsidR="00F31C0A">
        <w:rPr>
          <w:rFonts w:ascii="Book Antiqua" w:hAnsi="Book Antiqua" w:cs="Arial"/>
        </w:rPr>
        <w:t xml:space="preserve"> and his involvement in the care of his child as well as the practical difficulties of removing her back to </w:t>
      </w:r>
      <w:smartTag w:uri="urn:schemas-microsoft-com:office:smarttags" w:element="country-region">
        <w:smartTag w:uri="urn:schemas-microsoft-com:office:smarttags" w:element="place">
          <w:r w:rsidR="00F31C0A">
            <w:rPr>
              <w:rFonts w:ascii="Book Antiqua" w:hAnsi="Book Antiqua" w:cs="Arial"/>
            </w:rPr>
            <w:t>Bangladesh</w:t>
          </w:r>
        </w:smartTag>
      </w:smartTag>
      <w:r w:rsidR="00F31C0A">
        <w:rPr>
          <w:rFonts w:ascii="Book Antiqua" w:hAnsi="Book Antiqua" w:cs="Arial"/>
        </w:rPr>
        <w:t xml:space="preserve"> in terms of qualitatively the medical care and education she can receive there.  It is not said that the Appellant’s daughter cannot go to Bangladesh with her parents, but rather the benefits of her UK nationality are there for her to enjoy and neither her mother’s or her or indeed her father’s conduct is such as to militate against rema</w:t>
      </w:r>
      <w:r w:rsidR="00506249">
        <w:rPr>
          <w:rFonts w:ascii="Book Antiqua" w:hAnsi="Book Antiqua" w:cs="Arial"/>
        </w:rPr>
        <w:t>ining.</w:t>
      </w:r>
    </w:p>
    <w:p w:rsidR="00F31C0A" w:rsidRDefault="00506249" w:rsidP="00207449">
      <w:pPr>
        <w:spacing w:before="160" w:after="160" w:line="360" w:lineRule="auto"/>
        <w:ind w:left="567" w:hanging="567"/>
        <w:jc w:val="both"/>
        <w:rPr>
          <w:rFonts w:ascii="Book Antiqua" w:hAnsi="Book Antiqua" w:cs="Arial"/>
        </w:rPr>
      </w:pPr>
      <w:r>
        <w:rPr>
          <w:rFonts w:ascii="Book Antiqua" w:hAnsi="Book Antiqua" w:cs="Arial"/>
        </w:rPr>
        <w:t>9.</w:t>
      </w:r>
      <w:r>
        <w:rPr>
          <w:rFonts w:ascii="Book Antiqua" w:hAnsi="Book Antiqua" w:cs="Arial"/>
        </w:rPr>
        <w:tab/>
      </w:r>
      <w:r w:rsidR="00F31C0A">
        <w:rPr>
          <w:rFonts w:ascii="Book Antiqua" w:hAnsi="Book Antiqua" w:cs="Arial"/>
        </w:rPr>
        <w:t xml:space="preserve">In addition, evidence confirming that the child </w:t>
      </w:r>
      <w:r w:rsidR="00207449">
        <w:rPr>
          <w:rFonts w:ascii="Book Antiqua" w:hAnsi="Book Antiqua" w:cs="Arial"/>
        </w:rPr>
        <w:t>[Z]</w:t>
      </w:r>
      <w:r w:rsidR="00F31C0A">
        <w:rPr>
          <w:rFonts w:ascii="Book Antiqua" w:hAnsi="Book Antiqua" w:cs="Arial"/>
        </w:rPr>
        <w:t xml:space="preserve"> has a congenital hypothyroid which was diagnosed soon after birth and will require lifetime medication in addition the child has certain premature development delays associated with her metabolism problems, but it is not said that for example the need for physiotherapy and assistance in walking properly, that is in a correct gait, cannot be addressed in Bangladesh but rather the regime is in place </w:t>
      </w:r>
      <w:r>
        <w:rPr>
          <w:rFonts w:ascii="Book Antiqua" w:hAnsi="Book Antiqua" w:cs="Arial"/>
        </w:rPr>
        <w:t xml:space="preserve">in the UK </w:t>
      </w:r>
      <w:r w:rsidR="00F31C0A">
        <w:rPr>
          <w:rFonts w:ascii="Book Antiqua" w:hAnsi="Book Antiqua" w:cs="Arial"/>
        </w:rPr>
        <w:t>and she is being cared for under the NHS as is her entitlement</w:t>
      </w:r>
      <w:r>
        <w:rPr>
          <w:rFonts w:ascii="Book Antiqua" w:hAnsi="Book Antiqua" w:cs="Arial"/>
        </w:rPr>
        <w:t>.  S</w:t>
      </w:r>
      <w:r w:rsidR="00F31C0A">
        <w:rPr>
          <w:rFonts w:ascii="Book Antiqua" w:hAnsi="Book Antiqua" w:cs="Arial"/>
        </w:rPr>
        <w:t xml:space="preserve">he will be able to start mainstream nursery school in September 2018.  </w:t>
      </w:r>
      <w:r w:rsidR="00F31C0A">
        <w:rPr>
          <w:rFonts w:ascii="Book Antiqua" w:hAnsi="Book Antiqua" w:cs="Arial"/>
        </w:rPr>
        <w:lastRenderedPageBreak/>
        <w:t xml:space="preserve">The Appellant has relied upon statements made by himself and his wife before the First-tier Tribunal, but his </w:t>
      </w:r>
      <w:r>
        <w:rPr>
          <w:rFonts w:ascii="Book Antiqua" w:hAnsi="Book Antiqua" w:cs="Arial"/>
        </w:rPr>
        <w:t xml:space="preserve">later one </w:t>
      </w:r>
      <w:r w:rsidR="00F31C0A">
        <w:rPr>
          <w:rFonts w:ascii="Book Antiqua" w:hAnsi="Book Antiqua" w:cs="Arial"/>
        </w:rPr>
        <w:t xml:space="preserve">really adds nothing to the matter and his wife </w:t>
      </w:r>
      <w:r>
        <w:rPr>
          <w:rFonts w:ascii="Book Antiqua" w:hAnsi="Book Antiqua" w:cs="Arial"/>
        </w:rPr>
        <w:t>ha</w:t>
      </w:r>
      <w:r w:rsidR="00F31C0A">
        <w:rPr>
          <w:rFonts w:ascii="Book Antiqua" w:hAnsi="Book Antiqua" w:cs="Arial"/>
        </w:rPr>
        <w:t>s simply repeated</w:t>
      </w:r>
      <w:r>
        <w:rPr>
          <w:rFonts w:ascii="Book Antiqua" w:hAnsi="Book Antiqua" w:cs="Arial"/>
        </w:rPr>
        <w:t>,</w:t>
      </w:r>
      <w:r w:rsidR="00F31C0A">
        <w:rPr>
          <w:rFonts w:ascii="Book Antiqua" w:hAnsi="Book Antiqua" w:cs="Arial"/>
        </w:rPr>
        <w:t xml:space="preserve"> in effect</w:t>
      </w:r>
      <w:r>
        <w:rPr>
          <w:rFonts w:ascii="Book Antiqua" w:hAnsi="Book Antiqua" w:cs="Arial"/>
        </w:rPr>
        <w:t>,</w:t>
      </w:r>
      <w:r w:rsidR="00F31C0A">
        <w:rPr>
          <w:rFonts w:ascii="Book Antiqua" w:hAnsi="Book Antiqua" w:cs="Arial"/>
        </w:rPr>
        <w:t xml:space="preserve"> in her second statement.</w:t>
      </w:r>
    </w:p>
    <w:p w:rsidR="00F31C0A" w:rsidRDefault="00506249" w:rsidP="00207449">
      <w:pPr>
        <w:spacing w:before="160" w:after="160" w:line="360" w:lineRule="auto"/>
        <w:ind w:left="567" w:hanging="567"/>
        <w:jc w:val="both"/>
        <w:rPr>
          <w:rFonts w:ascii="Book Antiqua" w:hAnsi="Book Antiqua" w:cs="Arial"/>
        </w:rPr>
      </w:pPr>
      <w:r>
        <w:rPr>
          <w:rFonts w:ascii="Book Antiqua" w:hAnsi="Book Antiqua" w:cs="Arial"/>
        </w:rPr>
        <w:t>10</w:t>
      </w:r>
      <w:r w:rsidR="00F31C0A">
        <w:rPr>
          <w:rFonts w:ascii="Book Antiqua" w:hAnsi="Book Antiqua" w:cs="Arial"/>
        </w:rPr>
        <w:t>.</w:t>
      </w:r>
      <w:r w:rsidR="00F31C0A">
        <w:rPr>
          <w:rFonts w:ascii="Book Antiqua" w:hAnsi="Book Antiqua" w:cs="Arial"/>
        </w:rPr>
        <w:tab/>
        <w:t>The case of SF [2017] UKUT 00120 was cited to me as illustrating at the time of the Respondent’s decision the IDI – Family Migration – Guidance, and in particular in a section headed</w:t>
      </w:r>
      <w:r>
        <w:rPr>
          <w:rFonts w:ascii="Book Antiqua" w:hAnsi="Book Antiqua" w:cs="Arial"/>
        </w:rPr>
        <w:t xml:space="preserve">: </w:t>
      </w:r>
      <w:r w:rsidR="005E5CE4">
        <w:rPr>
          <w:rFonts w:ascii="Book Antiqua" w:hAnsi="Book Antiqua" w:cs="Arial"/>
        </w:rPr>
        <w:t xml:space="preserve">“… </w:t>
      </w:r>
      <w:r>
        <w:rPr>
          <w:rFonts w:ascii="Book Antiqua" w:hAnsi="Book Antiqua" w:cs="Arial"/>
        </w:rPr>
        <w:t>W</w:t>
      </w:r>
      <w:r w:rsidR="00F31C0A">
        <w:rPr>
          <w:rFonts w:ascii="Book Antiqua" w:hAnsi="Book Antiqua" w:cs="Arial"/>
        </w:rPr>
        <w:t xml:space="preserve">ould it be reasonable to expect a British citizen child to leave the </w:t>
      </w:r>
      <w:smartTag w:uri="urn:schemas-microsoft-com:office:smarttags" w:element="country-region">
        <w:smartTag w:uri="urn:schemas-microsoft-com:office:smarttags" w:element="place">
          <w:r w:rsidR="00F31C0A">
            <w:rPr>
              <w:rFonts w:ascii="Book Antiqua" w:hAnsi="Book Antiqua" w:cs="Arial"/>
            </w:rPr>
            <w:t>UK</w:t>
          </w:r>
        </w:smartTag>
      </w:smartTag>
      <w:r w:rsidR="00F31C0A">
        <w:rPr>
          <w:rFonts w:ascii="Book Antiqua" w:hAnsi="Book Antiqua" w:cs="Arial"/>
        </w:rPr>
        <w:t xml:space="preserve">” various </w:t>
      </w:r>
      <w:r w:rsidR="005E5CE4">
        <w:rPr>
          <w:rFonts w:ascii="Book Antiqua" w:hAnsi="Book Antiqua" w:cs="Arial"/>
        </w:rPr>
        <w:t>points</w:t>
      </w:r>
      <w:r w:rsidR="00F31C0A">
        <w:rPr>
          <w:rFonts w:ascii="Book Antiqua" w:hAnsi="Book Antiqua" w:cs="Arial"/>
        </w:rPr>
        <w:t xml:space="preserve"> are recited but included within it at the time </w:t>
      </w:r>
    </w:p>
    <w:p w:rsidR="00F31C0A" w:rsidRDefault="00F31C0A" w:rsidP="00207449">
      <w:pPr>
        <w:spacing w:before="120" w:after="120" w:line="360" w:lineRule="auto"/>
        <w:ind w:left="1134"/>
        <w:jc w:val="both"/>
        <w:rPr>
          <w:rFonts w:ascii="Book Antiqua" w:hAnsi="Book Antiqua" w:cs="Arial"/>
        </w:rPr>
      </w:pPr>
      <w:r>
        <w:rPr>
          <w:rFonts w:ascii="Book Antiqua" w:hAnsi="Book Antiqua" w:cs="Arial"/>
        </w:rPr>
        <w:t xml:space="preserve">“where a decision to refuse the application would require a parent or primary carer to return to a country outside the EU, the case must always be assessed on the basis that it would be unreasonable to expect a British citizen child to leave the EU with that parent or primary carer.  In such cases it will usually be appropriate to grant leave to the parent or primary carer to enable them to remain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with the child, provided that there is satisfactory evidence of a genuine and subsisting parental relationship.</w:t>
      </w:r>
    </w:p>
    <w:p w:rsidR="00F31C0A" w:rsidRDefault="00F31C0A" w:rsidP="00207449">
      <w:pPr>
        <w:spacing w:before="120" w:after="120" w:line="360" w:lineRule="auto"/>
        <w:ind w:left="1134"/>
        <w:jc w:val="both"/>
        <w:rPr>
          <w:rFonts w:ascii="Book Antiqua" w:hAnsi="Book Antiqua" w:cs="Arial"/>
        </w:rPr>
      </w:pPr>
      <w:r>
        <w:rPr>
          <w:rFonts w:ascii="Book Antiqua" w:hAnsi="Book Antiqua" w:cs="Arial"/>
        </w:rPr>
        <w:t>It may, however be appropriate to refuse to grant leave where the conduct of the parent or primary carer gives rise to considerations of such weight as to justify separation, if the child could otherwise stay with another parent or alternatively primary carer in the UK …  The circumstances envisaged could cover amongst others:</w:t>
      </w:r>
    </w:p>
    <w:p w:rsidR="00F31C0A" w:rsidRPr="0090192C" w:rsidRDefault="00F31C0A" w:rsidP="00207449">
      <w:pPr>
        <w:numPr>
          <w:ilvl w:val="0"/>
          <w:numId w:val="3"/>
        </w:numPr>
        <w:spacing w:before="120" w:after="120" w:line="360" w:lineRule="auto"/>
        <w:ind w:left="1701" w:hanging="567"/>
        <w:jc w:val="both"/>
        <w:rPr>
          <w:rFonts w:ascii="Book Antiqua" w:hAnsi="Book Antiqua" w:cs="Arial"/>
        </w:rPr>
      </w:pPr>
      <w:r>
        <w:rPr>
          <w:rFonts w:ascii="Book Antiqua" w:hAnsi="Book Antiqua" w:cs="Arial"/>
        </w:rPr>
        <w:t>Criminality falling below the threshold set out in paragraph 298 of the Immigration</w:t>
      </w:r>
      <w:r w:rsidR="00207449">
        <w:rPr>
          <w:rFonts w:ascii="Book Antiqua" w:hAnsi="Book Antiqua" w:cs="Arial"/>
        </w:rPr>
        <w:t xml:space="preserve"> </w:t>
      </w:r>
      <w:r>
        <w:rPr>
          <w:rFonts w:ascii="Book Antiqua" w:hAnsi="Book Antiqua" w:cs="Arial"/>
        </w:rPr>
        <w:t>Rules</w:t>
      </w:r>
    </w:p>
    <w:p w:rsidR="00F31C0A" w:rsidRDefault="00F31C0A" w:rsidP="00207449">
      <w:pPr>
        <w:numPr>
          <w:ilvl w:val="0"/>
          <w:numId w:val="3"/>
        </w:numPr>
        <w:spacing w:before="120" w:after="120" w:line="360" w:lineRule="auto"/>
        <w:ind w:left="1701" w:hanging="567"/>
        <w:jc w:val="both"/>
        <w:rPr>
          <w:rFonts w:ascii="Book Antiqua" w:hAnsi="Book Antiqua" w:cs="Arial"/>
        </w:rPr>
      </w:pPr>
      <w:r>
        <w:rPr>
          <w:rFonts w:ascii="Book Antiqua" w:hAnsi="Book Antiqua" w:cs="Arial"/>
        </w:rPr>
        <w:t>A very poor immigration history, such as where the person has repeatedly and deliberately breached the Immigration Rules.</w:t>
      </w:r>
    </w:p>
    <w:p w:rsidR="00F31C0A" w:rsidRDefault="00F31C0A" w:rsidP="00207449">
      <w:pPr>
        <w:spacing w:before="120" w:after="120" w:line="360" w:lineRule="auto"/>
        <w:ind w:left="1134"/>
        <w:jc w:val="both"/>
        <w:rPr>
          <w:rFonts w:ascii="Book Antiqua" w:hAnsi="Book Antiqua" w:cs="Arial"/>
        </w:rPr>
      </w:pPr>
      <w:r>
        <w:rPr>
          <w:rFonts w:ascii="Book Antiqua" w:hAnsi="Book Antiqua" w:cs="Arial"/>
        </w:rPr>
        <w:t xml:space="preserve">In considering whether refusal may be appropriate the decision maker must consider the impact on the child of any separation.  If the decision maker is minded </w:t>
      </w:r>
      <w:proofErr w:type="gramStart"/>
      <w:r>
        <w:rPr>
          <w:rFonts w:ascii="Book Antiqua" w:hAnsi="Book Antiqua" w:cs="Arial"/>
        </w:rPr>
        <w:t>to refuse</w:t>
      </w:r>
      <w:proofErr w:type="gramEnd"/>
      <w:r>
        <w:rPr>
          <w:rFonts w:ascii="Book Antiqua" w:hAnsi="Book Antiqua" w:cs="Arial"/>
        </w:rPr>
        <w:t xml:space="preserve"> …”</w:t>
      </w:r>
    </w:p>
    <w:p w:rsidR="00F31C0A" w:rsidRDefault="00295D12" w:rsidP="00207449">
      <w:pPr>
        <w:spacing w:before="160" w:after="160" w:line="360" w:lineRule="auto"/>
        <w:ind w:left="567" w:hanging="567"/>
        <w:jc w:val="both"/>
        <w:rPr>
          <w:rFonts w:ascii="Book Antiqua" w:hAnsi="Book Antiqua" w:cs="Arial"/>
        </w:rPr>
      </w:pPr>
      <w:r>
        <w:rPr>
          <w:rFonts w:ascii="Book Antiqua" w:hAnsi="Book Antiqua" w:cs="Arial"/>
        </w:rPr>
        <w:t>11</w:t>
      </w:r>
      <w:r w:rsidR="00F31C0A">
        <w:rPr>
          <w:rFonts w:ascii="Book Antiqua" w:hAnsi="Book Antiqua" w:cs="Arial"/>
        </w:rPr>
        <w:t>.</w:t>
      </w:r>
      <w:r w:rsidR="00F31C0A">
        <w:rPr>
          <w:rFonts w:ascii="Book Antiqua" w:hAnsi="Book Antiqua" w:cs="Arial"/>
        </w:rPr>
        <w:tab/>
        <w:t xml:space="preserve">It is perhaps unsurprising that the Secretary of State’s current guidance is not materially different in the version published on 22 February 2018.  No issue was taken before me as to whether or not there was a genuine parental relationship between the </w:t>
      </w:r>
      <w:r w:rsidR="00F31C0A">
        <w:rPr>
          <w:rFonts w:ascii="Book Antiqua" w:hAnsi="Book Antiqua" w:cs="Arial"/>
        </w:rPr>
        <w:lastRenderedPageBreak/>
        <w:t xml:space="preserve">Appellant with his child.  No issue was taken as to the fact it </w:t>
      </w:r>
      <w:r>
        <w:rPr>
          <w:rFonts w:ascii="Book Antiqua" w:hAnsi="Book Antiqua" w:cs="Arial"/>
        </w:rPr>
        <w:t>wa</w:t>
      </w:r>
      <w:r w:rsidR="00F31C0A">
        <w:rPr>
          <w:rFonts w:ascii="Book Antiqua" w:hAnsi="Book Antiqua" w:cs="Arial"/>
        </w:rPr>
        <w:t xml:space="preserve">s subsisting, and </w:t>
      </w:r>
      <w:r>
        <w:rPr>
          <w:rFonts w:ascii="Book Antiqua" w:hAnsi="Book Antiqua" w:cs="Arial"/>
        </w:rPr>
        <w:t>wa</w:t>
      </w:r>
      <w:r w:rsidR="00F31C0A">
        <w:rPr>
          <w:rFonts w:ascii="Book Antiqua" w:hAnsi="Book Antiqua" w:cs="Arial"/>
        </w:rPr>
        <w:t xml:space="preserve">s likely to continue to be a shared role with his wife as the child goes to school and develops.  It </w:t>
      </w:r>
      <w:r>
        <w:rPr>
          <w:rFonts w:ascii="Book Antiqua" w:hAnsi="Book Antiqua" w:cs="Arial"/>
        </w:rPr>
        <w:t>wa</w:t>
      </w:r>
      <w:r w:rsidR="00F31C0A">
        <w:rPr>
          <w:rFonts w:ascii="Book Antiqua" w:hAnsi="Book Antiqua" w:cs="Arial"/>
        </w:rPr>
        <w:t xml:space="preserve">s intended that both should work but adjust their working hours around the child’s needs.  There </w:t>
      </w:r>
      <w:r w:rsidR="00672544">
        <w:rPr>
          <w:rFonts w:ascii="Book Antiqua" w:hAnsi="Book Antiqua" w:cs="Arial"/>
        </w:rPr>
        <w:t>wa</w:t>
      </w:r>
      <w:r w:rsidR="00F31C0A">
        <w:rPr>
          <w:rFonts w:ascii="Book Antiqua" w:hAnsi="Book Antiqua" w:cs="Arial"/>
        </w:rPr>
        <w:t xml:space="preserve">s no issue that the child and the mother of the child are British nationals.  There was no issue that the child’s best interests lie in remaining in the </w:t>
      </w:r>
      <w:smartTag w:uri="urn:schemas-microsoft-com:office:smarttags" w:element="country-region">
        <w:smartTag w:uri="urn:schemas-microsoft-com:office:smarttags" w:element="place">
          <w:r w:rsidR="00F31C0A">
            <w:rPr>
              <w:rFonts w:ascii="Book Antiqua" w:hAnsi="Book Antiqua" w:cs="Arial"/>
            </w:rPr>
            <w:t>UK</w:t>
          </w:r>
        </w:smartTag>
      </w:smartTag>
      <w:r w:rsidR="00F31C0A">
        <w:rPr>
          <w:rFonts w:ascii="Book Antiqua" w:hAnsi="Book Antiqua" w:cs="Arial"/>
        </w:rPr>
        <w:t xml:space="preserve"> able to enjoy the benefits of British nationality.  It </w:t>
      </w:r>
      <w:r w:rsidR="00672544">
        <w:rPr>
          <w:rFonts w:ascii="Book Antiqua" w:hAnsi="Book Antiqua" w:cs="Arial"/>
        </w:rPr>
        <w:t>wa</w:t>
      </w:r>
      <w:r w:rsidR="00F31C0A">
        <w:rPr>
          <w:rFonts w:ascii="Book Antiqua" w:hAnsi="Book Antiqua" w:cs="Arial"/>
        </w:rPr>
        <w:t xml:space="preserve">s not said the child could not go to </w:t>
      </w:r>
      <w:smartTag w:uri="urn:schemas-microsoft-com:office:smarttags" w:element="country-region">
        <w:r w:rsidR="00F31C0A">
          <w:rPr>
            <w:rFonts w:ascii="Book Antiqua" w:hAnsi="Book Antiqua" w:cs="Arial"/>
          </w:rPr>
          <w:t>Bangladesh</w:t>
        </w:r>
      </w:smartTag>
      <w:r w:rsidR="00F31C0A">
        <w:rPr>
          <w:rFonts w:ascii="Book Antiqua" w:hAnsi="Book Antiqua" w:cs="Arial"/>
        </w:rPr>
        <w:t xml:space="preserve"> but it </w:t>
      </w:r>
      <w:r w:rsidR="00672544">
        <w:rPr>
          <w:rFonts w:ascii="Book Antiqua" w:hAnsi="Book Antiqua" w:cs="Arial"/>
        </w:rPr>
        <w:t>wa</w:t>
      </w:r>
      <w:r w:rsidR="00F31C0A">
        <w:rPr>
          <w:rFonts w:ascii="Book Antiqua" w:hAnsi="Book Antiqua" w:cs="Arial"/>
        </w:rPr>
        <w:t xml:space="preserve">s said the consequences of that </w:t>
      </w:r>
      <w:r w:rsidR="00672544">
        <w:rPr>
          <w:rFonts w:ascii="Book Antiqua" w:hAnsi="Book Antiqua" w:cs="Arial"/>
        </w:rPr>
        <w:t>we</w:t>
      </w:r>
      <w:r w:rsidR="00F31C0A">
        <w:rPr>
          <w:rFonts w:ascii="Book Antiqua" w:hAnsi="Book Antiqua" w:cs="Arial"/>
        </w:rPr>
        <w:t>re unfair, unreasonable and a denial of the evident intentions of the Secretary of State</w:t>
      </w:r>
      <w:r w:rsidR="00672544">
        <w:rPr>
          <w:rFonts w:ascii="Book Antiqua" w:hAnsi="Book Antiqua" w:cs="Arial"/>
        </w:rPr>
        <w:t>,</w:t>
      </w:r>
      <w:r w:rsidR="00F31C0A">
        <w:rPr>
          <w:rFonts w:ascii="Book Antiqua" w:hAnsi="Book Antiqua" w:cs="Arial"/>
        </w:rPr>
        <w:t xml:space="preserve"> to require a British national child to leave the </w:t>
      </w:r>
      <w:smartTag w:uri="urn:schemas-microsoft-com:office:smarttags" w:element="country-region">
        <w:smartTag w:uri="urn:schemas-microsoft-com:office:smarttags" w:element="place">
          <w:r w:rsidR="00F31C0A">
            <w:rPr>
              <w:rFonts w:ascii="Book Antiqua" w:hAnsi="Book Antiqua" w:cs="Arial"/>
            </w:rPr>
            <w:t>United Kingdom</w:t>
          </w:r>
        </w:smartTag>
      </w:smartTag>
      <w:r w:rsidR="00F31C0A">
        <w:rPr>
          <w:rFonts w:ascii="Book Antiqua" w:hAnsi="Book Antiqua" w:cs="Arial"/>
        </w:rPr>
        <w:t>.</w:t>
      </w:r>
    </w:p>
    <w:p w:rsidR="00672544" w:rsidRDefault="00672544" w:rsidP="00207449">
      <w:pPr>
        <w:spacing w:before="160" w:after="160" w:line="360" w:lineRule="auto"/>
        <w:ind w:left="567" w:hanging="567"/>
        <w:jc w:val="both"/>
        <w:rPr>
          <w:rFonts w:ascii="Book Antiqua" w:hAnsi="Book Antiqua" w:cs="Arial"/>
        </w:rPr>
      </w:pPr>
      <w:r>
        <w:rPr>
          <w:rFonts w:ascii="Book Antiqua" w:hAnsi="Book Antiqua" w:cs="Arial"/>
        </w:rPr>
        <w:t>12</w:t>
      </w:r>
      <w:r w:rsidR="00F31C0A">
        <w:rPr>
          <w:rFonts w:ascii="Book Antiqua" w:hAnsi="Book Antiqua" w:cs="Arial"/>
        </w:rPr>
        <w:t>.</w:t>
      </w:r>
      <w:r w:rsidR="00F31C0A">
        <w:rPr>
          <w:rFonts w:ascii="Book Antiqua" w:hAnsi="Book Antiqua" w:cs="Arial"/>
        </w:rPr>
        <w:tab/>
        <w:t xml:space="preserve">The child clearly has a relationship with her mother’s parents and their family in the </w:t>
      </w:r>
      <w:smartTag w:uri="urn:schemas-microsoft-com:office:smarttags" w:element="place">
        <w:smartTag w:uri="urn:schemas-microsoft-com:office:smarttags" w:element="country-region">
          <w:r w:rsidR="00F31C0A">
            <w:rPr>
              <w:rFonts w:ascii="Book Antiqua" w:hAnsi="Book Antiqua" w:cs="Arial"/>
            </w:rPr>
            <w:t>UK</w:t>
          </w:r>
        </w:smartTag>
      </w:smartTag>
      <w:r w:rsidR="00F31C0A">
        <w:rPr>
          <w:rFonts w:ascii="Book Antiqua" w:hAnsi="Book Antiqua" w:cs="Arial"/>
        </w:rPr>
        <w:t xml:space="preserve">.  She has yet to develop any relationship with the </w:t>
      </w:r>
      <w:smartTag w:uri="urn:schemas-microsoft-com:office:smarttags" w:element="country-region">
        <w:smartTag w:uri="urn:schemas-microsoft-com:office:smarttags" w:element="place">
          <w:r w:rsidR="00F31C0A">
            <w:rPr>
              <w:rFonts w:ascii="Book Antiqua" w:hAnsi="Book Antiqua" w:cs="Arial"/>
            </w:rPr>
            <w:t>Bangladesh</w:t>
          </w:r>
        </w:smartTag>
      </w:smartTag>
      <w:r w:rsidR="00F31C0A">
        <w:rPr>
          <w:rFonts w:ascii="Book Antiqua" w:hAnsi="Book Antiqua" w:cs="Arial"/>
        </w:rPr>
        <w:t xml:space="preserve"> arm of the Appellant’s family.  The child has not been to </w:t>
      </w:r>
      <w:smartTag w:uri="urn:schemas-microsoft-com:office:smarttags" w:element="country-region">
        <w:smartTag w:uri="urn:schemas-microsoft-com:office:smarttags" w:element="place">
          <w:r w:rsidR="00F31C0A">
            <w:rPr>
              <w:rFonts w:ascii="Book Antiqua" w:hAnsi="Book Antiqua" w:cs="Arial"/>
            </w:rPr>
            <w:t>Bangladesh</w:t>
          </w:r>
        </w:smartTag>
      </w:smartTag>
      <w:r w:rsidR="00F31C0A">
        <w:rPr>
          <w:rFonts w:ascii="Book Antiqua" w:hAnsi="Book Antiqua" w:cs="Arial"/>
        </w:rPr>
        <w:t xml:space="preserve"> and has no particular connections as such although the Bengali language is the language of the household, but clearly as the child develops English will becom</w:t>
      </w:r>
      <w:r>
        <w:rPr>
          <w:rFonts w:ascii="Book Antiqua" w:hAnsi="Book Antiqua" w:cs="Arial"/>
        </w:rPr>
        <w:t>e part of her language skills.</w:t>
      </w:r>
    </w:p>
    <w:p w:rsidR="00F31C0A" w:rsidRDefault="00672544" w:rsidP="00207449">
      <w:pPr>
        <w:spacing w:before="160" w:after="160" w:line="360" w:lineRule="auto"/>
        <w:ind w:left="567" w:hanging="567"/>
        <w:jc w:val="both"/>
        <w:rPr>
          <w:rFonts w:ascii="Book Antiqua" w:hAnsi="Book Antiqua" w:cs="Arial"/>
        </w:rPr>
      </w:pPr>
      <w:r>
        <w:rPr>
          <w:rFonts w:ascii="Book Antiqua" w:hAnsi="Book Antiqua" w:cs="Arial"/>
        </w:rPr>
        <w:t>13.</w:t>
      </w:r>
      <w:r>
        <w:rPr>
          <w:rFonts w:ascii="Book Antiqua" w:hAnsi="Book Antiqua" w:cs="Arial"/>
        </w:rPr>
        <w:tab/>
      </w:r>
      <w:r w:rsidR="00F31C0A">
        <w:rPr>
          <w:rFonts w:ascii="Book Antiqua" w:hAnsi="Book Antiqua" w:cs="Arial"/>
        </w:rPr>
        <w:t xml:space="preserve">The Appellant’s wife originates from </w:t>
      </w:r>
      <w:smartTag w:uri="urn:schemas-microsoft-com:office:smarttags" w:element="country-region">
        <w:smartTag w:uri="urn:schemas-microsoft-com:office:smarttags" w:element="place">
          <w:r w:rsidR="00F31C0A">
            <w:rPr>
              <w:rFonts w:ascii="Book Antiqua" w:hAnsi="Book Antiqua" w:cs="Arial"/>
            </w:rPr>
            <w:t>Bangladesh</w:t>
          </w:r>
        </w:smartTag>
      </w:smartTag>
      <w:r w:rsidR="00F31C0A">
        <w:rPr>
          <w:rFonts w:ascii="Book Antiqua" w:hAnsi="Book Antiqua" w:cs="Arial"/>
        </w:rPr>
        <w:t xml:space="preserve">.  She came as a teenager, and has evidently adapted to life in the </w:t>
      </w:r>
      <w:smartTag w:uri="urn:schemas-microsoft-com:office:smarttags" w:element="country-region">
        <w:smartTag w:uri="urn:schemas-microsoft-com:office:smarttags" w:element="place">
          <w:r w:rsidR="00F31C0A">
            <w:rPr>
              <w:rFonts w:ascii="Book Antiqua" w:hAnsi="Book Antiqua" w:cs="Arial"/>
            </w:rPr>
            <w:t>United Kingdom</w:t>
          </w:r>
        </w:smartTag>
      </w:smartTag>
      <w:r w:rsidR="00F31C0A">
        <w:rPr>
          <w:rFonts w:ascii="Book Antiqua" w:hAnsi="Book Antiqua" w:cs="Arial"/>
        </w:rPr>
        <w:t xml:space="preserve">.  The child </w:t>
      </w:r>
      <w:r>
        <w:rPr>
          <w:rFonts w:ascii="Book Antiqua" w:hAnsi="Book Antiqua" w:cs="Arial"/>
        </w:rPr>
        <w:t>as yet</w:t>
      </w:r>
      <w:r w:rsidR="00F31C0A">
        <w:rPr>
          <w:rFonts w:ascii="Book Antiqua" w:hAnsi="Book Antiqua" w:cs="Arial"/>
        </w:rPr>
        <w:t xml:space="preserve"> has no </w:t>
      </w:r>
      <w:r>
        <w:rPr>
          <w:rFonts w:ascii="Book Antiqua" w:hAnsi="Book Antiqua" w:cs="Arial"/>
        </w:rPr>
        <w:t>meaningful</w:t>
      </w:r>
      <w:r w:rsidR="00F31C0A">
        <w:rPr>
          <w:rFonts w:ascii="Book Antiqua" w:hAnsi="Book Antiqua" w:cs="Arial"/>
        </w:rPr>
        <w:t xml:space="preserve"> cultural ties with </w:t>
      </w:r>
      <w:smartTag w:uri="urn:schemas-microsoft-com:office:smarttags" w:element="country-region">
        <w:smartTag w:uri="urn:schemas-microsoft-com:office:smarttags" w:element="place">
          <w:r w:rsidR="00F31C0A">
            <w:rPr>
              <w:rFonts w:ascii="Book Antiqua" w:hAnsi="Book Antiqua" w:cs="Arial"/>
            </w:rPr>
            <w:t>Bangladesh</w:t>
          </w:r>
        </w:smartTag>
      </w:smartTag>
      <w:r w:rsidR="00F31C0A">
        <w:rPr>
          <w:rFonts w:ascii="Book Antiqua" w:hAnsi="Book Antiqua" w:cs="Arial"/>
        </w:rPr>
        <w:t xml:space="preserve"> albeit obviously her parents do.  In the current advice on a situation where a child is a British national the guidance states</w:t>
      </w:r>
    </w:p>
    <w:p w:rsidR="00F31C0A" w:rsidRDefault="00F31C0A" w:rsidP="00207449">
      <w:pPr>
        <w:spacing w:before="120" w:after="120" w:line="360" w:lineRule="auto"/>
        <w:ind w:left="1134"/>
        <w:jc w:val="both"/>
        <w:rPr>
          <w:rFonts w:ascii="Book Antiqua" w:hAnsi="Book Antiqua" w:cs="Arial"/>
        </w:rPr>
      </w:pPr>
      <w:r>
        <w:rPr>
          <w:rFonts w:ascii="Book Antiqua" w:hAnsi="Book Antiqua" w:cs="Arial"/>
        </w:rPr>
        <w:t xml:space="preserve">“where the child is a British citizen, it will not be reasonable to expect them to leave the UK with the Applicant parent or primary carer facing removal.  Accordingly, where this means the child will have to leave the </w:t>
      </w:r>
      <w:smartTag w:uri="urn:schemas-microsoft-com:office:smarttags" w:element="country-region">
        <w:r>
          <w:rPr>
            <w:rFonts w:ascii="Book Antiqua" w:hAnsi="Book Antiqua" w:cs="Arial"/>
          </w:rPr>
          <w:t>UK</w:t>
        </w:r>
      </w:smartTag>
      <w:r>
        <w:rPr>
          <w:rFonts w:ascii="Book Antiqua" w:hAnsi="Book Antiqua" w:cs="Arial"/>
        </w:rPr>
        <w:t xml:space="preserve"> because in practice the child will not or is not likely to continue to live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with another parent or primary carer EX</w:t>
      </w:r>
      <w:proofErr w:type="gramStart"/>
      <w:r>
        <w:rPr>
          <w:rFonts w:ascii="Book Antiqua" w:hAnsi="Book Antiqua" w:cs="Arial"/>
        </w:rPr>
        <w:t>1.(</w:t>
      </w:r>
      <w:proofErr w:type="gramEnd"/>
      <w:r>
        <w:rPr>
          <w:rFonts w:ascii="Book Antiqua" w:hAnsi="Book Antiqua" w:cs="Arial"/>
        </w:rPr>
        <w:t xml:space="preserve">a) is likely to apply.”  </w:t>
      </w:r>
    </w:p>
    <w:p w:rsidR="00F31C0A" w:rsidRDefault="00F31C0A" w:rsidP="00207449">
      <w:pPr>
        <w:spacing w:before="160" w:after="160" w:line="360" w:lineRule="auto"/>
        <w:ind w:left="567"/>
        <w:jc w:val="both"/>
        <w:rPr>
          <w:rFonts w:ascii="Book Antiqua" w:hAnsi="Book Antiqua" w:cs="Arial"/>
        </w:rPr>
      </w:pPr>
      <w:r>
        <w:rPr>
          <w:rFonts w:ascii="Book Antiqua" w:hAnsi="Book Antiqua" w:cs="Arial"/>
        </w:rPr>
        <w:t>i.e. her removal is not reasonable.</w:t>
      </w:r>
    </w:p>
    <w:p w:rsidR="00F31C0A" w:rsidRDefault="00F31C0A" w:rsidP="00207449">
      <w:pPr>
        <w:spacing w:before="120" w:after="120" w:line="360" w:lineRule="auto"/>
        <w:ind w:left="1134"/>
        <w:jc w:val="both"/>
        <w:rPr>
          <w:rFonts w:ascii="Book Antiqua" w:hAnsi="Book Antiqua" w:cs="Arial"/>
        </w:rPr>
      </w:pPr>
      <w:r>
        <w:rPr>
          <w:rFonts w:ascii="Book Antiqua" w:hAnsi="Book Antiqua" w:cs="Arial"/>
        </w:rPr>
        <w:t xml:space="preserve">“In particular circumstances it may be appropriate to refuse to grant leave to a parent or primary carer where their conduct gives rise to public interest considerations of </w:t>
      </w:r>
      <w:r w:rsidRPr="00AB11F9">
        <w:rPr>
          <w:rFonts w:ascii="Book Antiqua" w:hAnsi="Book Antiqua" w:cs="Arial"/>
          <w:u w:val="single"/>
        </w:rPr>
        <w:t>such weight</w:t>
      </w:r>
      <w:r>
        <w:rPr>
          <w:rFonts w:ascii="Book Antiqua" w:hAnsi="Book Antiqua" w:cs="Arial"/>
        </w:rPr>
        <w:t xml:space="preserve"> as to justify their removal, where the British child could remain in the UK with another parent or alternative primary carer, who is a British citizen or settled in the UK, or who has or is being granted leave to </w:t>
      </w:r>
      <w:r>
        <w:rPr>
          <w:rFonts w:ascii="Book Antiqua" w:hAnsi="Book Antiqua" w:cs="Arial"/>
        </w:rPr>
        <w:lastRenderedPageBreak/>
        <w:t xml:space="preserve">remain.  The circumstances envisaged include those in which the grant to grant leave could undermine our immigration controls, for example the Applicant has committed significant or persistent criminal offences falling below the thresholds for deportation set out in paragraph 398 of the Immigration Rules or has a </w:t>
      </w:r>
      <w:r w:rsidRPr="00AB11F9">
        <w:rPr>
          <w:rFonts w:ascii="Book Antiqua" w:hAnsi="Book Antiqua" w:cs="Arial"/>
          <w:u w:val="single"/>
        </w:rPr>
        <w:t>very poor immigration history, having repeatedly and deliberately breached the Immigration Rules</w:t>
      </w:r>
      <w:r>
        <w:rPr>
          <w:rFonts w:ascii="Book Antiqua" w:hAnsi="Book Antiqua" w:cs="Arial"/>
        </w:rPr>
        <w:t>.”</w:t>
      </w:r>
      <w:r w:rsidR="000F0249">
        <w:rPr>
          <w:rFonts w:ascii="Book Antiqua" w:hAnsi="Book Antiqua" w:cs="Arial"/>
        </w:rPr>
        <w:t xml:space="preserve">  (My emphasis)</w:t>
      </w:r>
    </w:p>
    <w:p w:rsidR="00F31C0A" w:rsidRDefault="000F0249" w:rsidP="00207449">
      <w:pPr>
        <w:spacing w:before="160" w:after="160" w:line="360" w:lineRule="auto"/>
        <w:ind w:left="567" w:hanging="567"/>
        <w:jc w:val="both"/>
        <w:rPr>
          <w:rFonts w:ascii="Book Antiqua" w:hAnsi="Book Antiqua" w:cs="Arial"/>
        </w:rPr>
      </w:pPr>
      <w:r>
        <w:rPr>
          <w:rFonts w:ascii="Book Antiqua" w:hAnsi="Book Antiqua" w:cs="Arial"/>
        </w:rPr>
        <w:t>14</w:t>
      </w:r>
      <w:r w:rsidR="00F31C0A">
        <w:rPr>
          <w:rFonts w:ascii="Book Antiqua" w:hAnsi="Book Antiqua" w:cs="Arial"/>
        </w:rPr>
        <w:t>.</w:t>
      </w:r>
      <w:r w:rsidR="00F31C0A">
        <w:rPr>
          <w:rFonts w:ascii="Book Antiqua" w:hAnsi="Book Antiqua" w:cs="Arial"/>
        </w:rPr>
        <w:tab/>
        <w:t xml:space="preserve">I have considered the best interests of the child and of course have applied Section 55 of the BCIA 2009 and the relevant case law of </w:t>
      </w:r>
      <w:r w:rsidR="00F31C0A" w:rsidRPr="00207449">
        <w:rPr>
          <w:rFonts w:ascii="Book Antiqua" w:hAnsi="Book Antiqua" w:cs="Arial"/>
          <w:i/>
        </w:rPr>
        <w:t>ZH (Tanzania)</w:t>
      </w:r>
      <w:r w:rsidR="00F31C0A">
        <w:rPr>
          <w:rFonts w:ascii="Book Antiqua" w:hAnsi="Book Antiqua" w:cs="Arial"/>
        </w:rPr>
        <w:t xml:space="preserve"> </w:t>
      </w:r>
      <w:r w:rsidR="00B34064">
        <w:rPr>
          <w:rFonts w:ascii="Book Antiqua" w:hAnsi="Book Antiqua" w:cs="Arial"/>
        </w:rPr>
        <w:t>[20</w:t>
      </w:r>
      <w:r w:rsidR="00207449">
        <w:rPr>
          <w:rFonts w:ascii="Book Antiqua" w:hAnsi="Book Antiqua" w:cs="Arial"/>
        </w:rPr>
        <w:t>11</w:t>
      </w:r>
      <w:r w:rsidR="00B34064">
        <w:rPr>
          <w:rFonts w:ascii="Book Antiqua" w:hAnsi="Book Antiqua" w:cs="Arial"/>
        </w:rPr>
        <w:t>]</w:t>
      </w:r>
      <w:r w:rsidR="00207449">
        <w:rPr>
          <w:rFonts w:ascii="Book Antiqua" w:hAnsi="Book Antiqua" w:cs="Arial"/>
        </w:rPr>
        <w:t xml:space="preserve"> </w:t>
      </w:r>
      <w:r w:rsidR="00B34064">
        <w:rPr>
          <w:rFonts w:ascii="Book Antiqua" w:hAnsi="Book Antiqua" w:cs="Arial"/>
        </w:rPr>
        <w:t>UKSC 4,</w:t>
      </w:r>
      <w:r w:rsidR="00F31C0A">
        <w:rPr>
          <w:rFonts w:ascii="Book Antiqua" w:hAnsi="Book Antiqua" w:cs="Arial"/>
        </w:rPr>
        <w:t xml:space="preserve"> </w:t>
      </w:r>
      <w:r w:rsidR="00F31C0A" w:rsidRPr="00207449">
        <w:rPr>
          <w:rFonts w:ascii="Book Antiqua" w:hAnsi="Book Antiqua" w:cs="Arial"/>
          <w:i/>
        </w:rPr>
        <w:t>MA (Pakistan)</w:t>
      </w:r>
      <w:r w:rsidR="00F31C0A">
        <w:rPr>
          <w:rFonts w:ascii="Book Antiqua" w:hAnsi="Book Antiqua" w:cs="Arial"/>
        </w:rPr>
        <w:t xml:space="preserve"> [2016] EWCA </w:t>
      </w:r>
      <w:proofErr w:type="spellStart"/>
      <w:r w:rsidR="00F31C0A">
        <w:rPr>
          <w:rFonts w:ascii="Book Antiqua" w:hAnsi="Book Antiqua" w:cs="Arial"/>
        </w:rPr>
        <w:t>Civ</w:t>
      </w:r>
      <w:proofErr w:type="spellEnd"/>
      <w:r w:rsidR="00F31C0A">
        <w:rPr>
          <w:rFonts w:ascii="Book Antiqua" w:hAnsi="Book Antiqua" w:cs="Arial"/>
        </w:rPr>
        <w:t xml:space="preserve"> 705 and </w:t>
      </w:r>
      <w:r w:rsidR="00F31C0A" w:rsidRPr="00207449">
        <w:rPr>
          <w:rFonts w:ascii="Book Antiqua" w:hAnsi="Book Antiqua" w:cs="Arial"/>
          <w:i/>
        </w:rPr>
        <w:t>AM (Pakistan) and Others</w:t>
      </w:r>
      <w:r w:rsidR="00F31C0A">
        <w:rPr>
          <w:rFonts w:ascii="Book Antiqua" w:hAnsi="Book Antiqua" w:cs="Arial"/>
        </w:rPr>
        <w:t xml:space="preserve"> [2017] EWCA </w:t>
      </w:r>
      <w:proofErr w:type="spellStart"/>
      <w:r w:rsidR="00F31C0A">
        <w:rPr>
          <w:rFonts w:ascii="Book Antiqua" w:hAnsi="Book Antiqua" w:cs="Arial"/>
        </w:rPr>
        <w:t>Civ</w:t>
      </w:r>
      <w:proofErr w:type="spellEnd"/>
      <w:r w:rsidR="00F31C0A">
        <w:rPr>
          <w:rFonts w:ascii="Book Antiqua" w:hAnsi="Book Antiqua" w:cs="Arial"/>
        </w:rPr>
        <w:t xml:space="preserve"> 180.  I have also taken into account the decision of </w:t>
      </w:r>
      <w:r w:rsidR="00F31C0A" w:rsidRPr="00207449">
        <w:rPr>
          <w:rFonts w:ascii="Book Antiqua" w:hAnsi="Book Antiqua" w:cs="Arial"/>
          <w:i/>
        </w:rPr>
        <w:t>MT and ET (Child’s Best Interests) (Nigeria)</w:t>
      </w:r>
      <w:r w:rsidR="00F31C0A">
        <w:rPr>
          <w:rFonts w:ascii="Book Antiqua" w:hAnsi="Book Antiqua" w:cs="Arial"/>
        </w:rPr>
        <w:t xml:space="preserve"> [2018] UKUT 00088 IAC in which the point is well made that as identified in </w:t>
      </w:r>
      <w:r w:rsidR="00F31C0A" w:rsidRPr="00207449">
        <w:rPr>
          <w:rFonts w:ascii="Book Antiqua" w:hAnsi="Book Antiqua" w:cs="Arial"/>
          <w:i/>
        </w:rPr>
        <w:t>MA (Pakistan)</w:t>
      </w:r>
      <w:r w:rsidR="00F31C0A">
        <w:rPr>
          <w:rFonts w:ascii="Book Antiqua" w:hAnsi="Book Antiqua" w:cs="Arial"/>
        </w:rPr>
        <w:t xml:space="preserve"> there need to be powerful reasons why a child who has been in the UK for a period of ten years should remove notwithstanding her best interests lie in remaining.  That </w:t>
      </w:r>
      <w:r w:rsidR="00B34064">
        <w:rPr>
          <w:rFonts w:ascii="Book Antiqua" w:hAnsi="Book Antiqua" w:cs="Arial"/>
        </w:rPr>
        <w:t xml:space="preserve">situation </w:t>
      </w:r>
      <w:r w:rsidR="00F31C0A">
        <w:rPr>
          <w:rFonts w:ascii="Book Antiqua" w:hAnsi="Book Antiqua" w:cs="Arial"/>
        </w:rPr>
        <w:t xml:space="preserve">factually does not engage with the present circumstances but in the </w:t>
      </w:r>
      <w:proofErr w:type="gramStart"/>
      <w:r w:rsidR="00F31C0A">
        <w:rPr>
          <w:rFonts w:ascii="Book Antiqua" w:hAnsi="Book Antiqua" w:cs="Arial"/>
        </w:rPr>
        <w:t>circumstances</w:t>
      </w:r>
      <w:proofErr w:type="gramEnd"/>
      <w:r w:rsidR="00F31C0A">
        <w:rPr>
          <w:rFonts w:ascii="Book Antiqua" w:hAnsi="Book Antiqua" w:cs="Arial"/>
        </w:rPr>
        <w:t xml:space="preserve"> I conclude that it is not reasonable to expect the child to leave the United Kingdom in order to maintain</w:t>
      </w:r>
      <w:r w:rsidR="00B713BC">
        <w:rPr>
          <w:rFonts w:ascii="Book Antiqua" w:hAnsi="Book Antiqua" w:cs="Arial"/>
        </w:rPr>
        <w:t>,</w:t>
      </w:r>
      <w:r w:rsidR="00F31C0A">
        <w:rPr>
          <w:rFonts w:ascii="Book Antiqua" w:hAnsi="Book Antiqua" w:cs="Arial"/>
        </w:rPr>
        <w:t xml:space="preserve"> with his mother</w:t>
      </w:r>
      <w:r w:rsidR="00B713BC">
        <w:rPr>
          <w:rFonts w:ascii="Book Antiqua" w:hAnsi="Book Antiqua" w:cs="Arial"/>
        </w:rPr>
        <w:t>,</w:t>
      </w:r>
      <w:r w:rsidR="00F31C0A">
        <w:rPr>
          <w:rFonts w:ascii="Book Antiqua" w:hAnsi="Book Antiqua" w:cs="Arial"/>
        </w:rPr>
        <w:t xml:space="preserve"> that family relationship.  More importantly, the continued participation of the Appellant in the life of the child and in its upbringing at this delicate time is obviously the right course to be followed.  I have considered the Appellant’s immigration history but as set out above it does not seem to me in the light of </w:t>
      </w:r>
      <w:r w:rsidR="00F31C0A" w:rsidRPr="00207449">
        <w:rPr>
          <w:rFonts w:ascii="Book Antiqua" w:hAnsi="Book Antiqua" w:cs="Arial"/>
          <w:i/>
        </w:rPr>
        <w:t>AM (Pakistan)</w:t>
      </w:r>
      <w:r w:rsidR="00F31C0A">
        <w:rPr>
          <w:rFonts w:ascii="Book Antiqua" w:hAnsi="Book Antiqua" w:cs="Arial"/>
        </w:rPr>
        <w:t xml:space="preserve"> that this is a case where his conduct shows that it is reasonable </w:t>
      </w:r>
      <w:r w:rsidR="00856553">
        <w:rPr>
          <w:rFonts w:ascii="Book Antiqua" w:hAnsi="Book Antiqua" w:cs="Arial"/>
        </w:rPr>
        <w:t>to require</w:t>
      </w:r>
      <w:r w:rsidR="00F31C0A">
        <w:rPr>
          <w:rFonts w:ascii="Book Antiqua" w:hAnsi="Book Antiqua" w:cs="Arial"/>
        </w:rPr>
        <w:t xml:space="preserve"> the </w:t>
      </w:r>
      <w:r w:rsidR="00856553">
        <w:rPr>
          <w:rFonts w:ascii="Book Antiqua" w:hAnsi="Book Antiqua" w:cs="Arial"/>
        </w:rPr>
        <w:t>child</w:t>
      </w:r>
      <w:r w:rsidR="00F31C0A">
        <w:rPr>
          <w:rFonts w:ascii="Book Antiqua" w:hAnsi="Book Antiqua" w:cs="Arial"/>
        </w:rPr>
        <w:t xml:space="preserve"> to </w:t>
      </w:r>
      <w:r w:rsidR="00856553">
        <w:rPr>
          <w:rFonts w:ascii="Book Antiqua" w:hAnsi="Book Antiqua" w:cs="Arial"/>
        </w:rPr>
        <w:t>leave</w:t>
      </w:r>
      <w:r w:rsidR="00F31C0A">
        <w:rPr>
          <w:rFonts w:ascii="Book Antiqua" w:hAnsi="Book Antiqua" w:cs="Arial"/>
        </w:rPr>
        <w:t xml:space="preserve"> with his parents</w:t>
      </w:r>
      <w:r w:rsidR="00856553">
        <w:rPr>
          <w:rFonts w:ascii="Book Antiqua" w:hAnsi="Book Antiqua" w:cs="Arial"/>
        </w:rPr>
        <w:t>,</w:t>
      </w:r>
      <w:r w:rsidR="00F31C0A">
        <w:rPr>
          <w:rFonts w:ascii="Book Antiqua" w:hAnsi="Book Antiqua" w:cs="Arial"/>
        </w:rPr>
        <w:t xml:space="preserve"> who evidently wish to maintain their relationship together.</w:t>
      </w:r>
    </w:p>
    <w:p w:rsidR="00F31C0A" w:rsidRDefault="00856553" w:rsidP="00207449">
      <w:pPr>
        <w:spacing w:before="160" w:after="160" w:line="360" w:lineRule="auto"/>
        <w:ind w:left="567" w:hanging="567"/>
        <w:jc w:val="both"/>
        <w:rPr>
          <w:rFonts w:ascii="Book Antiqua" w:hAnsi="Book Antiqua" w:cs="Arial"/>
        </w:rPr>
      </w:pPr>
      <w:r>
        <w:rPr>
          <w:rFonts w:ascii="Book Antiqua" w:hAnsi="Book Antiqua" w:cs="Arial"/>
        </w:rPr>
        <w:t>15</w:t>
      </w:r>
      <w:r w:rsidR="00F31C0A">
        <w:rPr>
          <w:rFonts w:ascii="Book Antiqua" w:hAnsi="Book Antiqua" w:cs="Arial"/>
        </w:rPr>
        <w:t>.</w:t>
      </w:r>
      <w:r w:rsidR="00F31C0A">
        <w:rPr>
          <w:rFonts w:ascii="Book Antiqua" w:hAnsi="Book Antiqua" w:cs="Arial"/>
        </w:rPr>
        <w:tab/>
      </w:r>
      <w:proofErr w:type="gramStart"/>
      <w:r w:rsidR="00F31C0A">
        <w:rPr>
          <w:rFonts w:ascii="Book Antiqua" w:hAnsi="Book Antiqua" w:cs="Arial"/>
        </w:rPr>
        <w:t>Therefore</w:t>
      </w:r>
      <w:proofErr w:type="gramEnd"/>
      <w:r w:rsidR="00F31C0A">
        <w:rPr>
          <w:rFonts w:ascii="Book Antiqua" w:hAnsi="Book Antiqua" w:cs="Arial"/>
        </w:rPr>
        <w:t xml:space="preserve"> having regard to the human rights claim and Article 8 outside of the Rules, I find in the light of the cases of </w:t>
      </w:r>
      <w:r w:rsidR="00F31C0A" w:rsidRPr="00207449">
        <w:rPr>
          <w:rFonts w:ascii="Book Antiqua" w:hAnsi="Book Antiqua" w:cs="Arial"/>
          <w:i/>
        </w:rPr>
        <w:t>Hesham Ali</w:t>
      </w:r>
      <w:r w:rsidR="00F31C0A">
        <w:rPr>
          <w:rFonts w:ascii="Book Antiqua" w:hAnsi="Book Antiqua" w:cs="Arial"/>
        </w:rPr>
        <w:t xml:space="preserve"> </w:t>
      </w:r>
      <w:r w:rsidR="00BA1AE6" w:rsidRPr="00BA1AE6">
        <w:rPr>
          <w:rFonts w:ascii="Book Antiqua" w:hAnsi="Book Antiqua" w:cs="Arial"/>
        </w:rPr>
        <w:t>[2016] UKSC 60</w:t>
      </w:r>
      <w:r w:rsidR="00F31C0A">
        <w:rPr>
          <w:rFonts w:ascii="Book Antiqua" w:hAnsi="Book Antiqua" w:cs="Arial"/>
        </w:rPr>
        <w:t xml:space="preserve">, </w:t>
      </w:r>
      <w:proofErr w:type="spellStart"/>
      <w:r w:rsidR="00BA1AE6" w:rsidRPr="00207449">
        <w:rPr>
          <w:rFonts w:ascii="Book Antiqua" w:hAnsi="Book Antiqua" w:cs="Arial"/>
          <w:i/>
        </w:rPr>
        <w:t>Agyarko</w:t>
      </w:r>
      <w:proofErr w:type="spellEnd"/>
      <w:r w:rsidR="00BA1AE6" w:rsidRPr="00BA1AE6">
        <w:rPr>
          <w:rFonts w:ascii="Book Antiqua" w:hAnsi="Book Antiqua" w:cs="Arial"/>
        </w:rPr>
        <w:t xml:space="preserve"> [2017] UKSC 11</w:t>
      </w:r>
      <w:r w:rsidR="00F31C0A">
        <w:rPr>
          <w:rFonts w:ascii="Book Antiqua" w:hAnsi="Book Antiqua" w:cs="Arial"/>
        </w:rPr>
        <w:t xml:space="preserve">, </w:t>
      </w:r>
      <w:r w:rsidR="000068EB" w:rsidRPr="00207449">
        <w:rPr>
          <w:rFonts w:ascii="Book Antiqua" w:hAnsi="Book Antiqua" w:cs="Arial"/>
          <w:i/>
        </w:rPr>
        <w:t>MF (Nigeria)</w:t>
      </w:r>
      <w:r w:rsidR="000068EB" w:rsidRPr="000068EB">
        <w:rPr>
          <w:rFonts w:ascii="Book Antiqua" w:hAnsi="Book Antiqua" w:cs="Arial"/>
        </w:rPr>
        <w:t xml:space="preserve"> [2013] EWCA </w:t>
      </w:r>
      <w:proofErr w:type="spellStart"/>
      <w:r w:rsidR="000068EB" w:rsidRPr="000068EB">
        <w:rPr>
          <w:rFonts w:ascii="Book Antiqua" w:hAnsi="Book Antiqua" w:cs="Arial"/>
        </w:rPr>
        <w:t>Civ</w:t>
      </w:r>
      <w:proofErr w:type="spellEnd"/>
      <w:r w:rsidR="000068EB" w:rsidRPr="000068EB">
        <w:rPr>
          <w:rFonts w:ascii="Book Antiqua" w:hAnsi="Book Antiqua" w:cs="Arial"/>
        </w:rPr>
        <w:t xml:space="preserve"> 1192</w:t>
      </w:r>
      <w:r w:rsidR="00F31C0A">
        <w:rPr>
          <w:rFonts w:ascii="Book Antiqua" w:hAnsi="Book Antiqua" w:cs="Arial"/>
        </w:rPr>
        <w:t xml:space="preserve"> that this is an appropriate case to look at </w:t>
      </w:r>
      <w:r w:rsidR="000068EB">
        <w:rPr>
          <w:rFonts w:ascii="Book Antiqua" w:hAnsi="Book Antiqua" w:cs="Arial"/>
        </w:rPr>
        <w:t xml:space="preserve">Article 8.  </w:t>
      </w:r>
      <w:r w:rsidR="00F31C0A">
        <w:rPr>
          <w:rFonts w:ascii="Book Antiqua" w:hAnsi="Book Antiqua" w:cs="Arial"/>
        </w:rPr>
        <w:t>I conclude in the circumstances that the Respondent’s decision interferes with the rights to a family</w:t>
      </w:r>
      <w:r w:rsidR="000068EB">
        <w:rPr>
          <w:rFonts w:ascii="Book Antiqua" w:hAnsi="Book Antiqua" w:cs="Arial"/>
        </w:rPr>
        <w:t>/</w:t>
      </w:r>
      <w:r w:rsidR="00F31C0A">
        <w:rPr>
          <w:rFonts w:ascii="Book Antiqua" w:hAnsi="Book Antiqua" w:cs="Arial"/>
        </w:rPr>
        <w:t>private life addressed by Article 8(1) of the ECHR.  I find the Respondent’s decision is lawful in accordance with the objectives of Article 8(2) but I find having regard to paragraph 117</w:t>
      </w:r>
      <w:proofErr w:type="gramStart"/>
      <w:r w:rsidR="00F31C0A">
        <w:rPr>
          <w:rFonts w:ascii="Book Antiqua" w:hAnsi="Book Antiqua" w:cs="Arial"/>
        </w:rPr>
        <w:t>B(</w:t>
      </w:r>
      <w:proofErr w:type="gramEnd"/>
      <w:r w:rsidR="00F31C0A">
        <w:rPr>
          <w:rFonts w:ascii="Book Antiqua" w:hAnsi="Book Antiqua" w:cs="Arial"/>
        </w:rPr>
        <w:t xml:space="preserve">6) </w:t>
      </w:r>
      <w:r w:rsidR="000068EB">
        <w:rPr>
          <w:rFonts w:ascii="Book Antiqua" w:hAnsi="Book Antiqua" w:cs="Arial"/>
        </w:rPr>
        <w:t xml:space="preserve">NIAA 2002 </w:t>
      </w:r>
      <w:r w:rsidR="00F31C0A">
        <w:rPr>
          <w:rFonts w:ascii="Book Antiqua" w:hAnsi="Book Antiqua" w:cs="Arial"/>
        </w:rPr>
        <w:t>that the</w:t>
      </w:r>
      <w:r w:rsidR="000068EB">
        <w:rPr>
          <w:rFonts w:ascii="Book Antiqua" w:hAnsi="Book Antiqua" w:cs="Arial"/>
        </w:rPr>
        <w:t>re is a subsisting parental relationship between the Appellant and child</w:t>
      </w:r>
      <w:r w:rsidR="00B34064">
        <w:rPr>
          <w:rFonts w:ascii="Book Antiqua" w:hAnsi="Book Antiqua" w:cs="Arial"/>
        </w:rPr>
        <w:t xml:space="preserve"> a qualifying child.  I find, </w:t>
      </w:r>
      <w:r w:rsidR="00B34064">
        <w:rPr>
          <w:rFonts w:ascii="Book Antiqua" w:hAnsi="Book Antiqua" w:cs="Arial"/>
        </w:rPr>
        <w:lastRenderedPageBreak/>
        <w:t>notwithstanding the</w:t>
      </w:r>
      <w:r w:rsidR="00F31C0A">
        <w:rPr>
          <w:rFonts w:ascii="Book Antiqua" w:hAnsi="Book Antiqua" w:cs="Arial"/>
        </w:rPr>
        <w:t xml:space="preserve"> Respondent’s </w:t>
      </w:r>
      <w:r w:rsidR="00B34064">
        <w:rPr>
          <w:rFonts w:ascii="Book Antiqua" w:hAnsi="Book Antiqua" w:cs="Arial"/>
        </w:rPr>
        <w:t xml:space="preserve">view is </w:t>
      </w:r>
      <w:r w:rsidR="00F31C0A">
        <w:rPr>
          <w:rFonts w:ascii="Book Antiqua" w:hAnsi="Book Antiqua" w:cs="Arial"/>
        </w:rPr>
        <w:t xml:space="preserve">not reasonable for the </w:t>
      </w:r>
      <w:r w:rsidR="007F5691">
        <w:rPr>
          <w:rFonts w:ascii="Book Antiqua" w:hAnsi="Book Antiqua" w:cs="Arial"/>
        </w:rPr>
        <w:t>child</w:t>
      </w:r>
      <w:r w:rsidR="00F31C0A">
        <w:rPr>
          <w:rFonts w:ascii="Book Antiqua" w:hAnsi="Book Antiqua" w:cs="Arial"/>
        </w:rPr>
        <w:t xml:space="preserve"> to relocate to Bangladesh.  </w:t>
      </w:r>
      <w:r w:rsidR="007F5691">
        <w:rPr>
          <w:rFonts w:ascii="Book Antiqua" w:hAnsi="Book Antiqua" w:cs="Arial"/>
        </w:rPr>
        <w:t xml:space="preserve">I also find the fact that the child could remain with his mother is no answer because it would confound the importance of a genuine and subsisting relationship and the benefits that follow.  </w:t>
      </w:r>
      <w:r w:rsidR="00F31C0A">
        <w:rPr>
          <w:rFonts w:ascii="Book Antiqua" w:hAnsi="Book Antiqua" w:cs="Arial"/>
        </w:rPr>
        <w:t>It follows from that that if it is not reasonable for the child to do so then it cannot be in the public interest and proportionate for the same to follow.</w:t>
      </w:r>
    </w:p>
    <w:p w:rsidR="00F31C0A" w:rsidRDefault="00FA7BDA" w:rsidP="00207449">
      <w:pPr>
        <w:spacing w:before="160" w:after="160" w:line="360" w:lineRule="auto"/>
        <w:ind w:left="567" w:hanging="567"/>
        <w:jc w:val="both"/>
        <w:rPr>
          <w:rFonts w:ascii="Book Antiqua" w:hAnsi="Book Antiqua" w:cs="Arial"/>
        </w:rPr>
      </w:pPr>
      <w:r>
        <w:rPr>
          <w:rFonts w:ascii="Book Antiqua" w:hAnsi="Book Antiqua" w:cs="Arial"/>
        </w:rPr>
        <w:t>16</w:t>
      </w:r>
      <w:r w:rsidR="00F31C0A">
        <w:rPr>
          <w:rFonts w:ascii="Book Antiqua" w:hAnsi="Book Antiqua" w:cs="Arial"/>
        </w:rPr>
        <w:t>.</w:t>
      </w:r>
      <w:r w:rsidR="00F31C0A">
        <w:rPr>
          <w:rFonts w:ascii="Book Antiqua" w:hAnsi="Book Antiqua" w:cs="Arial"/>
        </w:rPr>
        <w:tab/>
        <w:t>If I was wrong in that respect, I would for the same reasons conclude that the Secretary of State’s decision does not respect the private and human rights to life and leads to the conclusion that the Respondent’s decision is not proportionate.</w:t>
      </w:r>
    </w:p>
    <w:p w:rsidR="00FA7BDA" w:rsidRPr="00FA7BDA" w:rsidRDefault="00FA7BDA" w:rsidP="00207449">
      <w:pPr>
        <w:spacing w:before="160" w:after="160" w:line="360" w:lineRule="auto"/>
        <w:jc w:val="both"/>
        <w:rPr>
          <w:rFonts w:ascii="Book Antiqua" w:hAnsi="Book Antiqua" w:cs="Arial"/>
          <w:b/>
          <w:u w:val="single"/>
        </w:rPr>
      </w:pPr>
      <w:r>
        <w:rPr>
          <w:rFonts w:ascii="Book Antiqua" w:hAnsi="Book Antiqua" w:cs="Arial"/>
          <w:b/>
          <w:u w:val="single"/>
        </w:rPr>
        <w:t>DECISION</w:t>
      </w:r>
    </w:p>
    <w:p w:rsidR="00F31C0A" w:rsidRDefault="00F31C0A" w:rsidP="00207449">
      <w:pPr>
        <w:spacing w:before="160" w:after="160" w:line="360" w:lineRule="auto"/>
        <w:jc w:val="both"/>
        <w:rPr>
          <w:rFonts w:ascii="Book Antiqua" w:hAnsi="Book Antiqua" w:cs="Arial"/>
        </w:rPr>
      </w:pPr>
      <w:r>
        <w:rPr>
          <w:rFonts w:ascii="Book Antiqua" w:hAnsi="Book Antiqua" w:cs="Arial"/>
        </w:rPr>
        <w:t>The appeal is allowed under Article 8 ECHR.</w:t>
      </w:r>
    </w:p>
    <w:p w:rsidR="00F31C0A" w:rsidRDefault="00F31C0A" w:rsidP="00207449">
      <w:pPr>
        <w:spacing w:before="160" w:after="160" w:line="360" w:lineRule="auto"/>
        <w:ind w:left="567" w:hanging="567"/>
        <w:jc w:val="both"/>
        <w:rPr>
          <w:rFonts w:ascii="Book Antiqua" w:hAnsi="Book Antiqua" w:cs="Arial"/>
        </w:rPr>
      </w:pPr>
      <w:r>
        <w:rPr>
          <w:rFonts w:ascii="Book Antiqua" w:hAnsi="Book Antiqua" w:cs="Arial"/>
        </w:rPr>
        <w:t>No anonymity order was sought nor is one required.</w:t>
      </w:r>
    </w:p>
    <w:p w:rsidR="00F31C0A" w:rsidRPr="000B0A3F" w:rsidRDefault="00F31C0A" w:rsidP="00207449">
      <w:pPr>
        <w:tabs>
          <w:tab w:val="left" w:pos="2520"/>
        </w:tabs>
        <w:spacing w:before="160" w:after="160"/>
        <w:ind w:left="540" w:hanging="540"/>
        <w:jc w:val="both"/>
        <w:rPr>
          <w:rFonts w:ascii="Book Antiqua" w:hAnsi="Book Antiqua" w:cs="Arial"/>
          <w:color w:val="000000"/>
        </w:rPr>
      </w:pPr>
    </w:p>
    <w:p w:rsidR="00F31C0A" w:rsidRPr="000B0A3F" w:rsidRDefault="00F31C0A" w:rsidP="00207449">
      <w:pPr>
        <w:spacing w:before="160" w:after="160" w:line="360" w:lineRule="auto"/>
        <w:jc w:val="both"/>
        <w:rPr>
          <w:rFonts w:ascii="Book Antiqua" w:hAnsi="Book Antiqua" w:cs="Arial"/>
          <w:b/>
          <w:u w:val="single"/>
        </w:rPr>
      </w:pPr>
      <w:r w:rsidRPr="000B0A3F">
        <w:rPr>
          <w:rFonts w:ascii="Book Antiqua" w:hAnsi="Book Antiqua" w:cs="Arial"/>
          <w:b/>
          <w:u w:val="single"/>
        </w:rPr>
        <w:t>TO THE RESPONDENT</w:t>
      </w:r>
    </w:p>
    <w:p w:rsidR="00F31C0A" w:rsidRPr="000B0A3F" w:rsidRDefault="00F31C0A" w:rsidP="00207449">
      <w:pPr>
        <w:spacing w:before="160" w:after="160" w:line="360" w:lineRule="auto"/>
        <w:ind w:left="567" w:hanging="567"/>
        <w:jc w:val="both"/>
        <w:rPr>
          <w:rFonts w:ascii="Book Antiqua" w:hAnsi="Book Antiqua" w:cs="Arial"/>
        </w:rPr>
      </w:pPr>
      <w:r w:rsidRPr="000B0A3F">
        <w:rPr>
          <w:rFonts w:ascii="Book Antiqua" w:hAnsi="Book Antiqua" w:cs="Arial"/>
          <w:b/>
          <w:u w:val="single"/>
        </w:rPr>
        <w:t>FEE AWARD</w:t>
      </w:r>
    </w:p>
    <w:p w:rsidR="00F31C0A" w:rsidRDefault="00F31C0A" w:rsidP="00207449">
      <w:pPr>
        <w:spacing w:before="160" w:after="160" w:line="360" w:lineRule="auto"/>
        <w:jc w:val="both"/>
        <w:rPr>
          <w:rFonts w:ascii="Book Antiqua" w:hAnsi="Book Antiqua" w:cs="Arial"/>
        </w:rPr>
      </w:pPr>
      <w:r>
        <w:rPr>
          <w:rFonts w:ascii="Book Antiqua" w:hAnsi="Book Antiqua" w:cs="Arial"/>
        </w:rPr>
        <w:t>The appeal has succeeded on the strength of the information provided addressing the appeal rather than that which was originally before the Secretary of State.  Accordingly</w:t>
      </w:r>
      <w:r w:rsidR="00B34064">
        <w:rPr>
          <w:rFonts w:ascii="Book Antiqua" w:hAnsi="Book Antiqua" w:cs="Arial"/>
        </w:rPr>
        <w:t>, whilst</w:t>
      </w:r>
      <w:r>
        <w:rPr>
          <w:rFonts w:ascii="Book Antiqua" w:hAnsi="Book Antiqua" w:cs="Arial"/>
        </w:rPr>
        <w:t xml:space="preserve"> I am satisfied as at the date of the hearing that the Appellant has discharged the burden of proof, Article 8 rights are engaged, and the Respondent’s decision is disproportionate</w:t>
      </w:r>
      <w:r w:rsidR="00C821AD">
        <w:rPr>
          <w:rFonts w:ascii="Book Antiqua" w:hAnsi="Book Antiqua" w:cs="Arial"/>
        </w:rPr>
        <w:t xml:space="preserve"> I do not find it appropriate to make a fee award</w:t>
      </w:r>
      <w:r>
        <w:rPr>
          <w:rFonts w:ascii="Book Antiqua" w:hAnsi="Book Antiqua" w:cs="Arial"/>
        </w:rPr>
        <w:t>.</w:t>
      </w:r>
    </w:p>
    <w:p w:rsidR="00F31C0A" w:rsidRDefault="00F31C0A" w:rsidP="00207449">
      <w:pPr>
        <w:spacing w:before="160" w:after="160" w:line="360" w:lineRule="auto"/>
        <w:jc w:val="both"/>
        <w:rPr>
          <w:rFonts w:ascii="Book Antiqua" w:hAnsi="Book Antiqua" w:cs="Arial"/>
        </w:rPr>
      </w:pPr>
    </w:p>
    <w:p w:rsidR="00F31C0A" w:rsidRPr="000704BB" w:rsidRDefault="00F31C0A" w:rsidP="00207449">
      <w:pPr>
        <w:spacing w:before="160" w:after="160" w:line="360" w:lineRule="auto"/>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C821AD">
        <w:rPr>
          <w:rFonts w:ascii="Book Antiqua" w:hAnsi="Book Antiqua" w:cs="Arial"/>
        </w:rPr>
        <w:t xml:space="preserve"> 4 June 2018</w:t>
      </w:r>
    </w:p>
    <w:p w:rsidR="00F31C0A" w:rsidRPr="000704BB" w:rsidRDefault="00F31C0A" w:rsidP="00207449">
      <w:pPr>
        <w:tabs>
          <w:tab w:val="left" w:pos="2520"/>
        </w:tabs>
        <w:spacing w:before="160" w:after="160" w:line="360" w:lineRule="auto"/>
        <w:ind w:left="540" w:hanging="540"/>
        <w:jc w:val="both"/>
        <w:rPr>
          <w:rFonts w:ascii="Book Antiqua" w:hAnsi="Book Antiqua" w:cs="Arial"/>
        </w:rPr>
      </w:pPr>
      <w:r w:rsidRPr="00BC4F94">
        <w:rPr>
          <w:rFonts w:ascii="Book Antiqua" w:hAnsi="Book Antiqua" w:cs="Arial"/>
          <w:color w:val="000000"/>
        </w:rPr>
        <w:t xml:space="preserve">Deputy </w:t>
      </w:r>
      <w:r>
        <w:rPr>
          <w:rFonts w:ascii="Book Antiqua" w:hAnsi="Book Antiqua" w:cs="Arial"/>
          <w:color w:val="000000"/>
        </w:rPr>
        <w:t>Upper Tribunal Judge Davey</w:t>
      </w:r>
    </w:p>
    <w:sectPr w:rsidR="00F31C0A"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AD0" w:rsidRDefault="009E7AD0">
      <w:r>
        <w:separator/>
      </w:r>
    </w:p>
  </w:endnote>
  <w:endnote w:type="continuationSeparator" w:id="0">
    <w:p w:rsidR="009E7AD0" w:rsidRDefault="009E7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B3B" w:rsidRPr="000704BB" w:rsidRDefault="001D5B3B"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9A38A5">
      <w:rPr>
        <w:rStyle w:val="PageNumber"/>
        <w:rFonts w:ascii="Book Antiqua" w:hAnsi="Book Antiqua" w:cs="Arial"/>
        <w:noProof/>
        <w:sz w:val="16"/>
        <w:szCs w:val="16"/>
      </w:rPr>
      <w:t>7</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B3B" w:rsidRPr="000704BB" w:rsidRDefault="001D5B3B"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AD0" w:rsidRDefault="009E7AD0">
      <w:r>
        <w:separator/>
      </w:r>
    </w:p>
  </w:footnote>
  <w:footnote w:type="continuationSeparator" w:id="0">
    <w:p w:rsidR="009E7AD0" w:rsidRDefault="009E7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B3B" w:rsidRPr="000704BB" w:rsidRDefault="001D5B3B"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HU/01531/2015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B3B" w:rsidRPr="000704BB" w:rsidRDefault="001D5B3B">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712E8"/>
    <w:multiLevelType w:val="hybridMultilevel"/>
    <w:tmpl w:val="0B7C0EA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 w15:restartNumberingAfterBreak="0">
    <w:nsid w:val="37A56468"/>
    <w:multiLevelType w:val="hybridMultilevel"/>
    <w:tmpl w:val="62A8619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738D3966"/>
    <w:multiLevelType w:val="hybridMultilevel"/>
    <w:tmpl w:val="24AAD926"/>
    <w:lvl w:ilvl="0" w:tplc="5328868C">
      <w:start w:val="1"/>
      <w:numFmt w:val="decimal"/>
      <w:lvlText w:val="%1."/>
      <w:lvlJc w:val="left"/>
      <w:pPr>
        <w:ind w:left="1137" w:hanging="570"/>
      </w:pPr>
      <w:rPr>
        <w:rFonts w:cs="Times New Roman" w:hint="default"/>
      </w:rPr>
    </w:lvl>
    <w:lvl w:ilvl="1" w:tplc="08090019" w:tentative="1">
      <w:start w:val="1"/>
      <w:numFmt w:val="lowerLetter"/>
      <w:lvlText w:val="%2."/>
      <w:lvlJc w:val="left"/>
      <w:pPr>
        <w:ind w:left="1647" w:hanging="360"/>
      </w:pPr>
      <w:rPr>
        <w:rFonts w:cs="Times New Roman"/>
      </w:rPr>
    </w:lvl>
    <w:lvl w:ilvl="2" w:tplc="0809001B" w:tentative="1">
      <w:start w:val="1"/>
      <w:numFmt w:val="lowerRoman"/>
      <w:lvlText w:val="%3."/>
      <w:lvlJc w:val="right"/>
      <w:pPr>
        <w:ind w:left="2367" w:hanging="180"/>
      </w:pPr>
      <w:rPr>
        <w:rFonts w:cs="Times New Roman"/>
      </w:rPr>
    </w:lvl>
    <w:lvl w:ilvl="3" w:tplc="0809000F" w:tentative="1">
      <w:start w:val="1"/>
      <w:numFmt w:val="decimal"/>
      <w:lvlText w:val="%4."/>
      <w:lvlJc w:val="left"/>
      <w:pPr>
        <w:ind w:left="3087" w:hanging="360"/>
      </w:pPr>
      <w:rPr>
        <w:rFonts w:cs="Times New Roman"/>
      </w:rPr>
    </w:lvl>
    <w:lvl w:ilvl="4" w:tplc="08090019" w:tentative="1">
      <w:start w:val="1"/>
      <w:numFmt w:val="lowerLetter"/>
      <w:lvlText w:val="%5."/>
      <w:lvlJc w:val="left"/>
      <w:pPr>
        <w:ind w:left="3807" w:hanging="360"/>
      </w:pPr>
      <w:rPr>
        <w:rFonts w:cs="Times New Roman"/>
      </w:rPr>
    </w:lvl>
    <w:lvl w:ilvl="5" w:tplc="0809001B" w:tentative="1">
      <w:start w:val="1"/>
      <w:numFmt w:val="lowerRoman"/>
      <w:lvlText w:val="%6."/>
      <w:lvlJc w:val="right"/>
      <w:pPr>
        <w:ind w:left="4527" w:hanging="180"/>
      </w:pPr>
      <w:rPr>
        <w:rFonts w:cs="Times New Roman"/>
      </w:rPr>
    </w:lvl>
    <w:lvl w:ilvl="6" w:tplc="0809000F" w:tentative="1">
      <w:start w:val="1"/>
      <w:numFmt w:val="decimal"/>
      <w:lvlText w:val="%7."/>
      <w:lvlJc w:val="left"/>
      <w:pPr>
        <w:ind w:left="5247" w:hanging="360"/>
      </w:pPr>
      <w:rPr>
        <w:rFonts w:cs="Times New Roman"/>
      </w:rPr>
    </w:lvl>
    <w:lvl w:ilvl="7" w:tplc="08090019" w:tentative="1">
      <w:start w:val="1"/>
      <w:numFmt w:val="lowerLetter"/>
      <w:lvlText w:val="%8."/>
      <w:lvlJc w:val="left"/>
      <w:pPr>
        <w:ind w:left="5967" w:hanging="360"/>
      </w:pPr>
      <w:rPr>
        <w:rFonts w:cs="Times New Roman"/>
      </w:rPr>
    </w:lvl>
    <w:lvl w:ilvl="8" w:tplc="0809001B" w:tentative="1">
      <w:start w:val="1"/>
      <w:numFmt w:val="lowerRoman"/>
      <w:lvlText w:val="%9."/>
      <w:lvlJc w:val="right"/>
      <w:pPr>
        <w:ind w:left="6687"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75"/>
    <w:rsid w:val="00000621"/>
    <w:rsid w:val="000036C2"/>
    <w:rsid w:val="000068EB"/>
    <w:rsid w:val="00033D3D"/>
    <w:rsid w:val="00062F02"/>
    <w:rsid w:val="000644AB"/>
    <w:rsid w:val="000704BB"/>
    <w:rsid w:val="00071A7E"/>
    <w:rsid w:val="000746C0"/>
    <w:rsid w:val="00074D1D"/>
    <w:rsid w:val="00092580"/>
    <w:rsid w:val="00093D4D"/>
    <w:rsid w:val="000B0A3F"/>
    <w:rsid w:val="000C2166"/>
    <w:rsid w:val="000D5D94"/>
    <w:rsid w:val="000F0249"/>
    <w:rsid w:val="000F1A0E"/>
    <w:rsid w:val="000F52D4"/>
    <w:rsid w:val="001165A7"/>
    <w:rsid w:val="00125938"/>
    <w:rsid w:val="00136632"/>
    <w:rsid w:val="00150C5F"/>
    <w:rsid w:val="00151389"/>
    <w:rsid w:val="00167D3A"/>
    <w:rsid w:val="00170F7B"/>
    <w:rsid w:val="00190911"/>
    <w:rsid w:val="001A3082"/>
    <w:rsid w:val="001B186A"/>
    <w:rsid w:val="001B2F75"/>
    <w:rsid w:val="001B659F"/>
    <w:rsid w:val="001C2D96"/>
    <w:rsid w:val="001C58DC"/>
    <w:rsid w:val="001C5B44"/>
    <w:rsid w:val="001D5B3B"/>
    <w:rsid w:val="001F2716"/>
    <w:rsid w:val="00203FB0"/>
    <w:rsid w:val="00207449"/>
    <w:rsid w:val="00207617"/>
    <w:rsid w:val="002215D4"/>
    <w:rsid w:val="0023134B"/>
    <w:rsid w:val="00283659"/>
    <w:rsid w:val="00295D12"/>
    <w:rsid w:val="002A1607"/>
    <w:rsid w:val="002A3459"/>
    <w:rsid w:val="002C6BD4"/>
    <w:rsid w:val="002D68BF"/>
    <w:rsid w:val="002F4275"/>
    <w:rsid w:val="002F6B98"/>
    <w:rsid w:val="00307137"/>
    <w:rsid w:val="00336CBF"/>
    <w:rsid w:val="00343EC3"/>
    <w:rsid w:val="00343FE3"/>
    <w:rsid w:val="003546C8"/>
    <w:rsid w:val="00365F5E"/>
    <w:rsid w:val="003A7CF2"/>
    <w:rsid w:val="003B2358"/>
    <w:rsid w:val="003C12D0"/>
    <w:rsid w:val="003C2CDB"/>
    <w:rsid w:val="003C5CE5"/>
    <w:rsid w:val="003E092F"/>
    <w:rsid w:val="003E267B"/>
    <w:rsid w:val="003E7CD1"/>
    <w:rsid w:val="00402B9E"/>
    <w:rsid w:val="004243E8"/>
    <w:rsid w:val="004249CB"/>
    <w:rsid w:val="004319AE"/>
    <w:rsid w:val="0044127D"/>
    <w:rsid w:val="004423E2"/>
    <w:rsid w:val="004448DB"/>
    <w:rsid w:val="00446C9A"/>
    <w:rsid w:val="00452F2B"/>
    <w:rsid w:val="00460347"/>
    <w:rsid w:val="004665AA"/>
    <w:rsid w:val="00477193"/>
    <w:rsid w:val="00491F91"/>
    <w:rsid w:val="004A1848"/>
    <w:rsid w:val="004A6F4A"/>
    <w:rsid w:val="004E08A9"/>
    <w:rsid w:val="004E0F3D"/>
    <w:rsid w:val="004E4717"/>
    <w:rsid w:val="00506249"/>
    <w:rsid w:val="00507FEC"/>
    <w:rsid w:val="00510F0E"/>
    <w:rsid w:val="005479E1"/>
    <w:rsid w:val="00550648"/>
    <w:rsid w:val="00553E0A"/>
    <w:rsid w:val="005570FD"/>
    <w:rsid w:val="005575EA"/>
    <w:rsid w:val="0056234C"/>
    <w:rsid w:val="0057790C"/>
    <w:rsid w:val="00593795"/>
    <w:rsid w:val="00596FD5"/>
    <w:rsid w:val="005A75FF"/>
    <w:rsid w:val="005B169B"/>
    <w:rsid w:val="005C7C69"/>
    <w:rsid w:val="005D10AB"/>
    <w:rsid w:val="005E5CE4"/>
    <w:rsid w:val="00601D8F"/>
    <w:rsid w:val="00612644"/>
    <w:rsid w:val="00625051"/>
    <w:rsid w:val="00643BFC"/>
    <w:rsid w:val="00653E97"/>
    <w:rsid w:val="00666B3F"/>
    <w:rsid w:val="006701F7"/>
    <w:rsid w:val="00672544"/>
    <w:rsid w:val="00674FB9"/>
    <w:rsid w:val="00684A74"/>
    <w:rsid w:val="00690B8A"/>
    <w:rsid w:val="006D0A2D"/>
    <w:rsid w:val="006D203F"/>
    <w:rsid w:val="006D3D44"/>
    <w:rsid w:val="006D6955"/>
    <w:rsid w:val="006F2CF1"/>
    <w:rsid w:val="007038ED"/>
    <w:rsid w:val="00703BC3"/>
    <w:rsid w:val="00704B61"/>
    <w:rsid w:val="00731F9D"/>
    <w:rsid w:val="00736184"/>
    <w:rsid w:val="007552A9"/>
    <w:rsid w:val="00761858"/>
    <w:rsid w:val="00766484"/>
    <w:rsid w:val="00767D59"/>
    <w:rsid w:val="00776E97"/>
    <w:rsid w:val="00780F86"/>
    <w:rsid w:val="007912AD"/>
    <w:rsid w:val="00797649"/>
    <w:rsid w:val="007A5B20"/>
    <w:rsid w:val="007B0824"/>
    <w:rsid w:val="007B5D3C"/>
    <w:rsid w:val="007F1058"/>
    <w:rsid w:val="007F2A46"/>
    <w:rsid w:val="007F5691"/>
    <w:rsid w:val="00806249"/>
    <w:rsid w:val="00814ECC"/>
    <w:rsid w:val="00821B72"/>
    <w:rsid w:val="00823EF2"/>
    <w:rsid w:val="00825C75"/>
    <w:rsid w:val="008262CB"/>
    <w:rsid w:val="008303B8"/>
    <w:rsid w:val="00833DCE"/>
    <w:rsid w:val="00855C07"/>
    <w:rsid w:val="00856553"/>
    <w:rsid w:val="00860178"/>
    <w:rsid w:val="00871D34"/>
    <w:rsid w:val="00876E37"/>
    <w:rsid w:val="00883D05"/>
    <w:rsid w:val="008B270C"/>
    <w:rsid w:val="008B5078"/>
    <w:rsid w:val="008C3D3D"/>
    <w:rsid w:val="008D4131"/>
    <w:rsid w:val="008F1932"/>
    <w:rsid w:val="0090192C"/>
    <w:rsid w:val="00907C8D"/>
    <w:rsid w:val="00921062"/>
    <w:rsid w:val="00931A34"/>
    <w:rsid w:val="009722BC"/>
    <w:rsid w:val="009727A3"/>
    <w:rsid w:val="00976910"/>
    <w:rsid w:val="00987774"/>
    <w:rsid w:val="009A11E8"/>
    <w:rsid w:val="009A38A5"/>
    <w:rsid w:val="009E7AD0"/>
    <w:rsid w:val="009F5220"/>
    <w:rsid w:val="00A01EC1"/>
    <w:rsid w:val="00A15234"/>
    <w:rsid w:val="00A201AB"/>
    <w:rsid w:val="00A31C8B"/>
    <w:rsid w:val="00A509FA"/>
    <w:rsid w:val="00A65DE6"/>
    <w:rsid w:val="00A705A8"/>
    <w:rsid w:val="00A71C11"/>
    <w:rsid w:val="00A845DC"/>
    <w:rsid w:val="00AB11F9"/>
    <w:rsid w:val="00B26AA2"/>
    <w:rsid w:val="00B34064"/>
    <w:rsid w:val="00B3524D"/>
    <w:rsid w:val="00B379B2"/>
    <w:rsid w:val="00B40F69"/>
    <w:rsid w:val="00B46616"/>
    <w:rsid w:val="00B640B0"/>
    <w:rsid w:val="00B7040A"/>
    <w:rsid w:val="00B713BC"/>
    <w:rsid w:val="00B80CC5"/>
    <w:rsid w:val="00B83391"/>
    <w:rsid w:val="00B95326"/>
    <w:rsid w:val="00BA1AE6"/>
    <w:rsid w:val="00BC4F94"/>
    <w:rsid w:val="00BD1BF5"/>
    <w:rsid w:val="00BD4196"/>
    <w:rsid w:val="00BD5C72"/>
    <w:rsid w:val="00BF0C4C"/>
    <w:rsid w:val="00BF22CA"/>
    <w:rsid w:val="00BF23BB"/>
    <w:rsid w:val="00C26032"/>
    <w:rsid w:val="00C345E1"/>
    <w:rsid w:val="00C43BFD"/>
    <w:rsid w:val="00C77BDD"/>
    <w:rsid w:val="00C821AD"/>
    <w:rsid w:val="00CB6E35"/>
    <w:rsid w:val="00CC6356"/>
    <w:rsid w:val="00CE1A46"/>
    <w:rsid w:val="00D20757"/>
    <w:rsid w:val="00D22636"/>
    <w:rsid w:val="00D40FD9"/>
    <w:rsid w:val="00D53769"/>
    <w:rsid w:val="00D85C13"/>
    <w:rsid w:val="00D9111A"/>
    <w:rsid w:val="00D91BE3"/>
    <w:rsid w:val="00D94AFC"/>
    <w:rsid w:val="00DB70AE"/>
    <w:rsid w:val="00DC3F2C"/>
    <w:rsid w:val="00DC69F1"/>
    <w:rsid w:val="00DD5071"/>
    <w:rsid w:val="00DD5C39"/>
    <w:rsid w:val="00DE5E10"/>
    <w:rsid w:val="00DE7DB7"/>
    <w:rsid w:val="00E00A0A"/>
    <w:rsid w:val="00E066DE"/>
    <w:rsid w:val="00E07F57"/>
    <w:rsid w:val="00E16EDD"/>
    <w:rsid w:val="00E30683"/>
    <w:rsid w:val="00E453D8"/>
    <w:rsid w:val="00E50BCE"/>
    <w:rsid w:val="00E574BF"/>
    <w:rsid w:val="00E61292"/>
    <w:rsid w:val="00E74E7B"/>
    <w:rsid w:val="00E77C4D"/>
    <w:rsid w:val="00E81D01"/>
    <w:rsid w:val="00E961E5"/>
    <w:rsid w:val="00EA2F7F"/>
    <w:rsid w:val="00EE3064"/>
    <w:rsid w:val="00EE45D8"/>
    <w:rsid w:val="00F22EDA"/>
    <w:rsid w:val="00F31C0A"/>
    <w:rsid w:val="00F63A10"/>
    <w:rsid w:val="00F76D81"/>
    <w:rsid w:val="00F924A3"/>
    <w:rsid w:val="00FA7BDA"/>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68DB2C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61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2347</Words>
  <Characters>11429</Characters>
  <Application>Microsoft Office Word</Application>
  <DocSecurity>0</DocSecurity>
  <Lines>95</Lines>
  <Paragraphs>27</Paragraphs>
  <ScaleCrop>false</ScaleCrop>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2018-08-22T15:19:00Z</dcterms:created>
  <dcterms:modified xsi:type="dcterms:W3CDTF">2018-08-22T15:19:00Z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