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0267C7" w:rsidP="008A6059">
      <w:pPr>
        <w:jc w:val="center"/>
        <w:rPr>
          <w:rFonts w:ascii="Book Antiqua" w:hAnsi="Book Antiqua" w:cs="Arial"/>
          <w:caps/>
          <w:color w:val="000000"/>
          <w:sz w:val="16"/>
          <w:szCs w:val="16"/>
        </w:rPr>
      </w:pPr>
      <w:r>
        <w:rPr>
          <w:noProof/>
        </w:rPr>
        <w:drawing>
          <wp:inline distT="0" distB="0" distL="0" distR="0">
            <wp:extent cx="1048385" cy="906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48385" cy="906145"/>
                    </a:xfrm>
                    <a:prstGeom prst="rect">
                      <a:avLst/>
                    </a:prstGeom>
                    <a:noFill/>
                    <a:ln w="9525">
                      <a:noFill/>
                      <a:miter lim="800000"/>
                      <a:headEnd/>
                      <a:tailEnd/>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C06F9">
        <w:rPr>
          <w:rFonts w:ascii="Book Antiqua" w:hAnsi="Book Antiqua" w:cs="Arial"/>
          <w:caps/>
          <w:color w:val="000000"/>
        </w:rPr>
        <w:t>hu/01667/2016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0A7B59">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0A7B59">
              <w:rPr>
                <w:rFonts w:ascii="Book Antiqua" w:hAnsi="Book Antiqua" w:cs="Arial"/>
                <w:b/>
              </w:rPr>
              <w:t>31 May 2018</w:t>
            </w:r>
          </w:p>
        </w:tc>
        <w:tc>
          <w:tcPr>
            <w:tcW w:w="3960" w:type="dxa"/>
          </w:tcPr>
          <w:p w:rsidR="00D22636" w:rsidRPr="009B7433" w:rsidRDefault="00267E7D" w:rsidP="004A1848">
            <w:pPr>
              <w:jc w:val="both"/>
              <w:rPr>
                <w:rFonts w:ascii="Book Antiqua" w:hAnsi="Book Antiqua" w:cs="Arial"/>
                <w:b/>
              </w:rPr>
            </w:pPr>
            <w:r>
              <w:rPr>
                <w:rFonts w:ascii="Book Antiqua" w:hAnsi="Book Antiqua" w:cs="Arial"/>
                <w:b/>
              </w:rPr>
              <w:t>On 26 June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944C67" w:rsidRDefault="00944C6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0A7B59" w:rsidP="00A15234">
      <w:pPr>
        <w:jc w:val="center"/>
        <w:rPr>
          <w:rFonts w:ascii="Book Antiqua" w:hAnsi="Book Antiqua" w:cs="Arial"/>
          <w:b/>
          <w:caps/>
        </w:rPr>
      </w:pPr>
      <w:r>
        <w:rPr>
          <w:rFonts w:ascii="Book Antiqua" w:hAnsi="Book Antiqua" w:cs="Arial"/>
          <w:b/>
          <w:caps/>
        </w:rPr>
        <w:t xml:space="preserve">kasun </w:t>
      </w:r>
      <w:r w:rsidR="00944C67">
        <w:rPr>
          <w:rFonts w:ascii="Book Antiqua" w:hAnsi="Book Antiqua" w:cs="Arial"/>
          <w:b/>
          <w:caps/>
        </w:rPr>
        <w:t>[</w:t>
      </w:r>
      <w:r>
        <w:rPr>
          <w:rFonts w:ascii="Book Antiqua" w:hAnsi="Book Antiqua" w:cs="Arial"/>
          <w:b/>
          <w:caps/>
        </w:rPr>
        <w:t>r</w:t>
      </w:r>
      <w:r w:rsidR="00944C67">
        <w:rPr>
          <w:rFonts w:ascii="Book Antiqua" w:hAnsi="Book Antiqua" w:cs="Arial"/>
          <w:b/>
          <w:caps/>
        </w:rPr>
        <w:t>]</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CB3EA9">
        <w:rPr>
          <w:rFonts w:ascii="Book Antiqua" w:hAnsi="Book Antiqua" w:cs="Arial"/>
          <w:b/>
          <w:caps/>
        </w:rPr>
        <w:t>NOT MADE)</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6E55A5"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0A7B59"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A7B59">
        <w:rPr>
          <w:rFonts w:ascii="Book Antiqua" w:hAnsi="Book Antiqua" w:cs="Arial"/>
        </w:rPr>
        <w:t xml:space="preserve">Mr S </w:t>
      </w:r>
      <w:proofErr w:type="spellStart"/>
      <w:r w:rsidR="000A7B59">
        <w:rPr>
          <w:rFonts w:ascii="Book Antiqua" w:hAnsi="Book Antiqua" w:cs="Arial"/>
        </w:rPr>
        <w:t>Vokes</w:t>
      </w:r>
      <w:proofErr w:type="spellEnd"/>
      <w:r w:rsidR="000A7B59">
        <w:rPr>
          <w:rFonts w:ascii="Book Antiqua" w:hAnsi="Book Antiqua" w:cs="Arial"/>
        </w:rPr>
        <w:t>, Counsel instructed by Duncan Lewis &amp; Co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A7B59">
        <w:rPr>
          <w:rFonts w:ascii="Book Antiqua" w:hAnsi="Book Antiqua" w:cs="Arial"/>
        </w:rPr>
        <w:t xml:space="preserve">Mr T Melvin,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0A7B59" w:rsidP="00273201">
      <w:pPr>
        <w:numPr>
          <w:ilvl w:val="0"/>
          <w:numId w:val="1"/>
        </w:numPr>
        <w:tabs>
          <w:tab w:val="clear" w:pos="567"/>
        </w:tabs>
        <w:spacing w:before="240"/>
        <w:rPr>
          <w:rFonts w:ascii="Book Antiqua" w:hAnsi="Book Antiqua" w:cs="Arial"/>
        </w:rPr>
      </w:pPr>
      <w:r>
        <w:rPr>
          <w:rFonts w:ascii="Book Antiqua" w:hAnsi="Book Antiqua" w:cs="Arial"/>
        </w:rPr>
        <w:t>By my decision promulgated on 25 April 2018 I found that the decision of First-tier Tribunal Judge Clarke promulgated on 6 July 2017 contained a material error of law such that it should be set aside and remade.  I now remake that decision.</w:t>
      </w:r>
    </w:p>
    <w:p w:rsidR="000A7B59" w:rsidRDefault="000A7B59" w:rsidP="00273201">
      <w:pPr>
        <w:numPr>
          <w:ilvl w:val="0"/>
          <w:numId w:val="1"/>
        </w:numPr>
        <w:tabs>
          <w:tab w:val="clear" w:pos="567"/>
        </w:tabs>
        <w:spacing w:before="240"/>
        <w:rPr>
          <w:rFonts w:ascii="Book Antiqua" w:hAnsi="Book Antiqua" w:cs="Arial"/>
        </w:rPr>
      </w:pPr>
      <w:r>
        <w:rPr>
          <w:rFonts w:ascii="Book Antiqua" w:hAnsi="Book Antiqua" w:cs="Arial"/>
        </w:rPr>
        <w:t>The background is not in dispute and the relevant facts are as follows:</w:t>
      </w:r>
    </w:p>
    <w:p w:rsidR="00CB3EA9" w:rsidRPr="00CB3EA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t xml:space="preserve">The appellant </w:t>
      </w:r>
      <w:r w:rsidR="00CB3EA9">
        <w:rPr>
          <w:rFonts w:ascii="Book Antiqua" w:hAnsi="Book Antiqua" w:cs="Arial"/>
        </w:rPr>
        <w:t>is a citizen of Sri Lanka born on 2 April 1985.</w:t>
      </w:r>
    </w:p>
    <w:p w:rsidR="000A7B59" w:rsidRDefault="00CB3EA9" w:rsidP="00944C67">
      <w:pPr>
        <w:numPr>
          <w:ilvl w:val="3"/>
          <w:numId w:val="1"/>
        </w:numPr>
        <w:tabs>
          <w:tab w:val="clear" w:pos="2268"/>
        </w:tabs>
        <w:spacing w:before="120"/>
        <w:ind w:left="1134"/>
        <w:rPr>
          <w:rFonts w:ascii="Book Antiqua" w:hAnsi="Book Antiqua" w:cs="Arial"/>
        </w:rPr>
      </w:pPr>
      <w:r>
        <w:rPr>
          <w:rFonts w:ascii="Book Antiqua" w:hAnsi="Book Antiqua" w:cs="Arial"/>
        </w:rPr>
        <w:t>He e</w:t>
      </w:r>
      <w:r w:rsidR="000A7B59">
        <w:rPr>
          <w:rFonts w:ascii="Book Antiqua" w:hAnsi="Book Antiqua" w:cs="Arial"/>
        </w:rPr>
        <w:t xml:space="preserve">ntered the UK in 2009 on a student visa.  </w:t>
      </w:r>
    </w:p>
    <w:p w:rsidR="000A7B5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lastRenderedPageBreak/>
        <w:t>On 12 November 2012 he applied for a Tier 1 visa and was refused on the ground of having used a falsified document.</w:t>
      </w:r>
    </w:p>
    <w:p w:rsidR="000A7B5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t xml:space="preserve">On 28 August 2015 the appellant applied for leave to remain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on the basis of his relationship with his partner who is a British citizen.</w:t>
      </w:r>
    </w:p>
    <w:p w:rsidR="000A7B5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t xml:space="preserve">On </w:t>
      </w:r>
      <w:r w:rsidR="00695C28">
        <w:rPr>
          <w:rFonts w:ascii="Book Antiqua" w:hAnsi="Book Antiqua" w:cs="Arial"/>
        </w:rPr>
        <w:t>9</w:t>
      </w:r>
      <w:r>
        <w:rPr>
          <w:rFonts w:ascii="Book Antiqua" w:hAnsi="Book Antiqua" w:cs="Arial"/>
        </w:rPr>
        <w:t xml:space="preserve"> January 2016 the appellant and his partner married.</w:t>
      </w:r>
    </w:p>
    <w:p w:rsidR="000A7B5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t xml:space="preserve">On 18 December 2016 the appellant’s son, </w:t>
      </w:r>
      <w:r w:rsidR="00CB3EA9">
        <w:rPr>
          <w:rFonts w:ascii="Book Antiqua" w:hAnsi="Book Antiqua" w:cs="Arial"/>
        </w:rPr>
        <w:t xml:space="preserve">who is </w:t>
      </w:r>
      <w:r>
        <w:rPr>
          <w:rFonts w:ascii="Book Antiqua" w:hAnsi="Book Antiqua" w:cs="Arial"/>
        </w:rPr>
        <w:t>a British citizen</w:t>
      </w:r>
      <w:r w:rsidR="00CB3EA9">
        <w:rPr>
          <w:rFonts w:ascii="Book Antiqua" w:hAnsi="Book Antiqua" w:cs="Arial"/>
        </w:rPr>
        <w:t>,</w:t>
      </w:r>
      <w:r>
        <w:rPr>
          <w:rFonts w:ascii="Book Antiqua" w:hAnsi="Book Antiqua" w:cs="Arial"/>
        </w:rPr>
        <w:t xml:space="preserve"> was born.  The appellant lives with his wife and son and has a genuine and subsisting relationship with both.</w:t>
      </w:r>
    </w:p>
    <w:p w:rsidR="000A7B59" w:rsidRDefault="000A7B59" w:rsidP="00944C67">
      <w:pPr>
        <w:numPr>
          <w:ilvl w:val="3"/>
          <w:numId w:val="1"/>
        </w:numPr>
        <w:tabs>
          <w:tab w:val="clear" w:pos="2268"/>
        </w:tabs>
        <w:spacing w:before="120"/>
        <w:ind w:left="1134"/>
        <w:rPr>
          <w:rFonts w:ascii="Book Antiqua" w:hAnsi="Book Antiqua" w:cs="Arial"/>
        </w:rPr>
      </w:pPr>
      <w:r>
        <w:rPr>
          <w:rFonts w:ascii="Book Antiqua" w:hAnsi="Book Antiqua" w:cs="Arial"/>
        </w:rPr>
        <w:t>The appellant’s son has some health difficulties</w:t>
      </w:r>
      <w:r w:rsidR="00CB3EA9">
        <w:rPr>
          <w:rFonts w:ascii="Book Antiqua" w:hAnsi="Book Antiqua" w:cs="Arial"/>
        </w:rPr>
        <w:t xml:space="preserve"> but these are not of a severity that would create an obstacle to the family moving to Sri Lanka.</w:t>
      </w:r>
    </w:p>
    <w:p w:rsidR="00CB3EA9" w:rsidRDefault="00CB3EA9" w:rsidP="00944C67">
      <w:pPr>
        <w:numPr>
          <w:ilvl w:val="3"/>
          <w:numId w:val="1"/>
        </w:numPr>
        <w:tabs>
          <w:tab w:val="clear" w:pos="2268"/>
        </w:tabs>
        <w:spacing w:before="120"/>
        <w:ind w:left="1134"/>
        <w:rPr>
          <w:rFonts w:ascii="Book Antiqua" w:hAnsi="Book Antiqua" w:cs="Arial"/>
        </w:rPr>
      </w:pPr>
      <w:r>
        <w:rPr>
          <w:rFonts w:ascii="Book Antiqua" w:hAnsi="Book Antiqua" w:cs="Arial"/>
        </w:rPr>
        <w:t>If the appellant is removed to Sri Lanka, his wife and child will more likely than not remain in the UK without him.</w:t>
      </w:r>
    </w:p>
    <w:p w:rsidR="00CB3EA9" w:rsidRDefault="00FF60C4" w:rsidP="00273201">
      <w:pPr>
        <w:numPr>
          <w:ilvl w:val="0"/>
          <w:numId w:val="1"/>
        </w:numPr>
        <w:tabs>
          <w:tab w:val="clear" w:pos="567"/>
        </w:tabs>
        <w:spacing w:before="240"/>
        <w:rPr>
          <w:rFonts w:ascii="Book Antiqua" w:hAnsi="Book Antiqua" w:cs="Arial"/>
        </w:rPr>
      </w:pPr>
      <w:r>
        <w:rPr>
          <w:rFonts w:ascii="Book Antiqua" w:hAnsi="Book Antiqua" w:cs="Arial"/>
        </w:rPr>
        <w:t xml:space="preserve">At the hearing Mr </w:t>
      </w:r>
      <w:proofErr w:type="spellStart"/>
      <w:r>
        <w:rPr>
          <w:rFonts w:ascii="Book Antiqua" w:hAnsi="Book Antiqua" w:cs="Arial"/>
        </w:rPr>
        <w:t>Vokes</w:t>
      </w:r>
      <w:proofErr w:type="spellEnd"/>
      <w:r>
        <w:rPr>
          <w:rFonts w:ascii="Book Antiqua" w:hAnsi="Book Antiqua" w:cs="Arial"/>
        </w:rPr>
        <w:t xml:space="preserve"> stated that he would not be calling any witnesses to give oral evidence and he was content for the matter to proceed on the basis of submissions only.  </w:t>
      </w:r>
    </w:p>
    <w:p w:rsidR="00CB3EA9" w:rsidRDefault="00FF60C4" w:rsidP="00273201">
      <w:pPr>
        <w:numPr>
          <w:ilvl w:val="0"/>
          <w:numId w:val="1"/>
        </w:numPr>
        <w:tabs>
          <w:tab w:val="clear" w:pos="567"/>
        </w:tabs>
        <w:spacing w:before="240"/>
        <w:rPr>
          <w:rFonts w:ascii="Book Antiqua" w:hAnsi="Book Antiqua" w:cs="Arial"/>
        </w:rPr>
      </w:pPr>
      <w:r>
        <w:rPr>
          <w:rFonts w:ascii="Book Antiqua" w:hAnsi="Book Antiqua" w:cs="Arial"/>
        </w:rPr>
        <w:t xml:space="preserve">Both Mr Melvin and Mr </w:t>
      </w:r>
      <w:proofErr w:type="spellStart"/>
      <w:r>
        <w:rPr>
          <w:rFonts w:ascii="Book Antiqua" w:hAnsi="Book Antiqua" w:cs="Arial"/>
        </w:rPr>
        <w:t>Vokes</w:t>
      </w:r>
      <w:proofErr w:type="spellEnd"/>
      <w:r>
        <w:rPr>
          <w:rFonts w:ascii="Book Antiqua" w:hAnsi="Book Antiqua" w:cs="Arial"/>
        </w:rPr>
        <w:t xml:space="preserve"> focused in their submissions on whether it would be </w:t>
      </w:r>
      <w:r w:rsidR="00CB3EA9">
        <w:rPr>
          <w:rFonts w:ascii="Book Antiqua" w:hAnsi="Book Antiqua" w:cs="Arial"/>
        </w:rPr>
        <w:t>“</w:t>
      </w:r>
      <w:r>
        <w:rPr>
          <w:rFonts w:ascii="Book Antiqua" w:hAnsi="Book Antiqua" w:cs="Arial"/>
        </w:rPr>
        <w:t>reasonable</w:t>
      </w:r>
      <w:r w:rsidR="00CB3EA9">
        <w:rPr>
          <w:rFonts w:ascii="Book Antiqua" w:hAnsi="Book Antiqua" w:cs="Arial"/>
        </w:rPr>
        <w:t>”, with reference to</w:t>
      </w:r>
      <w:r>
        <w:rPr>
          <w:rFonts w:ascii="Book Antiqua" w:hAnsi="Book Antiqua" w:cs="Arial"/>
        </w:rPr>
        <w:t xml:space="preserve"> Section 117B(6) of the Nationality, Immigration and Asylum Act 2002 </w:t>
      </w:r>
      <w:r w:rsidR="00CB3EA9">
        <w:rPr>
          <w:rFonts w:ascii="Book Antiqua" w:hAnsi="Book Antiqua" w:cs="Arial"/>
        </w:rPr>
        <w:t xml:space="preserve">(“the 2002 Act”), </w:t>
      </w:r>
      <w:r>
        <w:rPr>
          <w:rFonts w:ascii="Book Antiqua" w:hAnsi="Book Antiqua" w:cs="Arial"/>
        </w:rPr>
        <w:t>to expect the appe</w:t>
      </w:r>
      <w:r w:rsidR="00CB3EA9">
        <w:rPr>
          <w:rFonts w:ascii="Book Antiqua" w:hAnsi="Book Antiqua" w:cs="Arial"/>
        </w:rPr>
        <w:t xml:space="preserve">llant’s child to leave the UK. </w:t>
      </w:r>
    </w:p>
    <w:p w:rsidR="00CB3EA9" w:rsidRDefault="00FF60C4" w:rsidP="00273201">
      <w:pPr>
        <w:numPr>
          <w:ilvl w:val="0"/>
          <w:numId w:val="1"/>
        </w:numPr>
        <w:tabs>
          <w:tab w:val="clear" w:pos="567"/>
        </w:tabs>
        <w:spacing w:before="240"/>
        <w:rPr>
          <w:rFonts w:ascii="Book Antiqua" w:hAnsi="Book Antiqua" w:cs="Arial"/>
        </w:rPr>
      </w:pPr>
      <w:r>
        <w:rPr>
          <w:rFonts w:ascii="Book Antiqua" w:hAnsi="Book Antiqua" w:cs="Arial"/>
        </w:rPr>
        <w:t xml:space="preserve">Mr Melvin’s argument was that in considering reasonableness in this context it is necessary to take into account the conduct of the appellant and in particular his immigration history.  Mr Melvin argued that because of the undisputed fact that </w:t>
      </w:r>
      <w:r w:rsidR="00CB3EA9">
        <w:rPr>
          <w:rFonts w:ascii="Book Antiqua" w:hAnsi="Book Antiqua" w:cs="Arial"/>
        </w:rPr>
        <w:t xml:space="preserve">he had submitted </w:t>
      </w:r>
      <w:r>
        <w:rPr>
          <w:rFonts w:ascii="Book Antiqua" w:hAnsi="Book Antiqua" w:cs="Arial"/>
        </w:rPr>
        <w:t xml:space="preserve">fraudulent documents </w:t>
      </w:r>
      <w:r w:rsidR="00CB3EA9">
        <w:rPr>
          <w:rFonts w:ascii="Book Antiqua" w:hAnsi="Book Antiqua" w:cs="Arial"/>
        </w:rPr>
        <w:t>in a previous</w:t>
      </w:r>
      <w:r>
        <w:rPr>
          <w:rFonts w:ascii="Book Antiqua" w:hAnsi="Book Antiqua" w:cs="Arial"/>
        </w:rPr>
        <w:t xml:space="preserve"> immigration application it was manifestly the case that the public interest required the appellant to be removed and this had to be factored into the question of reasonableness having regard to </w:t>
      </w:r>
      <w:r>
        <w:rPr>
          <w:rFonts w:ascii="Book Antiqua" w:hAnsi="Book Antiqua" w:cs="Arial"/>
          <w:i/>
        </w:rPr>
        <w:t>MA (Pakistan)</w:t>
      </w:r>
      <w:r w:rsidR="00944C67">
        <w:rPr>
          <w:rFonts w:ascii="Book Antiqua" w:hAnsi="Book Antiqua" w:cs="Arial"/>
          <w:i/>
        </w:rPr>
        <w:t xml:space="preserve"> </w:t>
      </w:r>
      <w:r w:rsidR="00CB3EA9">
        <w:rPr>
          <w:rFonts w:ascii="Book Antiqua" w:hAnsi="Book Antiqua" w:cs="Arial"/>
          <w:i/>
        </w:rPr>
        <w:t xml:space="preserve">v SSHD </w:t>
      </w:r>
      <w:r w:rsidR="00CB3EA9">
        <w:rPr>
          <w:rFonts w:ascii="Book Antiqua" w:hAnsi="Book Antiqua" w:cs="Arial"/>
        </w:rPr>
        <w:t xml:space="preserve">[2016] EWCA </w:t>
      </w:r>
      <w:proofErr w:type="spellStart"/>
      <w:r w:rsidR="00CB3EA9">
        <w:rPr>
          <w:rFonts w:ascii="Book Antiqua" w:hAnsi="Book Antiqua" w:cs="Arial"/>
        </w:rPr>
        <w:t>Civ</w:t>
      </w:r>
      <w:proofErr w:type="spellEnd"/>
      <w:r w:rsidR="00CB3EA9">
        <w:rPr>
          <w:rFonts w:ascii="Book Antiqua" w:hAnsi="Book Antiqua" w:cs="Arial"/>
        </w:rPr>
        <w:t xml:space="preserve"> 705</w:t>
      </w:r>
      <w:r>
        <w:rPr>
          <w:rFonts w:ascii="Book Antiqua" w:hAnsi="Book Antiqua" w:cs="Arial"/>
        </w:rPr>
        <w:t>.</w:t>
      </w:r>
    </w:p>
    <w:p w:rsidR="00CB3EA9" w:rsidRDefault="00FF60C4" w:rsidP="00273201">
      <w:pPr>
        <w:numPr>
          <w:ilvl w:val="0"/>
          <w:numId w:val="1"/>
        </w:numPr>
        <w:tabs>
          <w:tab w:val="clear" w:pos="567"/>
        </w:tabs>
        <w:spacing w:before="240"/>
        <w:rPr>
          <w:rFonts w:ascii="Book Antiqua" w:hAnsi="Book Antiqua" w:cs="Arial"/>
        </w:rPr>
      </w:pPr>
      <w:r>
        <w:rPr>
          <w:rFonts w:ascii="Book Antiqua" w:hAnsi="Book Antiqua" w:cs="Arial"/>
        </w:rPr>
        <w:t xml:space="preserve">He also maintained that the conduct of the appellant was such that he fell within the category of individuals where the Home Office’s policy dated 22 February 2018, </w:t>
      </w:r>
      <w:r w:rsidRPr="00CB3EA9">
        <w:rPr>
          <w:rFonts w:ascii="Book Antiqua" w:hAnsi="Book Antiqua" w:cs="Arial"/>
          <w:i/>
        </w:rPr>
        <w:t>Family Migration, Appendix FM, Section 1.0b Family life as a partner or parent and private life: 10 year routes</w:t>
      </w:r>
      <w:r w:rsidR="00CB3EA9">
        <w:rPr>
          <w:rFonts w:ascii="Book Antiqua" w:hAnsi="Book Antiqua" w:cs="Arial"/>
        </w:rPr>
        <w:t xml:space="preserve"> (“the 2018 Policy”) envisages</w:t>
      </w:r>
      <w:r>
        <w:rPr>
          <w:rFonts w:ascii="Book Antiqua" w:hAnsi="Book Antiqua" w:cs="Arial"/>
        </w:rPr>
        <w:t xml:space="preserve"> that grant of leave to a parent should be refused even though this would</w:t>
      </w:r>
      <w:r w:rsidR="00CB3EA9">
        <w:rPr>
          <w:rFonts w:ascii="Book Antiqua" w:hAnsi="Book Antiqua" w:cs="Arial"/>
        </w:rPr>
        <w:t xml:space="preserve"> result in a British child being separated from his parent</w:t>
      </w:r>
      <w:r>
        <w:rPr>
          <w:rFonts w:ascii="Book Antiqua" w:hAnsi="Book Antiqua" w:cs="Arial"/>
        </w:rPr>
        <w:t xml:space="preserve">.  </w:t>
      </w:r>
      <w:r w:rsidR="00AB3796">
        <w:rPr>
          <w:rFonts w:ascii="Book Antiqua" w:hAnsi="Book Antiqua" w:cs="Arial"/>
        </w:rPr>
        <w:t>Mr Melvin highlighted that the child in question is under 2 and as such is a very young age where he would be entirely focused on his parents.  He submitted that although British citizenship is a significant factor it is not a trump card and in this case the appellant’s child would be eligible to become a citizen of Sri Lanka and would be able to continue to enjoy the benefit of both his parents suppo</w:t>
      </w:r>
      <w:r w:rsidR="00CB3EA9">
        <w:rPr>
          <w:rFonts w:ascii="Book Antiqua" w:hAnsi="Book Antiqua" w:cs="Arial"/>
        </w:rPr>
        <w:t xml:space="preserve">rting him should they so wish, as </w:t>
      </w:r>
      <w:r w:rsidR="00AB3796">
        <w:rPr>
          <w:rFonts w:ascii="Book Antiqua" w:hAnsi="Book Antiqua" w:cs="Arial"/>
        </w:rPr>
        <w:t>it will be a matter for the child’s parents to decide whether they prefer to live separately</w:t>
      </w:r>
      <w:r w:rsidR="00B64BB3">
        <w:rPr>
          <w:rFonts w:ascii="Book Antiqua" w:hAnsi="Book Antiqua" w:cs="Arial"/>
        </w:rPr>
        <w:t>,</w:t>
      </w:r>
      <w:r w:rsidR="00AB3796">
        <w:rPr>
          <w:rFonts w:ascii="Book Antiqua" w:hAnsi="Book Antiqua" w:cs="Arial"/>
        </w:rPr>
        <w:t xml:space="preserve"> with the child remaining with his mother in the UK</w:t>
      </w:r>
      <w:r w:rsidR="00CB3EA9">
        <w:rPr>
          <w:rFonts w:ascii="Book Antiqua" w:hAnsi="Book Antiqua" w:cs="Arial"/>
        </w:rPr>
        <w:t>,</w:t>
      </w:r>
      <w:r w:rsidR="00AB3796">
        <w:rPr>
          <w:rFonts w:ascii="Book Antiqua" w:hAnsi="Book Antiqua" w:cs="Arial"/>
        </w:rPr>
        <w:t xml:space="preserve"> or together with the family remaining as a unit in Sri Lanka.  </w:t>
      </w:r>
    </w:p>
    <w:p w:rsidR="000A7B59" w:rsidRDefault="00CB3EA9" w:rsidP="00273201">
      <w:pPr>
        <w:numPr>
          <w:ilvl w:val="0"/>
          <w:numId w:val="1"/>
        </w:numPr>
        <w:tabs>
          <w:tab w:val="clear" w:pos="567"/>
        </w:tabs>
        <w:spacing w:before="240"/>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Vokes</w:t>
      </w:r>
      <w:proofErr w:type="spellEnd"/>
      <w:r>
        <w:rPr>
          <w:rFonts w:ascii="Book Antiqua" w:hAnsi="Book Antiqua" w:cs="Arial"/>
        </w:rPr>
        <w:t>’ response</w:t>
      </w:r>
      <w:r w:rsidR="00AB3796">
        <w:rPr>
          <w:rFonts w:ascii="Book Antiqua" w:hAnsi="Book Antiqua" w:cs="Arial"/>
        </w:rPr>
        <w:t xml:space="preserve"> was that it is of primary significance that the child is a British citizen and not merely a child who has lived in the UK for seven years.  He</w:t>
      </w:r>
      <w:r w:rsidR="00861213">
        <w:rPr>
          <w:rFonts w:ascii="Book Antiqua" w:hAnsi="Book Antiqua" w:cs="Arial"/>
        </w:rPr>
        <w:t xml:space="preserve"> referred to </w:t>
      </w:r>
      <w:r w:rsidR="00861213">
        <w:rPr>
          <w:rFonts w:ascii="Book Antiqua" w:hAnsi="Book Antiqua" w:cs="Arial"/>
          <w:i/>
        </w:rPr>
        <w:t>ZH (Tanzania)</w:t>
      </w:r>
      <w:r w:rsidR="00861213">
        <w:rPr>
          <w:rFonts w:ascii="Book Antiqua" w:hAnsi="Book Antiqua" w:cs="Arial"/>
        </w:rPr>
        <w:t xml:space="preserve"> at p</w:t>
      </w:r>
      <w:r>
        <w:rPr>
          <w:rFonts w:ascii="Book Antiqua" w:hAnsi="Book Antiqua" w:cs="Arial"/>
        </w:rPr>
        <w:t>aragraph 32 where it is stated:</w:t>
      </w:r>
    </w:p>
    <w:p w:rsidR="00861213" w:rsidRPr="00944C67" w:rsidRDefault="00861213" w:rsidP="00944C67">
      <w:pPr>
        <w:spacing w:before="120"/>
        <w:ind w:left="1134" w:right="567"/>
        <w:jc w:val="both"/>
        <w:rPr>
          <w:rFonts w:ascii="Book Antiqua" w:hAnsi="Book Antiqua" w:cs="Arial"/>
          <w:sz w:val="22"/>
          <w:szCs w:val="22"/>
        </w:rPr>
      </w:pPr>
      <w:r w:rsidRPr="00944C67">
        <w:rPr>
          <w:rFonts w:ascii="Book Antiqua" w:hAnsi="Book Antiqua" w:cs="Arial"/>
          <w:sz w:val="22"/>
          <w:szCs w:val="22"/>
        </w:rPr>
        <w:t>“Nor should the intrinsic importance of citizenship be played down.  As citizens these children have rights which they will not be able to exercise if they move to another country.  They will lose the advantages of growing up and being educated in their own country, their own culture and their own language.  They will have lost all this when they come back as adults.”</w:t>
      </w:r>
    </w:p>
    <w:p w:rsidR="00861213" w:rsidRDefault="00861213" w:rsidP="00861213">
      <w:pPr>
        <w:numPr>
          <w:ilvl w:val="0"/>
          <w:numId w:val="1"/>
        </w:numPr>
        <w:tabs>
          <w:tab w:val="clear" w:pos="567"/>
        </w:tabs>
        <w:spacing w:before="240"/>
        <w:rPr>
          <w:rFonts w:ascii="Book Antiqua" w:hAnsi="Book Antiqua" w:cs="Arial"/>
        </w:rPr>
      </w:pPr>
      <w:r>
        <w:rPr>
          <w:rFonts w:ascii="Book Antiqua" w:hAnsi="Book Antiqua" w:cs="Arial"/>
        </w:rPr>
        <w:t xml:space="preserve">He also referred to the recent decision of the Upper Tribunal </w:t>
      </w:r>
      <w:r w:rsidR="00CB3EA9" w:rsidRPr="00CB3EA9">
        <w:rPr>
          <w:rFonts w:ascii="Book Antiqua" w:hAnsi="Book Antiqua" w:cs="Arial"/>
          <w:i/>
        </w:rPr>
        <w:t>MT &amp; ET</w:t>
      </w:r>
      <w:r w:rsidR="00CB3EA9" w:rsidRPr="00CB3EA9">
        <w:rPr>
          <w:rFonts w:ascii="Book Antiqua" w:hAnsi="Book Antiqua" w:cs="Arial"/>
        </w:rPr>
        <w:t xml:space="preserve"> </w:t>
      </w:r>
      <w:r w:rsidR="00CB3EA9">
        <w:rPr>
          <w:rFonts w:ascii="Book Antiqua" w:hAnsi="Book Antiqua" w:cs="Arial"/>
        </w:rPr>
        <w:t xml:space="preserve">[2018] UKUT 88 (IAC) </w:t>
      </w:r>
      <w:r>
        <w:rPr>
          <w:rFonts w:ascii="Book Antiqua" w:hAnsi="Book Antiqua" w:cs="Arial"/>
        </w:rPr>
        <w:t>wher</w:t>
      </w:r>
      <w:r w:rsidR="00CB3EA9">
        <w:rPr>
          <w:rFonts w:ascii="Book Antiqua" w:hAnsi="Book Antiqua" w:cs="Arial"/>
        </w:rPr>
        <w:t>e it was stated at paragraph 33:</w:t>
      </w:r>
    </w:p>
    <w:p w:rsidR="00861213" w:rsidRPr="00944C67" w:rsidRDefault="00861213" w:rsidP="00944C67">
      <w:pPr>
        <w:spacing w:before="120"/>
        <w:ind w:left="1134" w:right="567"/>
        <w:jc w:val="both"/>
        <w:rPr>
          <w:rFonts w:ascii="Book Antiqua" w:hAnsi="Book Antiqua" w:cs="Arial"/>
          <w:sz w:val="22"/>
          <w:szCs w:val="22"/>
        </w:rPr>
      </w:pPr>
      <w:r w:rsidRPr="00944C67">
        <w:rPr>
          <w:rFonts w:ascii="Book Antiqua" w:hAnsi="Book Antiqua" w:cs="Arial"/>
          <w:sz w:val="22"/>
          <w:szCs w:val="22"/>
        </w:rPr>
        <w:t xml:space="preserve">“On the present state of the law as set out in </w:t>
      </w:r>
      <w:r w:rsidRPr="00944C67">
        <w:rPr>
          <w:rFonts w:ascii="Book Antiqua" w:hAnsi="Book Antiqua" w:cs="Arial"/>
          <w:i/>
          <w:sz w:val="22"/>
          <w:szCs w:val="22"/>
        </w:rPr>
        <w:t>MA</w:t>
      </w:r>
      <w:r w:rsidRPr="00944C67">
        <w:rPr>
          <w:rFonts w:ascii="Book Antiqua" w:hAnsi="Book Antiqua" w:cs="Arial"/>
          <w:sz w:val="22"/>
          <w:szCs w:val="22"/>
        </w:rPr>
        <w:t xml:space="preserve"> we need to look for powerful reasons why a child who has been in the United Kingdom for over ten years should be removed notwithstanding that her best interests lie in remaining.”</w:t>
      </w:r>
    </w:p>
    <w:p w:rsidR="00CB3EA9" w:rsidRDefault="00CB3EA9" w:rsidP="00CB3EA9">
      <w:pPr>
        <w:numPr>
          <w:ilvl w:val="0"/>
          <w:numId w:val="1"/>
        </w:numPr>
        <w:tabs>
          <w:tab w:val="clear" w:pos="567"/>
        </w:tabs>
        <w:spacing w:before="240"/>
        <w:rPr>
          <w:rFonts w:ascii="Book Antiqua" w:hAnsi="Book Antiqua" w:cs="Arial"/>
        </w:rPr>
      </w:pPr>
      <w:r>
        <w:rPr>
          <w:rFonts w:ascii="Book Antiqua" w:hAnsi="Book Antiqua" w:cs="Arial"/>
        </w:rPr>
        <w:t xml:space="preserve">Mr </w:t>
      </w:r>
      <w:proofErr w:type="spellStart"/>
      <w:r>
        <w:rPr>
          <w:rFonts w:ascii="Book Antiqua" w:hAnsi="Book Antiqua" w:cs="Arial"/>
        </w:rPr>
        <w:t>Vokes</w:t>
      </w:r>
      <w:proofErr w:type="spellEnd"/>
      <w:r>
        <w:rPr>
          <w:rFonts w:ascii="Book Antiqua" w:hAnsi="Book Antiqua" w:cs="Arial"/>
        </w:rPr>
        <w:t xml:space="preserve"> focused on the plain meaning of Section 117</w:t>
      </w:r>
      <w:proofErr w:type="gramStart"/>
      <w:r>
        <w:rPr>
          <w:rFonts w:ascii="Book Antiqua" w:hAnsi="Book Antiqua" w:cs="Arial"/>
        </w:rPr>
        <w:t>B(</w:t>
      </w:r>
      <w:proofErr w:type="gramEnd"/>
      <w:r>
        <w:rPr>
          <w:rFonts w:ascii="Book Antiqua" w:hAnsi="Book Antiqua" w:cs="Arial"/>
        </w:rPr>
        <w:t>6) of the 2002 Act, arguing that the relevant question under</w:t>
      </w:r>
      <w:r w:rsidRPr="00CB3EA9">
        <w:rPr>
          <w:rFonts w:ascii="Book Antiqua" w:hAnsi="Book Antiqua" w:cs="Arial"/>
        </w:rPr>
        <w:t xml:space="preserve"> </w:t>
      </w:r>
      <w:r>
        <w:rPr>
          <w:rFonts w:ascii="Book Antiqua" w:hAnsi="Book Antiqua" w:cs="Arial"/>
        </w:rPr>
        <w:t xml:space="preserve">Section 117B(6) is the reasonableness </w:t>
      </w:r>
      <w:r w:rsidR="00861213" w:rsidRPr="00CB3EA9">
        <w:rPr>
          <w:rFonts w:ascii="Book Antiqua" w:hAnsi="Book Antiqua" w:cs="Arial"/>
        </w:rPr>
        <w:t xml:space="preserve">of the child being removed from the UK whether or not </w:t>
      </w:r>
      <w:r>
        <w:rPr>
          <w:rFonts w:ascii="Book Antiqua" w:hAnsi="Book Antiqua" w:cs="Arial"/>
        </w:rPr>
        <w:t>that in fact is what will occur, and the reasonableness of the family being separated is not relevant, even though this is what would in practice occur if the appellant is removed from the UK.</w:t>
      </w:r>
      <w:r w:rsidR="00861213" w:rsidRPr="00CB3EA9">
        <w:rPr>
          <w:rFonts w:ascii="Book Antiqua" w:hAnsi="Book Antiqua" w:cs="Arial"/>
        </w:rPr>
        <w:t xml:space="preserve">  </w:t>
      </w:r>
    </w:p>
    <w:p w:rsidR="00861213" w:rsidRPr="00CB3EA9" w:rsidRDefault="00867EA2" w:rsidP="00CB3EA9">
      <w:pPr>
        <w:numPr>
          <w:ilvl w:val="0"/>
          <w:numId w:val="1"/>
        </w:numPr>
        <w:tabs>
          <w:tab w:val="clear" w:pos="567"/>
        </w:tabs>
        <w:spacing w:before="240"/>
        <w:rPr>
          <w:rFonts w:ascii="Book Antiqua" w:hAnsi="Book Antiqua" w:cs="Arial"/>
        </w:rPr>
      </w:pPr>
      <w:r w:rsidRPr="00CB3EA9">
        <w:rPr>
          <w:rFonts w:ascii="Book Antiqua" w:hAnsi="Book Antiqua" w:cs="Arial"/>
        </w:rPr>
        <w:t xml:space="preserve">Mr </w:t>
      </w:r>
      <w:proofErr w:type="spellStart"/>
      <w:r w:rsidRPr="00CB3EA9">
        <w:rPr>
          <w:rFonts w:ascii="Book Antiqua" w:hAnsi="Book Antiqua" w:cs="Arial"/>
        </w:rPr>
        <w:t>Vokes</w:t>
      </w:r>
      <w:proofErr w:type="spellEnd"/>
      <w:r w:rsidRPr="00CB3EA9">
        <w:rPr>
          <w:rFonts w:ascii="Book Antiqua" w:hAnsi="Book Antiqua" w:cs="Arial"/>
        </w:rPr>
        <w:t xml:space="preserve"> also submitted that the 2018 </w:t>
      </w:r>
      <w:r w:rsidR="00CB3EA9">
        <w:rPr>
          <w:rFonts w:ascii="Book Antiqua" w:hAnsi="Book Antiqua" w:cs="Arial"/>
        </w:rPr>
        <w:t>Policy provides that the parent of a British citizen child should only be removed (</w:t>
      </w:r>
      <w:r w:rsidRPr="00CB3EA9">
        <w:rPr>
          <w:rFonts w:ascii="Book Antiqua" w:hAnsi="Book Antiqua" w:cs="Arial"/>
        </w:rPr>
        <w:t>in circumstances</w:t>
      </w:r>
      <w:r w:rsidR="00CB3EA9">
        <w:rPr>
          <w:rFonts w:ascii="Book Antiqua" w:hAnsi="Book Antiqua" w:cs="Arial"/>
        </w:rPr>
        <w:t>, as here,</w:t>
      </w:r>
      <w:r w:rsidRPr="00CB3EA9">
        <w:rPr>
          <w:rFonts w:ascii="Book Antiqua" w:hAnsi="Book Antiqua" w:cs="Arial"/>
        </w:rPr>
        <w:t xml:space="preserve"> where the child </w:t>
      </w:r>
      <w:r w:rsidR="00CB3EA9">
        <w:rPr>
          <w:rFonts w:ascii="Book Antiqua" w:hAnsi="Book Antiqua" w:cs="Arial"/>
        </w:rPr>
        <w:t xml:space="preserve">will remain in the UK with another parent) where </w:t>
      </w:r>
      <w:r w:rsidRPr="00CB3EA9">
        <w:rPr>
          <w:rFonts w:ascii="Book Antiqua" w:hAnsi="Book Antiqua" w:cs="Arial"/>
        </w:rPr>
        <w:t xml:space="preserve">there have been significant or persistent offences or repeated and deliberate breaches of the Immigration Rules.  Mr </w:t>
      </w:r>
      <w:proofErr w:type="spellStart"/>
      <w:r w:rsidRPr="00CB3EA9">
        <w:rPr>
          <w:rFonts w:ascii="Book Antiqua" w:hAnsi="Book Antiqua" w:cs="Arial"/>
        </w:rPr>
        <w:t>Vokes</w:t>
      </w:r>
      <w:proofErr w:type="spellEnd"/>
      <w:r w:rsidRPr="00CB3EA9">
        <w:rPr>
          <w:rFonts w:ascii="Book Antiqua" w:hAnsi="Book Antiqua" w:cs="Arial"/>
        </w:rPr>
        <w:t xml:space="preserve"> argued that</w:t>
      </w:r>
      <w:r w:rsidR="00CB3EA9">
        <w:rPr>
          <w:rFonts w:ascii="Book Antiqua" w:hAnsi="Book Antiqua" w:cs="Arial"/>
        </w:rPr>
        <w:t xml:space="preserve"> this is not such a case and compared the factual matrix to that in</w:t>
      </w:r>
      <w:r w:rsidR="00CB3EA9" w:rsidRPr="00CB3EA9">
        <w:rPr>
          <w:rFonts w:ascii="Book Antiqua" w:hAnsi="Book Antiqua" w:cs="Arial"/>
        </w:rPr>
        <w:t xml:space="preserve"> </w:t>
      </w:r>
      <w:r w:rsidR="00CB3EA9">
        <w:rPr>
          <w:rFonts w:ascii="Book Antiqua" w:hAnsi="Book Antiqua" w:cs="Arial"/>
          <w:i/>
        </w:rPr>
        <w:t>MT &amp; ET</w:t>
      </w:r>
      <w:r w:rsidR="00CB3EA9">
        <w:rPr>
          <w:rFonts w:ascii="Book Antiqua" w:hAnsi="Book Antiqua" w:cs="Arial"/>
        </w:rPr>
        <w:t xml:space="preserve"> where fraudulent documents had been used to obtain employment but this was found to be</w:t>
      </w:r>
      <w:r w:rsidRPr="00CB3EA9">
        <w:rPr>
          <w:rFonts w:ascii="Book Antiqua" w:hAnsi="Book Antiqua" w:cs="Arial"/>
        </w:rPr>
        <w:t xml:space="preserve"> “not so bad as to constitute the kind of powerful reason that would render reasonable the removal of ET to Nigeria”.  </w:t>
      </w:r>
    </w:p>
    <w:p w:rsidR="00867EA2" w:rsidRDefault="00867EA2" w:rsidP="004138DD">
      <w:pPr>
        <w:spacing w:before="240"/>
        <w:rPr>
          <w:rFonts w:ascii="Book Antiqua" w:hAnsi="Book Antiqua" w:cs="Arial"/>
        </w:rPr>
      </w:pPr>
      <w:r>
        <w:rPr>
          <w:rFonts w:ascii="Book Antiqua" w:hAnsi="Book Antiqua" w:cs="Arial"/>
          <w:b/>
          <w:u w:val="single"/>
        </w:rPr>
        <w:t>Analysis</w:t>
      </w:r>
    </w:p>
    <w:p w:rsidR="00CB3EA9" w:rsidRDefault="00867EA2" w:rsidP="004138DD">
      <w:pPr>
        <w:numPr>
          <w:ilvl w:val="0"/>
          <w:numId w:val="1"/>
        </w:numPr>
        <w:tabs>
          <w:tab w:val="clear" w:pos="567"/>
        </w:tabs>
        <w:spacing w:before="240"/>
        <w:rPr>
          <w:rFonts w:ascii="Book Antiqua" w:hAnsi="Book Antiqua" w:cs="Arial"/>
        </w:rPr>
      </w:pPr>
      <w:r>
        <w:rPr>
          <w:rFonts w:ascii="Book Antiqua" w:hAnsi="Book Antiqua" w:cs="Arial"/>
        </w:rPr>
        <w:t>It was common ground between the parties that this is n</w:t>
      </w:r>
      <w:r w:rsidR="00CB3EA9">
        <w:rPr>
          <w:rFonts w:ascii="Book Antiqua" w:hAnsi="Book Antiqua" w:cs="Arial"/>
        </w:rPr>
        <w:t>ot a case where the appellant i</w:t>
      </w:r>
      <w:r>
        <w:rPr>
          <w:rFonts w:ascii="Book Antiqua" w:hAnsi="Book Antiqua" w:cs="Arial"/>
        </w:rPr>
        <w:t xml:space="preserve">s able to </w:t>
      </w:r>
      <w:r w:rsidR="00CB3EA9">
        <w:rPr>
          <w:rFonts w:ascii="Book Antiqua" w:hAnsi="Book Antiqua" w:cs="Arial"/>
        </w:rPr>
        <w:t xml:space="preserve">meet the requirements of </w:t>
      </w:r>
      <w:r>
        <w:rPr>
          <w:rFonts w:ascii="Book Antiqua" w:hAnsi="Book Antiqua" w:cs="Arial"/>
        </w:rPr>
        <w:t xml:space="preserve">the Immigration Rules. </w:t>
      </w:r>
    </w:p>
    <w:p w:rsidR="00CB3EA9" w:rsidRDefault="00867EA2" w:rsidP="004138DD">
      <w:pPr>
        <w:numPr>
          <w:ilvl w:val="0"/>
          <w:numId w:val="1"/>
        </w:numPr>
        <w:tabs>
          <w:tab w:val="clear" w:pos="567"/>
        </w:tabs>
        <w:spacing w:before="240"/>
        <w:rPr>
          <w:rFonts w:ascii="Book Antiqua" w:hAnsi="Book Antiqua" w:cs="Arial"/>
        </w:rPr>
      </w:pPr>
      <w:r>
        <w:rPr>
          <w:rFonts w:ascii="Book Antiqua" w:hAnsi="Book Antiqua" w:cs="Arial"/>
        </w:rPr>
        <w:t xml:space="preserve">It was also common ground that the appellant has family life with his wife and child </w:t>
      </w:r>
      <w:r w:rsidR="004138DD">
        <w:rPr>
          <w:rFonts w:ascii="Book Antiqua" w:hAnsi="Book Antiqua" w:cs="Arial"/>
        </w:rPr>
        <w:t xml:space="preserve">such that Article 8(1) ECHR is engaged.  </w:t>
      </w:r>
    </w:p>
    <w:p w:rsidR="00CB3EA9" w:rsidRDefault="004138DD" w:rsidP="004138DD">
      <w:pPr>
        <w:numPr>
          <w:ilvl w:val="0"/>
          <w:numId w:val="1"/>
        </w:numPr>
        <w:tabs>
          <w:tab w:val="clear" w:pos="567"/>
        </w:tabs>
        <w:spacing w:before="240"/>
        <w:rPr>
          <w:rFonts w:ascii="Book Antiqua" w:hAnsi="Book Antiqua" w:cs="Arial"/>
        </w:rPr>
      </w:pPr>
      <w:r>
        <w:rPr>
          <w:rFonts w:ascii="Book Antiqua" w:hAnsi="Book Antiqua" w:cs="Arial"/>
        </w:rPr>
        <w:t>The issue in contention is whether removal of the appellant would be a disproportionate interference with his</w:t>
      </w:r>
      <w:r w:rsidR="00CB3EA9">
        <w:rPr>
          <w:rFonts w:ascii="Book Antiqua" w:hAnsi="Book Antiqua" w:cs="Arial"/>
        </w:rPr>
        <w:t xml:space="preserve"> (and his family’s)</w:t>
      </w:r>
      <w:r>
        <w:rPr>
          <w:rFonts w:ascii="Book Antiqua" w:hAnsi="Book Antiqua" w:cs="Arial"/>
        </w:rPr>
        <w:t xml:space="preserve"> right to respect for family life.  </w:t>
      </w:r>
    </w:p>
    <w:p w:rsidR="00CB3EA9" w:rsidRDefault="00CB3EA9" w:rsidP="004138DD">
      <w:pPr>
        <w:numPr>
          <w:ilvl w:val="0"/>
          <w:numId w:val="1"/>
        </w:numPr>
        <w:tabs>
          <w:tab w:val="clear" w:pos="567"/>
        </w:tabs>
        <w:spacing w:before="240"/>
        <w:rPr>
          <w:rFonts w:ascii="Book Antiqua" w:hAnsi="Book Antiqua" w:cs="Arial"/>
        </w:rPr>
      </w:pPr>
      <w:r>
        <w:rPr>
          <w:rFonts w:ascii="Book Antiqua" w:hAnsi="Book Antiqua" w:cs="Arial"/>
        </w:rPr>
        <w:t xml:space="preserve">Mr </w:t>
      </w:r>
      <w:proofErr w:type="spellStart"/>
      <w:r>
        <w:rPr>
          <w:rFonts w:ascii="Book Antiqua" w:hAnsi="Book Antiqua" w:cs="Arial"/>
        </w:rPr>
        <w:t>Vokes</w:t>
      </w:r>
      <w:proofErr w:type="spellEnd"/>
      <w:r>
        <w:rPr>
          <w:rFonts w:ascii="Book Antiqua" w:hAnsi="Book Antiqua" w:cs="Arial"/>
        </w:rPr>
        <w:t xml:space="preserve"> did not argue that removal of the appellant from the UK would result in a disproportionate interference with the family life he enjoys with his wife, and his submissions focused solely on the family life between the appellant and his son. My decision therefore only addresses this aspect of the appellant’s family life in the UK.</w:t>
      </w:r>
    </w:p>
    <w:p w:rsidR="00CB3EA9" w:rsidRDefault="00CB3EA9" w:rsidP="00CB3EA9">
      <w:pPr>
        <w:numPr>
          <w:ilvl w:val="0"/>
          <w:numId w:val="1"/>
        </w:numPr>
        <w:tabs>
          <w:tab w:val="clear" w:pos="567"/>
        </w:tabs>
        <w:spacing w:before="240"/>
        <w:rPr>
          <w:rFonts w:ascii="Book Antiqua" w:hAnsi="Book Antiqua" w:cs="Arial"/>
        </w:rPr>
      </w:pPr>
      <w:r>
        <w:rPr>
          <w:rFonts w:ascii="Book Antiqua" w:hAnsi="Book Antiqua" w:cs="Arial"/>
        </w:rPr>
        <w:lastRenderedPageBreak/>
        <w:t xml:space="preserve">I firstly consider </w:t>
      </w:r>
      <w:r w:rsidR="004138DD">
        <w:rPr>
          <w:rFonts w:ascii="Book Antiqua" w:hAnsi="Book Antiqua" w:cs="Arial"/>
        </w:rPr>
        <w:t xml:space="preserve">the best interests of the appellant’s child. </w:t>
      </w:r>
      <w:r>
        <w:rPr>
          <w:rFonts w:ascii="Book Antiqua" w:hAnsi="Book Antiqua" w:cs="Arial"/>
        </w:rPr>
        <w:t xml:space="preserve">There are 3 possible alternative scenarios. </w:t>
      </w:r>
    </w:p>
    <w:p w:rsidR="00CB3EA9" w:rsidRDefault="00CB3EA9" w:rsidP="00944C67">
      <w:pPr>
        <w:numPr>
          <w:ilvl w:val="1"/>
          <w:numId w:val="1"/>
        </w:numPr>
        <w:spacing w:before="120"/>
        <w:rPr>
          <w:rFonts w:ascii="Book Antiqua" w:hAnsi="Book Antiqua" w:cs="Arial"/>
        </w:rPr>
      </w:pPr>
      <w:r>
        <w:rPr>
          <w:rFonts w:ascii="Book Antiqua" w:hAnsi="Book Antiqua" w:cs="Arial"/>
        </w:rPr>
        <w:t xml:space="preserve">The first alternative is that the appellant is removed to Sri Lanka and his wife and son join him. I recognise that in practice this is unlikely to occur as the evidence indicates that the wife and child will remain in the UK but, as argued by Mr Melvin, that is the family’s choice. I do not consider this alternative to be in the best interests of the appellant’s son. His </w:t>
      </w:r>
      <w:r w:rsidR="004138DD" w:rsidRPr="00CB3EA9">
        <w:rPr>
          <w:rFonts w:ascii="Book Antiqua" w:hAnsi="Book Antiqua" w:cs="Arial"/>
        </w:rPr>
        <w:t>mother has no connection to Sri Lanka other than her husband and is</w:t>
      </w:r>
      <w:r>
        <w:rPr>
          <w:rFonts w:ascii="Book Antiqua" w:hAnsi="Book Antiqua" w:cs="Arial"/>
        </w:rPr>
        <w:t xml:space="preserve"> not familiar with the culture and language. </w:t>
      </w:r>
      <w:r w:rsidR="004138DD" w:rsidRPr="00CB3EA9">
        <w:rPr>
          <w:rFonts w:ascii="Book Antiqua" w:hAnsi="Book Antiqua" w:cs="Arial"/>
        </w:rPr>
        <w:t xml:space="preserve">Although the child upon moving to Sri Lanka will have the benefit of </w:t>
      </w:r>
      <w:r>
        <w:rPr>
          <w:rFonts w:ascii="Book Antiqua" w:hAnsi="Book Antiqua" w:cs="Arial"/>
        </w:rPr>
        <w:t xml:space="preserve">both </w:t>
      </w:r>
      <w:r w:rsidR="004138DD" w:rsidRPr="00CB3EA9">
        <w:rPr>
          <w:rFonts w:ascii="Book Antiqua" w:hAnsi="Book Antiqua" w:cs="Arial"/>
        </w:rPr>
        <w:t xml:space="preserve">his parents being present he will lose the benefit of living in a country where his mother is familiar with the society and culture.  </w:t>
      </w:r>
      <w:r>
        <w:rPr>
          <w:rFonts w:ascii="Book Antiqua" w:hAnsi="Book Antiqua" w:cs="Arial"/>
        </w:rPr>
        <w:t>He will also lose the benefit of living in close proximity to his mother’s family, who currently provide significant support.</w:t>
      </w:r>
    </w:p>
    <w:p w:rsidR="00CB3EA9" w:rsidRDefault="00CB3EA9" w:rsidP="00944C67">
      <w:pPr>
        <w:numPr>
          <w:ilvl w:val="1"/>
          <w:numId w:val="1"/>
        </w:numPr>
        <w:spacing w:before="120"/>
        <w:rPr>
          <w:rFonts w:ascii="Book Antiqua" w:hAnsi="Book Antiqua" w:cs="Arial"/>
        </w:rPr>
      </w:pPr>
      <w:r>
        <w:rPr>
          <w:rFonts w:ascii="Book Antiqua" w:hAnsi="Book Antiqua" w:cs="Arial"/>
        </w:rPr>
        <w:t xml:space="preserve">The second alternative is that the appellant’s wife and child remain UK without the appellant. </w:t>
      </w:r>
      <w:r w:rsidR="004138DD" w:rsidRPr="00CB3EA9">
        <w:rPr>
          <w:rFonts w:ascii="Book Antiqua" w:hAnsi="Book Antiqua" w:cs="Arial"/>
        </w:rPr>
        <w:t xml:space="preserve">I also do not consider this to be in the appellant’s child’s best interests.  Currently the appellant is the primary day to day carer of the child and if he </w:t>
      </w:r>
      <w:r>
        <w:rPr>
          <w:rFonts w:ascii="Book Antiqua" w:hAnsi="Book Antiqua" w:cs="Arial"/>
        </w:rPr>
        <w:t xml:space="preserve">is </w:t>
      </w:r>
      <w:r w:rsidR="004138DD" w:rsidRPr="00CB3EA9">
        <w:rPr>
          <w:rFonts w:ascii="Book Antiqua" w:hAnsi="Book Antiqua" w:cs="Arial"/>
        </w:rPr>
        <w:t>removed his wife w</w:t>
      </w:r>
      <w:r>
        <w:rPr>
          <w:rFonts w:ascii="Book Antiqua" w:hAnsi="Book Antiqua" w:cs="Arial"/>
        </w:rPr>
        <w:t>ill lose this significant support. In addition, the</w:t>
      </w:r>
      <w:r w:rsidR="004138DD" w:rsidRPr="00CB3EA9">
        <w:rPr>
          <w:rFonts w:ascii="Book Antiqua" w:hAnsi="Book Antiqua" w:cs="Arial"/>
        </w:rPr>
        <w:t xml:space="preserve"> child would lose the benefit of living with his father and his relationship with his father would be strai</w:t>
      </w:r>
      <w:r>
        <w:rPr>
          <w:rFonts w:ascii="Book Antiqua" w:hAnsi="Book Antiqua" w:cs="Arial"/>
        </w:rPr>
        <w:t>ned by seeing him only rarely</w:t>
      </w:r>
      <w:r w:rsidR="004138DD" w:rsidRPr="00CB3EA9">
        <w:rPr>
          <w:rFonts w:ascii="Book Antiqua" w:hAnsi="Book Antiqua" w:cs="Arial"/>
        </w:rPr>
        <w:t xml:space="preserve">.  </w:t>
      </w:r>
    </w:p>
    <w:p w:rsidR="004138DD" w:rsidRPr="00CB3EA9" w:rsidRDefault="00CB3EA9" w:rsidP="00944C67">
      <w:pPr>
        <w:numPr>
          <w:ilvl w:val="1"/>
          <w:numId w:val="1"/>
        </w:numPr>
        <w:spacing w:before="120"/>
        <w:rPr>
          <w:rFonts w:ascii="Book Antiqua" w:hAnsi="Book Antiqua" w:cs="Arial"/>
        </w:rPr>
      </w:pPr>
      <w:r>
        <w:rPr>
          <w:rFonts w:ascii="Book Antiqua" w:hAnsi="Book Antiqua" w:cs="Arial"/>
        </w:rPr>
        <w:t xml:space="preserve">The third option is that the status quo continues with the appellant’s child continuing to live in the UK with both parents. In my view, this is firmly in the appellant’s child’s best interests given that the consequence of the appellant being removed is either that the son will be separated from his father (who plays an important part of his life) or will need </w:t>
      </w:r>
      <w:r w:rsidR="004138DD" w:rsidRPr="00CB3EA9">
        <w:rPr>
          <w:rFonts w:ascii="Book Antiqua" w:hAnsi="Book Antiqua" w:cs="Arial"/>
        </w:rPr>
        <w:t>to move to a country where his mother will face</w:t>
      </w:r>
      <w:r>
        <w:rPr>
          <w:rFonts w:ascii="Book Antiqua" w:hAnsi="Book Antiqua" w:cs="Arial"/>
        </w:rPr>
        <w:t xml:space="preserve"> challenges that will most likely affect the quality of his life.</w:t>
      </w:r>
    </w:p>
    <w:p w:rsidR="00CB3EA9" w:rsidRDefault="004138DD" w:rsidP="00CB3EA9">
      <w:pPr>
        <w:numPr>
          <w:ilvl w:val="0"/>
          <w:numId w:val="1"/>
        </w:numPr>
        <w:tabs>
          <w:tab w:val="clear" w:pos="567"/>
        </w:tabs>
        <w:spacing w:before="240"/>
        <w:rPr>
          <w:rFonts w:ascii="Book Antiqua" w:hAnsi="Book Antiqua" w:cs="Arial"/>
        </w:rPr>
      </w:pPr>
      <w:r>
        <w:rPr>
          <w:rFonts w:ascii="Book Antiqua" w:hAnsi="Book Antiqua" w:cs="Arial"/>
        </w:rPr>
        <w:t>I now turn to consider other factors relevant to this</w:t>
      </w:r>
      <w:r w:rsidR="00CB3EA9">
        <w:rPr>
          <w:rFonts w:ascii="Book Antiqua" w:hAnsi="Book Antiqua" w:cs="Arial"/>
        </w:rPr>
        <w:t xml:space="preserve"> appeal and my starting point is the</w:t>
      </w:r>
      <w:r>
        <w:rPr>
          <w:rFonts w:ascii="Book Antiqua" w:hAnsi="Book Antiqua" w:cs="Arial"/>
        </w:rPr>
        <w:t xml:space="preserve"> </w:t>
      </w:r>
      <w:r w:rsidR="00CB3EA9">
        <w:rPr>
          <w:rFonts w:ascii="Book Antiqua" w:hAnsi="Book Antiqua" w:cs="Arial"/>
        </w:rPr>
        <w:t xml:space="preserve">mandatory considerations specified </w:t>
      </w:r>
      <w:r>
        <w:rPr>
          <w:rFonts w:ascii="Book Antiqua" w:hAnsi="Book Antiqua" w:cs="Arial"/>
        </w:rPr>
        <w:t xml:space="preserve">Section 117B </w:t>
      </w:r>
      <w:r w:rsidR="00CB3EA9">
        <w:rPr>
          <w:rFonts w:ascii="Book Antiqua" w:hAnsi="Book Antiqua" w:cs="Arial"/>
        </w:rPr>
        <w:t>of the 2002 Act.</w:t>
      </w:r>
    </w:p>
    <w:p w:rsidR="00CB3EA9" w:rsidRDefault="00CB3EA9" w:rsidP="00CB3EA9">
      <w:pPr>
        <w:numPr>
          <w:ilvl w:val="0"/>
          <w:numId w:val="1"/>
        </w:numPr>
        <w:tabs>
          <w:tab w:val="clear" w:pos="567"/>
        </w:tabs>
        <w:spacing w:before="240"/>
        <w:rPr>
          <w:rFonts w:ascii="Book Antiqua" w:hAnsi="Book Antiqua" w:cs="Arial"/>
        </w:rPr>
      </w:pPr>
      <w:r>
        <w:rPr>
          <w:rFonts w:ascii="Book Antiqua" w:hAnsi="Book Antiqua" w:cs="Arial"/>
        </w:rPr>
        <w:t>I</w:t>
      </w:r>
      <w:r w:rsidRPr="00CB3EA9">
        <w:rPr>
          <w:rFonts w:ascii="Book Antiqua" w:hAnsi="Book Antiqua" w:cs="Arial"/>
        </w:rPr>
        <w:t>n accordance with Section 117B(1), consideration must be given to the public interest in the maintenance of effective immigration controls. This weighs heavily against the appellant given his use of deception in a previous application and that he has remained in the UK despite having no lawful basis to do so.</w:t>
      </w:r>
    </w:p>
    <w:p w:rsidR="00CB3EA9" w:rsidRDefault="00CB3EA9" w:rsidP="00CB3EA9">
      <w:pPr>
        <w:numPr>
          <w:ilvl w:val="0"/>
          <w:numId w:val="1"/>
        </w:numPr>
        <w:tabs>
          <w:tab w:val="clear" w:pos="567"/>
        </w:tabs>
        <w:spacing w:before="240"/>
        <w:rPr>
          <w:rFonts w:ascii="Book Antiqua" w:hAnsi="Book Antiqua" w:cs="Arial"/>
        </w:rPr>
      </w:pPr>
      <w:r w:rsidRPr="00CB3EA9">
        <w:rPr>
          <w:rFonts w:ascii="Book Antiqua" w:hAnsi="Book Antiqua" w:cs="Arial"/>
        </w:rPr>
        <w:t xml:space="preserve">The appellant speaks English and therefore </w:t>
      </w:r>
      <w:r>
        <w:rPr>
          <w:rFonts w:ascii="Book Antiqua" w:hAnsi="Book Antiqua" w:cs="Arial"/>
        </w:rPr>
        <w:t xml:space="preserve">lack of </w:t>
      </w:r>
      <w:r w:rsidRPr="00CB3EA9">
        <w:rPr>
          <w:rFonts w:ascii="Book Antiqua" w:hAnsi="Book Antiqua" w:cs="Arial"/>
        </w:rPr>
        <w:t>competence in the English language does not weigh against him, by reference to Section 117B(2) of the 2002 Act.</w:t>
      </w:r>
    </w:p>
    <w:p w:rsidR="00CB3EA9" w:rsidRDefault="00CB3EA9" w:rsidP="00CB3EA9">
      <w:pPr>
        <w:numPr>
          <w:ilvl w:val="0"/>
          <w:numId w:val="1"/>
        </w:numPr>
        <w:tabs>
          <w:tab w:val="clear" w:pos="567"/>
        </w:tabs>
        <w:spacing w:before="240"/>
        <w:rPr>
          <w:rFonts w:ascii="Book Antiqua" w:hAnsi="Book Antiqua" w:cs="Arial"/>
        </w:rPr>
      </w:pPr>
      <w:r w:rsidRPr="00CB3EA9">
        <w:rPr>
          <w:rFonts w:ascii="Book Antiqua" w:hAnsi="Book Antiqua" w:cs="Arial"/>
        </w:rPr>
        <w:t>The evidence does not establish that the appellant is financially independent and would not be a burden on the taxpayer. This consideration weighs against him in the article 8 balancing exercise (Section 117B(3) of the 2002 Act).</w:t>
      </w:r>
    </w:p>
    <w:p w:rsidR="00CB3EA9" w:rsidRDefault="00CB3EA9" w:rsidP="00CB3EA9">
      <w:pPr>
        <w:numPr>
          <w:ilvl w:val="0"/>
          <w:numId w:val="1"/>
        </w:numPr>
        <w:tabs>
          <w:tab w:val="clear" w:pos="567"/>
        </w:tabs>
        <w:spacing w:before="240"/>
        <w:rPr>
          <w:rFonts w:ascii="Book Antiqua" w:hAnsi="Book Antiqua" w:cs="Arial"/>
        </w:rPr>
      </w:pPr>
      <w:r w:rsidRPr="00CB3EA9">
        <w:rPr>
          <w:rFonts w:ascii="Book Antiqua" w:hAnsi="Book Antiqua" w:cs="Arial"/>
        </w:rPr>
        <w:t xml:space="preserve">Sections 117B(4) and (5) have no bearing on the case as the appellant has not sought to rely, as a basis for showing his removal would be disproportionate, on his relationship with his wife or the private life he has developed whilst in the UK (other than to the extent that these factors are relevant to his relationship with his child). </w:t>
      </w:r>
      <w:r w:rsidRPr="00CB3EA9">
        <w:rPr>
          <w:rFonts w:ascii="Book Antiqua" w:hAnsi="Book Antiqua" w:cs="Arial"/>
        </w:rPr>
        <w:lastRenderedPageBreak/>
        <w:t>Had he had done so, I would have given this only little weight</w:t>
      </w:r>
      <w:r>
        <w:rPr>
          <w:rFonts w:ascii="Book Antiqua" w:hAnsi="Book Antiqua" w:cs="Arial"/>
        </w:rPr>
        <w:t xml:space="preserve"> in accordance with</w:t>
      </w:r>
      <w:r w:rsidRPr="00CB3EA9">
        <w:rPr>
          <w:rFonts w:ascii="Book Antiqua" w:hAnsi="Book Antiqua" w:cs="Arial"/>
        </w:rPr>
        <w:t xml:space="preserve"> Sections 117B(4) and (5)</w:t>
      </w:r>
      <w:r>
        <w:rPr>
          <w:rFonts w:ascii="Book Antiqua" w:hAnsi="Book Antiqua" w:cs="Arial"/>
        </w:rPr>
        <w:t xml:space="preserve"> of the 2002 Act</w:t>
      </w:r>
      <w:r w:rsidRPr="00CB3EA9">
        <w:rPr>
          <w:rFonts w:ascii="Book Antiqua" w:hAnsi="Book Antiqua" w:cs="Arial"/>
        </w:rPr>
        <w:t xml:space="preserve">. </w:t>
      </w:r>
    </w:p>
    <w:p w:rsidR="00CB3EA9" w:rsidRDefault="00CB3EA9" w:rsidP="00CB3EA9">
      <w:pPr>
        <w:numPr>
          <w:ilvl w:val="0"/>
          <w:numId w:val="1"/>
        </w:numPr>
        <w:tabs>
          <w:tab w:val="clear" w:pos="567"/>
        </w:tabs>
        <w:spacing w:before="240"/>
        <w:rPr>
          <w:rFonts w:ascii="Book Antiqua" w:hAnsi="Book Antiqua" w:cs="Arial"/>
        </w:rPr>
      </w:pPr>
      <w:r w:rsidRPr="00CB3EA9">
        <w:rPr>
          <w:rFonts w:ascii="Book Antiqua" w:hAnsi="Book Antiqua" w:cs="Arial"/>
        </w:rPr>
        <w:t xml:space="preserve">Section 117B(6) is highly relevant, and the </w:t>
      </w:r>
      <w:r w:rsidR="00217789" w:rsidRPr="00CB3EA9">
        <w:rPr>
          <w:rFonts w:ascii="Book Antiqua" w:hAnsi="Book Antiqua" w:cs="Arial"/>
        </w:rPr>
        <w:t>arguments before me focused on the question</w:t>
      </w:r>
      <w:r w:rsidRPr="00CB3EA9">
        <w:rPr>
          <w:rFonts w:ascii="Book Antiqua" w:hAnsi="Book Antiqua" w:cs="Arial"/>
        </w:rPr>
        <w:t>, under that sub-section,</w:t>
      </w:r>
      <w:r w:rsidR="00217789" w:rsidRPr="00CB3EA9">
        <w:rPr>
          <w:rFonts w:ascii="Book Antiqua" w:hAnsi="Book Antiqua" w:cs="Arial"/>
        </w:rPr>
        <w:t xml:space="preserve"> of whether it would be reasonable to expect the appellant’s child to leave the UK.  It is clear from the wording of Section 117B(6)</w:t>
      </w:r>
      <w:r w:rsidRPr="00CB3EA9">
        <w:rPr>
          <w:rFonts w:ascii="Book Antiqua" w:hAnsi="Book Antiqua" w:cs="Arial"/>
        </w:rPr>
        <w:t>,</w:t>
      </w:r>
      <w:r w:rsidR="00217789" w:rsidRPr="00CB3EA9">
        <w:rPr>
          <w:rFonts w:ascii="Book Antiqua" w:hAnsi="Book Antiqua" w:cs="Arial"/>
        </w:rPr>
        <w:t xml:space="preserve"> as interpreted in </w:t>
      </w:r>
      <w:r w:rsidR="00217789" w:rsidRPr="00CB3EA9">
        <w:rPr>
          <w:rFonts w:ascii="Book Antiqua" w:hAnsi="Book Antiqua" w:cs="Arial"/>
          <w:i/>
        </w:rPr>
        <w:t>MA (Pakistan)</w:t>
      </w:r>
      <w:r w:rsidRPr="00CB3EA9">
        <w:rPr>
          <w:rFonts w:ascii="Book Antiqua" w:hAnsi="Book Antiqua" w:cs="Arial"/>
          <w:i/>
        </w:rPr>
        <w:t>,</w:t>
      </w:r>
      <w:r w:rsidR="00217789" w:rsidRPr="00CB3EA9">
        <w:rPr>
          <w:rFonts w:ascii="Book Antiqua" w:hAnsi="Book Antiqua" w:cs="Arial"/>
        </w:rPr>
        <w:t xml:space="preserve"> that where the criteria of that section are satisfied there is no public interest in removal.</w:t>
      </w:r>
      <w:r w:rsidRPr="00CB3EA9">
        <w:rPr>
          <w:rFonts w:ascii="Book Antiqua" w:hAnsi="Book Antiqua" w:cs="Arial"/>
        </w:rPr>
        <w:t xml:space="preserve">  However, the question of </w:t>
      </w:r>
      <w:r w:rsidR="00217789" w:rsidRPr="00CB3EA9">
        <w:rPr>
          <w:rFonts w:ascii="Book Antiqua" w:hAnsi="Book Antiqua" w:cs="Arial"/>
        </w:rPr>
        <w:t>reasonable</w:t>
      </w:r>
      <w:r w:rsidRPr="00CB3EA9">
        <w:rPr>
          <w:rFonts w:ascii="Book Antiqua" w:hAnsi="Book Antiqua" w:cs="Arial"/>
        </w:rPr>
        <w:t xml:space="preserve">ness </w:t>
      </w:r>
      <w:r w:rsidR="00217789" w:rsidRPr="00CB3EA9">
        <w:rPr>
          <w:rFonts w:ascii="Book Antiqua" w:hAnsi="Book Antiqua" w:cs="Arial"/>
        </w:rPr>
        <w:t>encompass</w:t>
      </w:r>
      <w:r w:rsidRPr="00CB3EA9">
        <w:rPr>
          <w:rFonts w:ascii="Book Antiqua" w:hAnsi="Book Antiqua" w:cs="Arial"/>
        </w:rPr>
        <w:t>es</w:t>
      </w:r>
      <w:r w:rsidR="00217789" w:rsidRPr="00CB3EA9">
        <w:rPr>
          <w:rFonts w:ascii="Book Antiqua" w:hAnsi="Book Antiqua" w:cs="Arial"/>
        </w:rPr>
        <w:t xml:space="preserve"> consideration of all relevant factors including the immigra</w:t>
      </w:r>
      <w:r w:rsidRPr="00CB3EA9">
        <w:rPr>
          <w:rFonts w:ascii="Book Antiqua" w:hAnsi="Book Antiqua" w:cs="Arial"/>
        </w:rPr>
        <w:t>tion history of the appellant such that, as stated by Elias LJ at paragraph 45: “the only significance of section 117B(6) is that where the 7 year rule is satisfied, it is a factor of some weight leading in favour of leave to remain granted.”</w:t>
      </w:r>
      <w:r>
        <w:rPr>
          <w:rFonts w:ascii="Book Antiqua" w:hAnsi="Book Antiqua" w:cs="Arial"/>
        </w:rPr>
        <w:t xml:space="preserve"> </w:t>
      </w:r>
      <w:r w:rsidRPr="00CB3EA9">
        <w:rPr>
          <w:rFonts w:ascii="Book Antiqua" w:hAnsi="Book Antiqua" w:cs="Arial"/>
          <w:i/>
        </w:rPr>
        <w:t>MA</w:t>
      </w:r>
      <w:r>
        <w:rPr>
          <w:rFonts w:ascii="Book Antiqua" w:hAnsi="Book Antiqua" w:cs="Arial"/>
        </w:rPr>
        <w:t xml:space="preserve"> concerned children who were not British citizens but had lived for over 7 years UK. In contrast, this appeal concerns a small child who has been alive for far less </w:t>
      </w:r>
      <w:proofErr w:type="spellStart"/>
      <w:r>
        <w:rPr>
          <w:rFonts w:ascii="Book Antiqua" w:hAnsi="Book Antiqua" w:cs="Arial"/>
        </w:rPr>
        <w:t>then</w:t>
      </w:r>
      <w:proofErr w:type="spellEnd"/>
      <w:r>
        <w:rPr>
          <w:rFonts w:ascii="Book Antiqua" w:hAnsi="Book Antiqua" w:cs="Arial"/>
        </w:rPr>
        <w:t xml:space="preserve"> 7 years, but who is a citizen of Britain. In my view, Section 117B(6) applies in the same way to British citizen children  as to children who have lived for over 7 years in the UK, as both meet the definition of a qualifying child under Section 117D(1) and are not differentiated in Section 117D(6). I therefore treat as “a factor of some weight” in favour of granting leave to remain that the appellant’s child is a British citizen.</w:t>
      </w:r>
    </w:p>
    <w:p w:rsidR="00217789" w:rsidRDefault="00CB3EA9" w:rsidP="00CB3EA9">
      <w:pPr>
        <w:numPr>
          <w:ilvl w:val="0"/>
          <w:numId w:val="1"/>
        </w:numPr>
        <w:tabs>
          <w:tab w:val="clear" w:pos="567"/>
        </w:tabs>
        <w:spacing w:before="240"/>
        <w:rPr>
          <w:rFonts w:ascii="Book Antiqua" w:hAnsi="Book Antiqua" w:cs="Arial"/>
        </w:rPr>
      </w:pPr>
      <w:r>
        <w:rPr>
          <w:rFonts w:ascii="Book Antiqua" w:hAnsi="Book Antiqua" w:cs="Arial"/>
        </w:rPr>
        <w:t>I also have regard to the 2018 Policy, which in relevant part states:</w:t>
      </w:r>
    </w:p>
    <w:p w:rsidR="00217789" w:rsidRDefault="00217789" w:rsidP="00944C67">
      <w:pPr>
        <w:spacing w:before="120"/>
        <w:ind w:left="1134"/>
        <w:rPr>
          <w:rFonts w:ascii="Book Antiqua" w:hAnsi="Book Antiqua" w:cs="Arial"/>
        </w:rPr>
      </w:pPr>
      <w:r>
        <w:rPr>
          <w:rFonts w:ascii="Book Antiqua" w:hAnsi="Book Antiqua" w:cs="Arial"/>
        </w:rPr>
        <w:t>“</w:t>
      </w:r>
      <w:r w:rsidRPr="00225478">
        <w:rPr>
          <w:rFonts w:ascii="Book Antiqua" w:hAnsi="Book Antiqua" w:cs="Arial"/>
          <w:sz w:val="22"/>
          <w:szCs w:val="22"/>
        </w:rPr>
        <w:t xml:space="preserve">Where the child is a British citizen it will not be reasonable to expect them to leave the UK with the applicant parent or primary carer facing removal.  Accordingly, where this means that the child would have to leave the </w:t>
      </w:r>
      <w:smartTag w:uri="urn:schemas-microsoft-com:office:smarttags" w:element="country-region">
        <w:r w:rsidRPr="00225478">
          <w:rPr>
            <w:rFonts w:ascii="Book Antiqua" w:hAnsi="Book Antiqua" w:cs="Arial"/>
            <w:sz w:val="22"/>
            <w:szCs w:val="22"/>
          </w:rPr>
          <w:t>UK</w:t>
        </w:r>
      </w:smartTag>
      <w:r w:rsidRPr="00225478">
        <w:rPr>
          <w:rFonts w:ascii="Book Antiqua" w:hAnsi="Book Antiqua" w:cs="Arial"/>
          <w:sz w:val="22"/>
          <w:szCs w:val="22"/>
        </w:rPr>
        <w:t xml:space="preserve"> because in practice the child is not likely to continue to live in the </w:t>
      </w:r>
      <w:smartTag w:uri="urn:schemas-microsoft-com:office:smarttags" w:element="country-region">
        <w:smartTag w:uri="urn:schemas-microsoft-com:office:smarttags" w:element="place">
          <w:r w:rsidRPr="00225478">
            <w:rPr>
              <w:rFonts w:ascii="Book Antiqua" w:hAnsi="Book Antiqua" w:cs="Arial"/>
              <w:sz w:val="22"/>
              <w:szCs w:val="22"/>
            </w:rPr>
            <w:t>UK</w:t>
          </w:r>
        </w:smartTag>
      </w:smartTag>
      <w:r w:rsidRPr="00225478">
        <w:rPr>
          <w:rFonts w:ascii="Book Antiqua" w:hAnsi="Book Antiqua" w:cs="Arial"/>
          <w:sz w:val="22"/>
          <w:szCs w:val="22"/>
        </w:rPr>
        <w:t xml:space="preserve"> with another parent or primary carer EX.1.(a) is likely to apply.  In particular circumstances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is being granted leave to remain, 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r>
        <w:rPr>
          <w:rFonts w:ascii="Book Antiqua" w:hAnsi="Book Antiqua" w:cs="Arial"/>
        </w:rPr>
        <w:t>”</w:t>
      </w:r>
    </w:p>
    <w:p w:rsidR="00217789" w:rsidRDefault="00217789" w:rsidP="004138DD">
      <w:pPr>
        <w:numPr>
          <w:ilvl w:val="0"/>
          <w:numId w:val="1"/>
        </w:numPr>
        <w:tabs>
          <w:tab w:val="clear" w:pos="567"/>
        </w:tabs>
        <w:spacing w:before="240"/>
        <w:rPr>
          <w:rFonts w:ascii="Book Antiqua" w:hAnsi="Book Antiqua" w:cs="Arial"/>
        </w:rPr>
      </w:pPr>
      <w:r>
        <w:rPr>
          <w:rFonts w:ascii="Book Antiqua" w:hAnsi="Book Antiqua" w:cs="Arial"/>
        </w:rPr>
        <w:t>Applying this policy to the appellant I find as follows:</w:t>
      </w:r>
    </w:p>
    <w:p w:rsidR="00217789" w:rsidRDefault="00217789" w:rsidP="00944C67">
      <w:pPr>
        <w:numPr>
          <w:ilvl w:val="1"/>
          <w:numId w:val="1"/>
        </w:numPr>
        <w:spacing w:before="120"/>
        <w:rPr>
          <w:rFonts w:ascii="Book Antiqua" w:hAnsi="Book Antiqua" w:cs="Arial"/>
        </w:rPr>
      </w:pPr>
      <w:r>
        <w:rPr>
          <w:rFonts w:ascii="Book Antiqua" w:hAnsi="Book Antiqua" w:cs="Arial"/>
        </w:rPr>
        <w:t xml:space="preserve">This is not a case where the child would have to leave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given that he would be able to remain with his mother.  Therefore the first paragraph quoted above is not applicable.</w:t>
      </w:r>
    </w:p>
    <w:p w:rsidR="00CB3EA9" w:rsidRDefault="00CB3EA9" w:rsidP="00944C67">
      <w:pPr>
        <w:numPr>
          <w:ilvl w:val="1"/>
          <w:numId w:val="1"/>
        </w:numPr>
        <w:spacing w:before="120"/>
        <w:rPr>
          <w:rFonts w:ascii="Book Antiqua" w:hAnsi="Book Antiqua" w:cs="Arial"/>
        </w:rPr>
      </w:pPr>
      <w:r>
        <w:rPr>
          <w:rFonts w:ascii="Book Antiqua" w:hAnsi="Book Antiqua" w:cs="Arial"/>
        </w:rPr>
        <w:t>As the child would not need to leave the UK, t</w:t>
      </w:r>
      <w:r w:rsidR="00217789">
        <w:rPr>
          <w:rFonts w:ascii="Book Antiqua" w:hAnsi="Book Antiqua" w:cs="Arial"/>
        </w:rPr>
        <w:t xml:space="preserve">he policy envisages that it may be appropriate to refuse to grant leave where the conduct of the appellant gives rise to public interest considerations of such weight as to justify removal.  The examples given of conduct that would justify removal in these circumstances are significant or persistent criminal offences and repeated and deliberate breaches of the Immigration Rules.  </w:t>
      </w:r>
    </w:p>
    <w:p w:rsidR="00CB3EA9" w:rsidRDefault="00217789" w:rsidP="00944C67">
      <w:pPr>
        <w:numPr>
          <w:ilvl w:val="1"/>
          <w:numId w:val="1"/>
        </w:numPr>
        <w:spacing w:before="120"/>
        <w:rPr>
          <w:rFonts w:ascii="Book Antiqua" w:hAnsi="Book Antiqua" w:cs="Arial"/>
        </w:rPr>
      </w:pPr>
      <w:r w:rsidRPr="00CB3EA9">
        <w:rPr>
          <w:rFonts w:ascii="Book Antiqua" w:hAnsi="Book Antiqua" w:cs="Arial"/>
        </w:rPr>
        <w:lastRenderedPageBreak/>
        <w:t xml:space="preserve">This is a case where the appellant has </w:t>
      </w:r>
      <w:r w:rsidR="00CB3EA9">
        <w:rPr>
          <w:rFonts w:ascii="Book Antiqua" w:hAnsi="Book Antiqua" w:cs="Arial"/>
        </w:rPr>
        <w:t>used deception on a previous occasion in</w:t>
      </w:r>
      <w:r w:rsidR="00225478" w:rsidRPr="00CB3EA9">
        <w:rPr>
          <w:rFonts w:ascii="Book Antiqua" w:hAnsi="Book Antiqua" w:cs="Arial"/>
        </w:rPr>
        <w:t xml:space="preserve"> an effort to obtain leave under the Rules.  However his use of deception occurred on only one occasion</w:t>
      </w:r>
      <w:r w:rsidR="00CB3EA9">
        <w:rPr>
          <w:rFonts w:ascii="Book Antiqua" w:hAnsi="Book Antiqua" w:cs="Arial"/>
        </w:rPr>
        <w:t xml:space="preserve"> and he cannot be categorised as a person</w:t>
      </w:r>
      <w:r w:rsidR="00225478" w:rsidRPr="00CB3EA9">
        <w:rPr>
          <w:rFonts w:ascii="Book Antiqua" w:hAnsi="Book Antiqua" w:cs="Arial"/>
        </w:rPr>
        <w:t xml:space="preserve"> who has repeatedly and deliberately breached the Immigration Rules.  His immigration history is poor but it is not “very poor” as that term </w:t>
      </w:r>
      <w:r w:rsidR="00CB3EA9">
        <w:rPr>
          <w:rFonts w:ascii="Book Antiqua" w:hAnsi="Book Antiqua" w:cs="Arial"/>
        </w:rPr>
        <w:t xml:space="preserve">is used in </w:t>
      </w:r>
      <w:r w:rsidR="00225478" w:rsidRPr="00CB3EA9">
        <w:rPr>
          <w:rFonts w:ascii="Book Antiqua" w:hAnsi="Book Antiqua" w:cs="Arial"/>
        </w:rPr>
        <w:t xml:space="preserve">the </w:t>
      </w:r>
      <w:r w:rsidR="00CB3EA9">
        <w:rPr>
          <w:rFonts w:ascii="Book Antiqua" w:hAnsi="Book Antiqua" w:cs="Arial"/>
        </w:rPr>
        <w:t>2018 P</w:t>
      </w:r>
      <w:r w:rsidR="00225478" w:rsidRPr="00CB3EA9">
        <w:rPr>
          <w:rFonts w:ascii="Book Antiqua" w:hAnsi="Book Antiqua" w:cs="Arial"/>
        </w:rPr>
        <w:t xml:space="preserve">olicy. </w:t>
      </w:r>
      <w:r w:rsidR="00CB3EA9">
        <w:rPr>
          <w:rFonts w:ascii="Book Antiqua" w:hAnsi="Book Antiqua" w:cs="Arial"/>
        </w:rPr>
        <w:t xml:space="preserve">My view is fortified by the observation that the Upper Tribunal in </w:t>
      </w:r>
      <w:r w:rsidR="00CB3EA9" w:rsidRPr="00CB3EA9">
        <w:rPr>
          <w:rFonts w:ascii="Book Antiqua" w:hAnsi="Book Antiqua" w:cs="Arial"/>
          <w:i/>
        </w:rPr>
        <w:t>MT &amp; ET</w:t>
      </w:r>
      <w:r w:rsidR="00CB3EA9">
        <w:rPr>
          <w:rFonts w:ascii="Book Antiqua" w:hAnsi="Book Antiqua" w:cs="Arial"/>
        </w:rPr>
        <w:t xml:space="preserve"> at paragraph 34 described an appellant who had engaged in analogous unlawful behaviour as “a somewhat run of the mill immigration offender…[whose] immigration history is not so bad as to constitute the kind of powerful reasons that would render reasonable removal of [her] to Nigeria.” I therefore agree with Mr </w:t>
      </w:r>
      <w:proofErr w:type="spellStart"/>
      <w:r w:rsidR="00CB3EA9">
        <w:rPr>
          <w:rFonts w:ascii="Book Antiqua" w:hAnsi="Book Antiqua" w:cs="Arial"/>
        </w:rPr>
        <w:t>Vokes</w:t>
      </w:r>
      <w:proofErr w:type="spellEnd"/>
      <w:r w:rsidR="00CB3EA9">
        <w:rPr>
          <w:rFonts w:ascii="Book Antiqua" w:hAnsi="Book Antiqua" w:cs="Arial"/>
        </w:rPr>
        <w:t xml:space="preserve"> that it is not consistent with the 2018 Policy to find that removal of the appellant would be reasonable.</w:t>
      </w:r>
    </w:p>
    <w:p w:rsidR="00CB3EA9" w:rsidRDefault="00CB3EA9" w:rsidP="00CB3EA9">
      <w:pPr>
        <w:numPr>
          <w:ilvl w:val="0"/>
          <w:numId w:val="1"/>
        </w:numPr>
        <w:spacing w:before="240"/>
        <w:rPr>
          <w:rFonts w:ascii="Book Antiqua" w:hAnsi="Book Antiqua" w:cs="Arial"/>
        </w:rPr>
      </w:pPr>
      <w:r>
        <w:rPr>
          <w:rFonts w:ascii="Book Antiqua" w:hAnsi="Book Antiqua" w:cs="Arial"/>
        </w:rPr>
        <w:t>In conclusion, I balance the factors relevant to the proportionality of removing the appellant UK as follows:</w:t>
      </w:r>
    </w:p>
    <w:p w:rsidR="00CB3EA9" w:rsidRDefault="00CB3EA9" w:rsidP="00944C67">
      <w:pPr>
        <w:numPr>
          <w:ilvl w:val="1"/>
          <w:numId w:val="1"/>
        </w:numPr>
        <w:spacing w:before="120"/>
        <w:rPr>
          <w:rFonts w:ascii="Book Antiqua" w:hAnsi="Book Antiqua" w:cs="Arial"/>
        </w:rPr>
      </w:pPr>
      <w:r>
        <w:rPr>
          <w:rFonts w:ascii="Book Antiqua" w:hAnsi="Book Antiqua" w:cs="Arial"/>
        </w:rPr>
        <w:t xml:space="preserve">Weighing heavily in favour of removal is that it is firmly in the public interest to remove a person who has used deception in an earlier immigration application, remained in the UK unlawfully, and who is unable to satisfy the Immigration Rules. Also weighing on this side of the scales is that the appellant is not financially independent. </w:t>
      </w:r>
    </w:p>
    <w:p w:rsidR="00CB3EA9" w:rsidRPr="00CB3EA9" w:rsidRDefault="00CB3EA9" w:rsidP="00944C67">
      <w:pPr>
        <w:numPr>
          <w:ilvl w:val="1"/>
          <w:numId w:val="1"/>
        </w:numPr>
        <w:spacing w:before="120"/>
        <w:rPr>
          <w:rFonts w:ascii="Book Antiqua" w:hAnsi="Book Antiqua" w:cs="Arial"/>
        </w:rPr>
      </w:pPr>
      <w:r>
        <w:rPr>
          <w:rFonts w:ascii="Book Antiqua" w:hAnsi="Book Antiqua" w:cs="Arial"/>
        </w:rPr>
        <w:t>Weighing heavily on the other side of the scales is that the consequence of the appellant being removed from the UK is that either he will be separated from his son or his son, who is a British citizen, will have to leave the UK; and that neither of these scenarios are in the child’s best interests.</w:t>
      </w:r>
    </w:p>
    <w:p w:rsidR="00CB3EA9" w:rsidRDefault="00CB3EA9" w:rsidP="00CB3EA9">
      <w:pPr>
        <w:numPr>
          <w:ilvl w:val="0"/>
          <w:numId w:val="1"/>
        </w:numPr>
        <w:spacing w:before="240"/>
        <w:rPr>
          <w:rFonts w:ascii="Book Antiqua" w:hAnsi="Book Antiqua" w:cs="Arial"/>
        </w:rPr>
      </w:pPr>
      <w:r>
        <w:rPr>
          <w:rFonts w:ascii="Book Antiqua" w:hAnsi="Book Antiqua" w:cs="Arial"/>
        </w:rPr>
        <w:t>This is a finely balanced case where there are strong considerations weighing on both sides of the scales. I have taken care to not treat the fact that the appellant’s son is a British citizen, or that it is in his best interests for the appellant to be granted leave to remain, as a ‘trump card’ or a “paramount” consideration. However, having carefully considered the evidence, and taken into consideration factors weighing both for and against the appellant, I have reached the conclusion that the appellant’s removal would constitute a disproportionate interference with the family life he enjoys with his son in the UK and therefore would be contrary to Article 8 ECHR.</w:t>
      </w:r>
    </w:p>
    <w:p w:rsidR="00D949B7" w:rsidRPr="00D949B7" w:rsidRDefault="00D949B7" w:rsidP="00CB3EA9">
      <w:pPr>
        <w:spacing w:before="240"/>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 xml:space="preserve">The appeal is </w:t>
      </w:r>
      <w:r w:rsidR="00CB3EA9">
        <w:rPr>
          <w:rFonts w:ascii="Book Antiqua" w:hAnsi="Book Antiqua" w:cs="Arial"/>
        </w:rPr>
        <w:t>allowed</w:t>
      </w:r>
    </w:p>
    <w:p w:rsidR="00D949B7" w:rsidRPr="00D949B7" w:rsidRDefault="00D949B7"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rPr>
        <w:t>No anonymity direction is made.</w:t>
      </w:r>
    </w:p>
    <w:p w:rsidR="009F5220" w:rsidRDefault="009F5220" w:rsidP="00273201">
      <w:pPr>
        <w:rPr>
          <w:rFonts w:ascii="Book Antiqua" w:hAnsi="Book Antiqua" w:cs="Arial"/>
        </w:rPr>
      </w:pPr>
    </w:p>
    <w:p w:rsidR="00944C67" w:rsidRPr="009B7433" w:rsidRDefault="00944C67" w:rsidP="00273201">
      <w:pPr>
        <w:rPr>
          <w:rFonts w:ascii="Book Antiqua" w:hAnsi="Book Antiqua" w:cs="Arial"/>
        </w:rPr>
      </w:pPr>
    </w:p>
    <w:tbl>
      <w:tblPr>
        <w:tblW w:w="0" w:type="auto"/>
        <w:tblLook w:val="01E0" w:firstRow="1" w:lastRow="1" w:firstColumn="1" w:lastColumn="1" w:noHBand="0" w:noVBand="0"/>
      </w:tblPr>
      <w:tblGrid>
        <w:gridCol w:w="5092"/>
        <w:gridCol w:w="322"/>
        <w:gridCol w:w="517"/>
        <w:gridCol w:w="3707"/>
      </w:tblGrid>
      <w:tr w:rsidR="000908C5" w:rsidRPr="00647F2A" w:rsidTr="00944C67">
        <w:trPr>
          <w:trHeight w:val="277"/>
        </w:trPr>
        <w:tc>
          <w:tcPr>
            <w:tcW w:w="5092" w:type="dxa"/>
          </w:tcPr>
          <w:p w:rsidR="000908C5" w:rsidRDefault="00944C67" w:rsidP="004E15B1">
            <w:pPr>
              <w:tabs>
                <w:tab w:val="left" w:pos="2520"/>
              </w:tabs>
              <w:rPr>
                <w:rFonts w:ascii="Book Antiqua" w:hAnsi="Book Antiqua"/>
                <w:color w:val="000000"/>
              </w:rPr>
            </w:pPr>
            <w:r>
              <w:rPr>
                <w:noProof/>
              </w:rPr>
              <w:drawing>
                <wp:anchor distT="0" distB="0" distL="114300" distR="114300" simplePos="0" relativeHeight="251659264" behindDoc="0" locked="0" layoutInCell="1" allowOverlap="1">
                  <wp:simplePos x="0" y="0"/>
                  <wp:positionH relativeFrom="column">
                    <wp:posOffset>774700</wp:posOffset>
                  </wp:positionH>
                  <wp:positionV relativeFrom="paragraph">
                    <wp:posOffset>69850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a:ln w="9525">
                            <a:noFill/>
                            <a:miter lim="800000"/>
                            <a:headEnd/>
                            <a:tailEnd/>
                          </a:ln>
                        </pic:spPr>
                      </pic:pic>
                    </a:graphicData>
                  </a:graphic>
                </wp:anchor>
              </w:drawing>
            </w:r>
            <w:r w:rsidR="000908C5">
              <w:rPr>
                <w:rFonts w:ascii="Book Antiqua" w:hAnsi="Book Antiqua"/>
                <w:color w:val="000000"/>
              </w:rPr>
              <w:t>Signed</w:t>
            </w:r>
          </w:p>
          <w:p w:rsidR="000908C5" w:rsidRPr="00647F2A" w:rsidRDefault="000908C5" w:rsidP="004E15B1">
            <w:pPr>
              <w:tabs>
                <w:tab w:val="left" w:pos="2520"/>
              </w:tabs>
              <w:rPr>
                <w:rFonts w:ascii="Book Antiqua" w:hAnsi="Book Antiqua"/>
                <w:color w:val="000000"/>
              </w:rPr>
            </w:pPr>
          </w:p>
          <w:p w:rsidR="000908C5" w:rsidRPr="00647F2A" w:rsidRDefault="000908C5" w:rsidP="004E15B1">
            <w:pPr>
              <w:tabs>
                <w:tab w:val="left" w:pos="2520"/>
              </w:tabs>
              <w:rPr>
                <w:rFonts w:ascii="Book Antiqua" w:hAnsi="Book Antiqua"/>
                <w:color w:val="000000"/>
              </w:rPr>
            </w:pPr>
          </w:p>
        </w:tc>
        <w:tc>
          <w:tcPr>
            <w:tcW w:w="322" w:type="dxa"/>
          </w:tcPr>
          <w:p w:rsidR="000908C5" w:rsidRPr="00647F2A" w:rsidRDefault="000908C5" w:rsidP="004E15B1">
            <w:pPr>
              <w:jc w:val="center"/>
              <w:rPr>
                <w:rFonts w:ascii="Book Antiqua" w:hAnsi="Book Antiqua"/>
                <w:color w:val="000000"/>
              </w:rPr>
            </w:pPr>
          </w:p>
          <w:p w:rsidR="000908C5" w:rsidRPr="00647F2A" w:rsidRDefault="000908C5" w:rsidP="004E15B1">
            <w:pPr>
              <w:jc w:val="center"/>
              <w:rPr>
                <w:rFonts w:ascii="Book Antiqua" w:hAnsi="Book Antiqua"/>
                <w:color w:val="000000"/>
              </w:rPr>
            </w:pPr>
          </w:p>
        </w:tc>
        <w:tc>
          <w:tcPr>
            <w:tcW w:w="517" w:type="dxa"/>
          </w:tcPr>
          <w:p w:rsidR="000908C5" w:rsidRPr="00647F2A" w:rsidRDefault="000908C5" w:rsidP="004E15B1">
            <w:pPr>
              <w:jc w:val="center"/>
              <w:rPr>
                <w:rFonts w:ascii="Book Antiqua" w:hAnsi="Book Antiqua"/>
                <w:color w:val="000000"/>
              </w:rPr>
            </w:pPr>
          </w:p>
        </w:tc>
        <w:tc>
          <w:tcPr>
            <w:tcW w:w="3707" w:type="dxa"/>
          </w:tcPr>
          <w:p w:rsidR="000908C5" w:rsidRPr="00647F2A" w:rsidRDefault="000908C5" w:rsidP="004E15B1">
            <w:pPr>
              <w:jc w:val="center"/>
              <w:rPr>
                <w:rFonts w:ascii="Book Antiqua" w:hAnsi="Book Antiqua"/>
                <w:color w:val="000000"/>
              </w:rPr>
            </w:pPr>
          </w:p>
        </w:tc>
      </w:tr>
      <w:tr w:rsidR="000908C5" w:rsidRPr="00CD6FF1" w:rsidTr="00944C67">
        <w:tc>
          <w:tcPr>
            <w:tcW w:w="5092" w:type="dxa"/>
          </w:tcPr>
          <w:p w:rsidR="000908C5" w:rsidRPr="00CD6FF1" w:rsidRDefault="000908C5" w:rsidP="004E15B1">
            <w:pPr>
              <w:tabs>
                <w:tab w:val="left" w:pos="2520"/>
              </w:tabs>
              <w:rPr>
                <w:rFonts w:ascii="Book Antiqua" w:hAnsi="Book Antiqua" w:cs="Arial"/>
              </w:rPr>
            </w:pPr>
            <w:r w:rsidRPr="00CD6FF1">
              <w:rPr>
                <w:rFonts w:ascii="Book Antiqua" w:hAnsi="Book Antiqua" w:cs="Arial"/>
              </w:rPr>
              <w:t>Deputy Upper Tribunal Judge Sheridan</w:t>
            </w:r>
          </w:p>
        </w:tc>
        <w:tc>
          <w:tcPr>
            <w:tcW w:w="322" w:type="dxa"/>
          </w:tcPr>
          <w:p w:rsidR="000908C5" w:rsidRPr="00CD6FF1" w:rsidRDefault="000908C5" w:rsidP="004E15B1">
            <w:pPr>
              <w:tabs>
                <w:tab w:val="left" w:pos="2520"/>
              </w:tabs>
              <w:rPr>
                <w:rFonts w:ascii="Book Antiqua" w:hAnsi="Book Antiqua" w:cs="Arial"/>
              </w:rPr>
            </w:pPr>
          </w:p>
        </w:tc>
        <w:tc>
          <w:tcPr>
            <w:tcW w:w="517" w:type="dxa"/>
          </w:tcPr>
          <w:p w:rsidR="000908C5" w:rsidRPr="00CD6FF1" w:rsidRDefault="000908C5" w:rsidP="004E15B1">
            <w:pPr>
              <w:tabs>
                <w:tab w:val="left" w:pos="2520"/>
              </w:tabs>
              <w:rPr>
                <w:rFonts w:ascii="Book Antiqua" w:hAnsi="Book Antiqua" w:cs="Arial"/>
              </w:rPr>
            </w:pPr>
          </w:p>
        </w:tc>
        <w:tc>
          <w:tcPr>
            <w:tcW w:w="3707" w:type="dxa"/>
          </w:tcPr>
          <w:p w:rsidR="000908C5" w:rsidRPr="00CD6FF1" w:rsidRDefault="000908C5" w:rsidP="000908C5">
            <w:pPr>
              <w:tabs>
                <w:tab w:val="left" w:pos="2520"/>
              </w:tabs>
              <w:rPr>
                <w:rFonts w:ascii="Book Antiqua" w:hAnsi="Book Antiqua" w:cs="Arial"/>
              </w:rPr>
            </w:pPr>
            <w:r w:rsidRPr="00CD6FF1">
              <w:rPr>
                <w:rFonts w:ascii="Book Antiqua" w:hAnsi="Book Antiqua" w:cs="Arial"/>
              </w:rPr>
              <w:t>Dated</w:t>
            </w:r>
            <w:r>
              <w:rPr>
                <w:rFonts w:ascii="Book Antiqua" w:hAnsi="Book Antiqua" w:cs="Arial"/>
              </w:rPr>
              <w:t>: 24 June 2018</w:t>
            </w:r>
          </w:p>
        </w:tc>
      </w:tr>
    </w:tbl>
    <w:p w:rsidR="00F43A8C" w:rsidRDefault="00F43A8C" w:rsidP="00944C67">
      <w:pPr>
        <w:tabs>
          <w:tab w:val="left" w:pos="2520"/>
        </w:tabs>
        <w:ind w:left="540" w:hanging="540"/>
        <w:jc w:val="both"/>
        <w:rPr>
          <w:rFonts w:ascii="Book Antiqua" w:hAnsi="Book Antiqua" w:cs="Arial"/>
          <w:b/>
          <w:u w:val="single"/>
        </w:rPr>
      </w:pPr>
    </w:p>
    <w:sectPr w:rsidR="00F43A8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9FB" w:rsidRDefault="004A69FB">
      <w:r>
        <w:separator/>
      </w:r>
    </w:p>
  </w:endnote>
  <w:endnote w:type="continuationSeparator" w:id="0">
    <w:p w:rsidR="004A69FB" w:rsidRDefault="004A6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686" w:rsidRPr="009B7433" w:rsidRDefault="006E55A5"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DA7686"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43A8C">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686" w:rsidRPr="009B7433" w:rsidRDefault="00DA7686"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9FB" w:rsidRDefault="004A69FB">
      <w:r>
        <w:separator/>
      </w:r>
    </w:p>
  </w:footnote>
  <w:footnote w:type="continuationSeparator" w:id="0">
    <w:p w:rsidR="004A69FB" w:rsidRDefault="004A6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686" w:rsidRPr="009B7433" w:rsidRDefault="00DA7686"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HU/01667/2016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686" w:rsidRPr="009B7433" w:rsidRDefault="00DA7686">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A93CFE4-584E-401F-BC7E-C2A94B406807}"/>
    <w:docVar w:name="dgnword-eventsink" w:val="19571176"/>
  </w:docVars>
  <w:rsids>
    <w:rsidRoot w:val="00F84362"/>
    <w:rsid w:val="00000621"/>
    <w:rsid w:val="000036C2"/>
    <w:rsid w:val="00016C1A"/>
    <w:rsid w:val="000267C7"/>
    <w:rsid w:val="00033588"/>
    <w:rsid w:val="00033D3D"/>
    <w:rsid w:val="0004776F"/>
    <w:rsid w:val="00052895"/>
    <w:rsid w:val="00053151"/>
    <w:rsid w:val="00062F02"/>
    <w:rsid w:val="00071A7E"/>
    <w:rsid w:val="000746C0"/>
    <w:rsid w:val="00074D1D"/>
    <w:rsid w:val="000908C5"/>
    <w:rsid w:val="00092580"/>
    <w:rsid w:val="00093D4D"/>
    <w:rsid w:val="000A0743"/>
    <w:rsid w:val="000A7B59"/>
    <w:rsid w:val="000D5D94"/>
    <w:rsid w:val="000F1A0E"/>
    <w:rsid w:val="001165A7"/>
    <w:rsid w:val="0016508E"/>
    <w:rsid w:val="00167D3A"/>
    <w:rsid w:val="00173F50"/>
    <w:rsid w:val="00185986"/>
    <w:rsid w:val="001A3082"/>
    <w:rsid w:val="001B186A"/>
    <w:rsid w:val="001B2F75"/>
    <w:rsid w:val="001C6F5F"/>
    <w:rsid w:val="001D6167"/>
    <w:rsid w:val="001F2716"/>
    <w:rsid w:val="001F3AC0"/>
    <w:rsid w:val="00207617"/>
    <w:rsid w:val="00217789"/>
    <w:rsid w:val="00225478"/>
    <w:rsid w:val="0023134B"/>
    <w:rsid w:val="002677E3"/>
    <w:rsid w:val="00267E7D"/>
    <w:rsid w:val="00273201"/>
    <w:rsid w:val="00283659"/>
    <w:rsid w:val="002A0DCD"/>
    <w:rsid w:val="002C6BD4"/>
    <w:rsid w:val="002D68BF"/>
    <w:rsid w:val="002E4541"/>
    <w:rsid w:val="002F6B98"/>
    <w:rsid w:val="00336CBF"/>
    <w:rsid w:val="00343FE3"/>
    <w:rsid w:val="003546C8"/>
    <w:rsid w:val="0037777D"/>
    <w:rsid w:val="003825D4"/>
    <w:rsid w:val="003A7CF2"/>
    <w:rsid w:val="003C5CE5"/>
    <w:rsid w:val="003D25F1"/>
    <w:rsid w:val="003D60DD"/>
    <w:rsid w:val="003D6FAD"/>
    <w:rsid w:val="003E267B"/>
    <w:rsid w:val="003E7CD1"/>
    <w:rsid w:val="00402B9E"/>
    <w:rsid w:val="004138DD"/>
    <w:rsid w:val="004249CB"/>
    <w:rsid w:val="0044127D"/>
    <w:rsid w:val="004448DB"/>
    <w:rsid w:val="00446C9A"/>
    <w:rsid w:val="00446F1E"/>
    <w:rsid w:val="00452F2B"/>
    <w:rsid w:val="00477193"/>
    <w:rsid w:val="004A1848"/>
    <w:rsid w:val="004A2D15"/>
    <w:rsid w:val="004A534C"/>
    <w:rsid w:val="004A69FB"/>
    <w:rsid w:val="004A6F4A"/>
    <w:rsid w:val="004B70D7"/>
    <w:rsid w:val="004D6B45"/>
    <w:rsid w:val="004E4717"/>
    <w:rsid w:val="004F2676"/>
    <w:rsid w:val="00507FEC"/>
    <w:rsid w:val="00510F0E"/>
    <w:rsid w:val="00544F7F"/>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84A74"/>
    <w:rsid w:val="0068620A"/>
    <w:rsid w:val="00690B8A"/>
    <w:rsid w:val="00695C28"/>
    <w:rsid w:val="006C2FB8"/>
    <w:rsid w:val="006E55A5"/>
    <w:rsid w:val="006F2CF1"/>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B0824"/>
    <w:rsid w:val="007B5D3C"/>
    <w:rsid w:val="00815011"/>
    <w:rsid w:val="00821B72"/>
    <w:rsid w:val="0082229E"/>
    <w:rsid w:val="00823EF2"/>
    <w:rsid w:val="008303B8"/>
    <w:rsid w:val="00833DCE"/>
    <w:rsid w:val="00833E86"/>
    <w:rsid w:val="00861213"/>
    <w:rsid w:val="00867EA2"/>
    <w:rsid w:val="00871D34"/>
    <w:rsid w:val="008A25EC"/>
    <w:rsid w:val="008A6059"/>
    <w:rsid w:val="008B17FF"/>
    <w:rsid w:val="008B270C"/>
    <w:rsid w:val="008B5078"/>
    <w:rsid w:val="008C3D3D"/>
    <w:rsid w:val="008D4131"/>
    <w:rsid w:val="008F1932"/>
    <w:rsid w:val="0090151B"/>
    <w:rsid w:val="009042A9"/>
    <w:rsid w:val="00921062"/>
    <w:rsid w:val="00936004"/>
    <w:rsid w:val="00944C67"/>
    <w:rsid w:val="009722BC"/>
    <w:rsid w:val="009727A3"/>
    <w:rsid w:val="00987774"/>
    <w:rsid w:val="009A11E8"/>
    <w:rsid w:val="009B16E1"/>
    <w:rsid w:val="009B7433"/>
    <w:rsid w:val="009C57C8"/>
    <w:rsid w:val="009D348A"/>
    <w:rsid w:val="009F5220"/>
    <w:rsid w:val="00A07919"/>
    <w:rsid w:val="00A15234"/>
    <w:rsid w:val="00A172F5"/>
    <w:rsid w:val="00A201AB"/>
    <w:rsid w:val="00A2327C"/>
    <w:rsid w:val="00A31C8B"/>
    <w:rsid w:val="00A509FA"/>
    <w:rsid w:val="00A845DC"/>
    <w:rsid w:val="00AB3796"/>
    <w:rsid w:val="00AC06F9"/>
    <w:rsid w:val="00B26AA2"/>
    <w:rsid w:val="00B3524D"/>
    <w:rsid w:val="00B40F69"/>
    <w:rsid w:val="00B46616"/>
    <w:rsid w:val="00B528BB"/>
    <w:rsid w:val="00B64BB3"/>
    <w:rsid w:val="00B7040A"/>
    <w:rsid w:val="00B83391"/>
    <w:rsid w:val="00B95326"/>
    <w:rsid w:val="00BD4196"/>
    <w:rsid w:val="00BF22CA"/>
    <w:rsid w:val="00BF23BB"/>
    <w:rsid w:val="00C25A0C"/>
    <w:rsid w:val="00C26032"/>
    <w:rsid w:val="00C345E1"/>
    <w:rsid w:val="00C43BFD"/>
    <w:rsid w:val="00C6048A"/>
    <w:rsid w:val="00C6670E"/>
    <w:rsid w:val="00CB3EA9"/>
    <w:rsid w:val="00CB6E35"/>
    <w:rsid w:val="00CE09B1"/>
    <w:rsid w:val="00CE1A46"/>
    <w:rsid w:val="00D05EA6"/>
    <w:rsid w:val="00D20757"/>
    <w:rsid w:val="00D22636"/>
    <w:rsid w:val="00D40FD9"/>
    <w:rsid w:val="00D53769"/>
    <w:rsid w:val="00D6602D"/>
    <w:rsid w:val="00D85C13"/>
    <w:rsid w:val="00D9111A"/>
    <w:rsid w:val="00D91BE3"/>
    <w:rsid w:val="00D949B7"/>
    <w:rsid w:val="00D94AFC"/>
    <w:rsid w:val="00DA7686"/>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B485A"/>
    <w:rsid w:val="00EE45D8"/>
    <w:rsid w:val="00F22EDA"/>
    <w:rsid w:val="00F40176"/>
    <w:rsid w:val="00F43A8C"/>
    <w:rsid w:val="00F460F6"/>
    <w:rsid w:val="00F470D6"/>
    <w:rsid w:val="00F5589A"/>
    <w:rsid w:val="00F84362"/>
    <w:rsid w:val="00FC40FA"/>
    <w:rsid w:val="00FF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8B7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7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2307</Words>
  <Characters>13156</Characters>
  <Application>Microsoft Office Word</Application>
  <DocSecurity>2</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2018-07-17T08:37:00Z</dcterms:created>
  <dcterms:modified xsi:type="dcterms:W3CDTF">2018-07-17T08:37:00Z</dcterms:modified>
</cp:coreProperties>
</file>