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3D3" w:rsidRPr="00D75387" w:rsidRDefault="001613D3" w:rsidP="001613D3">
      <w:pPr>
        <w:jc w:val="center"/>
        <w:rPr>
          <w:rFonts w:ascii="Book Antiqua" w:hAnsi="Book Antiqua" w:cs="Arial"/>
          <w:caps/>
          <w:color w:val="000000"/>
          <w:sz w:val="16"/>
          <w:szCs w:val="16"/>
        </w:rPr>
      </w:pPr>
      <w:r w:rsidRPr="00D75387">
        <w:rPr>
          <w:noProof/>
          <w:sz w:val="16"/>
          <w:szCs w:val="16"/>
          <w:lang w:val="en-US" w:eastAsia="en-US"/>
        </w:rPr>
        <w:drawing>
          <wp:inline distT="0" distB="0" distL="0" distR="0">
            <wp:extent cx="1036320" cy="914400"/>
            <wp:effectExtent l="2540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036320" cy="914400"/>
                    </a:xfrm>
                    <a:prstGeom prst="rect">
                      <a:avLst/>
                    </a:prstGeom>
                    <a:noFill/>
                    <a:ln w="9525">
                      <a:noFill/>
                      <a:miter lim="800000"/>
                      <a:headEnd/>
                      <a:tailEnd/>
                    </a:ln>
                  </pic:spPr>
                </pic:pic>
              </a:graphicData>
            </a:graphic>
          </wp:inline>
        </w:drawing>
      </w:r>
    </w:p>
    <w:p w:rsidR="001613D3" w:rsidRPr="00D75387" w:rsidRDefault="001613D3" w:rsidP="001613D3">
      <w:pPr>
        <w:rPr>
          <w:rFonts w:ascii="Book Antiqua" w:hAnsi="Book Antiqua" w:cs="Arial"/>
          <w:color w:val="000000"/>
          <w:sz w:val="16"/>
          <w:szCs w:val="16"/>
        </w:rPr>
      </w:pPr>
    </w:p>
    <w:p w:rsidR="001613D3" w:rsidRPr="009B7433" w:rsidRDefault="001613D3" w:rsidP="001613D3">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1613D3" w:rsidRPr="009B7433" w:rsidRDefault="001613D3" w:rsidP="001613D3">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Hlk517172235"/>
      <w:bookmarkStart w:id="1" w:name="_GoBack"/>
      <w:r>
        <w:rPr>
          <w:rFonts w:ascii="Book Antiqua" w:hAnsi="Book Antiqua" w:cs="Arial"/>
          <w:caps/>
          <w:color w:val="000000"/>
        </w:rPr>
        <w:t>HU/01685/2016</w:t>
      </w:r>
      <w:bookmarkEnd w:id="0"/>
      <w:bookmarkEnd w:id="1"/>
    </w:p>
    <w:p w:rsidR="001613D3" w:rsidRPr="009B7433" w:rsidRDefault="001613D3" w:rsidP="001613D3">
      <w:pPr>
        <w:jc w:val="center"/>
        <w:rPr>
          <w:rFonts w:ascii="Book Antiqua" w:hAnsi="Book Antiqua" w:cs="Arial"/>
          <w:color w:val="000000"/>
        </w:rPr>
      </w:pPr>
    </w:p>
    <w:p w:rsidR="001613D3" w:rsidRPr="009B7433" w:rsidRDefault="001613D3" w:rsidP="001613D3">
      <w:pPr>
        <w:jc w:val="center"/>
        <w:rPr>
          <w:rFonts w:ascii="Book Antiqua" w:hAnsi="Book Antiqua" w:cs="Arial"/>
          <w:color w:val="000000"/>
        </w:rPr>
      </w:pPr>
    </w:p>
    <w:p w:rsidR="001613D3" w:rsidRPr="009B7433" w:rsidRDefault="001613D3" w:rsidP="001613D3">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1613D3" w:rsidRPr="009B7433" w:rsidRDefault="001613D3" w:rsidP="001613D3">
      <w:pPr>
        <w:jc w:val="center"/>
        <w:rPr>
          <w:rFonts w:ascii="Book Antiqua" w:hAnsi="Book Antiqua" w:cs="Arial"/>
          <w:b/>
          <w:u w:val="single"/>
        </w:rPr>
      </w:pPr>
    </w:p>
    <w:p w:rsidR="001613D3" w:rsidRPr="009B7433" w:rsidRDefault="001613D3" w:rsidP="001613D3">
      <w:pPr>
        <w:jc w:val="center"/>
        <w:rPr>
          <w:rFonts w:ascii="Book Antiqua" w:hAnsi="Book Antiqua" w:cs="Arial"/>
          <w:b/>
          <w:u w:val="single"/>
        </w:rPr>
      </w:pPr>
    </w:p>
    <w:tbl>
      <w:tblPr>
        <w:tblW w:w="5000" w:type="pct"/>
        <w:tblLook w:val="01E0" w:firstRow="1" w:lastRow="1" w:firstColumn="1" w:lastColumn="1" w:noHBand="0" w:noVBand="0"/>
      </w:tblPr>
      <w:tblGrid>
        <w:gridCol w:w="4150"/>
        <w:gridCol w:w="4150"/>
      </w:tblGrid>
      <w:tr w:rsidR="001613D3" w:rsidRPr="00227323" w:rsidTr="00D75387">
        <w:tc>
          <w:tcPr>
            <w:tcW w:w="2500" w:type="pct"/>
          </w:tcPr>
          <w:p w:rsidR="001613D3" w:rsidRPr="00227323" w:rsidRDefault="001613D3" w:rsidP="001613D3">
            <w:pPr>
              <w:jc w:val="both"/>
              <w:rPr>
                <w:rFonts w:ascii="Book Antiqua" w:hAnsi="Book Antiqua" w:cs="Arial"/>
                <w:b/>
              </w:rPr>
            </w:pPr>
            <w:r w:rsidRPr="00227323">
              <w:rPr>
                <w:rFonts w:ascii="Book Antiqua" w:hAnsi="Book Antiqua" w:cs="Arial"/>
                <w:b/>
              </w:rPr>
              <w:t>Heard at Field House</w:t>
            </w:r>
          </w:p>
        </w:tc>
        <w:tc>
          <w:tcPr>
            <w:tcW w:w="2500" w:type="pct"/>
          </w:tcPr>
          <w:p w:rsidR="001613D3" w:rsidRPr="00227323" w:rsidRDefault="001613D3" w:rsidP="00D75387">
            <w:pPr>
              <w:jc w:val="right"/>
              <w:rPr>
                <w:rFonts w:ascii="Book Antiqua" w:hAnsi="Book Antiqua" w:cs="Arial"/>
                <w:b/>
                <w:color w:val="000000"/>
              </w:rPr>
            </w:pPr>
            <w:r w:rsidRPr="00227323">
              <w:rPr>
                <w:rFonts w:ascii="Book Antiqua" w:hAnsi="Book Antiqua" w:cs="Arial"/>
                <w:b/>
                <w:color w:val="000000"/>
              </w:rPr>
              <w:t>Decision &amp; Reasons Promulgated</w:t>
            </w:r>
          </w:p>
        </w:tc>
      </w:tr>
      <w:tr w:rsidR="001613D3" w:rsidRPr="00227323" w:rsidTr="00D75387">
        <w:tc>
          <w:tcPr>
            <w:tcW w:w="2500" w:type="pct"/>
          </w:tcPr>
          <w:p w:rsidR="001613D3" w:rsidRPr="00227323" w:rsidRDefault="001613D3" w:rsidP="001613D3">
            <w:pPr>
              <w:jc w:val="both"/>
              <w:rPr>
                <w:rFonts w:ascii="Book Antiqua" w:hAnsi="Book Antiqua" w:cs="Arial"/>
                <w:b/>
              </w:rPr>
            </w:pPr>
            <w:r>
              <w:rPr>
                <w:rFonts w:ascii="Book Antiqua" w:hAnsi="Book Antiqua" w:cs="Arial"/>
                <w:b/>
              </w:rPr>
              <w:t>On 25 May 2018</w:t>
            </w:r>
          </w:p>
        </w:tc>
        <w:tc>
          <w:tcPr>
            <w:tcW w:w="2500" w:type="pct"/>
          </w:tcPr>
          <w:p w:rsidR="001613D3" w:rsidRPr="00227323" w:rsidRDefault="00035001" w:rsidP="00D75387">
            <w:pPr>
              <w:jc w:val="right"/>
              <w:rPr>
                <w:rFonts w:ascii="Book Antiqua" w:hAnsi="Book Antiqua" w:cs="Arial"/>
                <w:b/>
              </w:rPr>
            </w:pPr>
            <w:r>
              <w:rPr>
                <w:rFonts w:ascii="Book Antiqua" w:hAnsi="Book Antiqua" w:cs="Arial"/>
                <w:b/>
              </w:rPr>
              <w:t>On 21 June 2018</w:t>
            </w:r>
          </w:p>
        </w:tc>
      </w:tr>
      <w:tr w:rsidR="001613D3" w:rsidRPr="00227323" w:rsidTr="00D75387">
        <w:tc>
          <w:tcPr>
            <w:tcW w:w="2500" w:type="pct"/>
          </w:tcPr>
          <w:p w:rsidR="001613D3" w:rsidRPr="00227323" w:rsidRDefault="001613D3" w:rsidP="001613D3">
            <w:pPr>
              <w:jc w:val="both"/>
              <w:rPr>
                <w:rFonts w:ascii="Book Antiqua" w:hAnsi="Book Antiqua" w:cs="Arial"/>
                <w:b/>
              </w:rPr>
            </w:pPr>
          </w:p>
        </w:tc>
        <w:tc>
          <w:tcPr>
            <w:tcW w:w="2500" w:type="pct"/>
          </w:tcPr>
          <w:p w:rsidR="001613D3" w:rsidRPr="00227323" w:rsidRDefault="001613D3" w:rsidP="00D75387">
            <w:pPr>
              <w:jc w:val="right"/>
              <w:rPr>
                <w:rFonts w:ascii="Book Antiqua" w:hAnsi="Book Antiqua" w:cs="Arial"/>
                <w:b/>
              </w:rPr>
            </w:pPr>
          </w:p>
        </w:tc>
      </w:tr>
    </w:tbl>
    <w:p w:rsidR="001613D3" w:rsidRPr="009B7433" w:rsidRDefault="001613D3" w:rsidP="001613D3">
      <w:pPr>
        <w:jc w:val="center"/>
        <w:rPr>
          <w:rFonts w:ascii="Book Antiqua" w:hAnsi="Book Antiqua" w:cs="Arial"/>
        </w:rPr>
      </w:pPr>
    </w:p>
    <w:p w:rsidR="001613D3" w:rsidRPr="009B7433" w:rsidRDefault="001613D3" w:rsidP="001613D3">
      <w:pPr>
        <w:jc w:val="center"/>
        <w:rPr>
          <w:rFonts w:ascii="Book Antiqua" w:hAnsi="Book Antiqua" w:cs="Arial"/>
          <w:b/>
        </w:rPr>
      </w:pPr>
      <w:r w:rsidRPr="009B7433">
        <w:rPr>
          <w:rFonts w:ascii="Book Antiqua" w:hAnsi="Book Antiqua" w:cs="Arial"/>
          <w:b/>
        </w:rPr>
        <w:t>Before</w:t>
      </w:r>
    </w:p>
    <w:p w:rsidR="001613D3" w:rsidRPr="009B7433" w:rsidRDefault="001613D3" w:rsidP="001613D3">
      <w:pPr>
        <w:jc w:val="center"/>
        <w:rPr>
          <w:rFonts w:ascii="Book Antiqua" w:hAnsi="Book Antiqua" w:cs="Arial"/>
          <w:b/>
        </w:rPr>
      </w:pPr>
    </w:p>
    <w:p w:rsidR="001613D3" w:rsidRPr="009B7433" w:rsidRDefault="001613D3" w:rsidP="001613D3">
      <w:pPr>
        <w:jc w:val="center"/>
        <w:rPr>
          <w:rFonts w:ascii="Book Antiqua" w:hAnsi="Book Antiqua" w:cs="Arial"/>
          <w:b/>
          <w:color w:val="000000"/>
        </w:rPr>
      </w:pPr>
      <w:r>
        <w:rPr>
          <w:rFonts w:ascii="Book Antiqua" w:hAnsi="Book Antiqua" w:cs="Arial"/>
          <w:b/>
          <w:color w:val="000000"/>
        </w:rPr>
        <w:t>DEPUTY UPPER TRIBUNAL JUDGE CHAPMAN</w:t>
      </w:r>
    </w:p>
    <w:p w:rsidR="001613D3" w:rsidRDefault="001613D3" w:rsidP="001613D3">
      <w:pPr>
        <w:jc w:val="center"/>
        <w:rPr>
          <w:rFonts w:ascii="Book Antiqua" w:hAnsi="Book Antiqua" w:cs="Arial"/>
          <w:b/>
        </w:rPr>
      </w:pPr>
    </w:p>
    <w:p w:rsidR="00D75387" w:rsidRPr="009B7433" w:rsidRDefault="00D75387" w:rsidP="001613D3">
      <w:pPr>
        <w:jc w:val="center"/>
        <w:rPr>
          <w:rFonts w:ascii="Book Antiqua" w:hAnsi="Book Antiqua" w:cs="Arial"/>
          <w:b/>
        </w:rPr>
      </w:pPr>
    </w:p>
    <w:p w:rsidR="001613D3" w:rsidRPr="009B7433" w:rsidRDefault="001613D3" w:rsidP="001613D3">
      <w:pPr>
        <w:jc w:val="center"/>
        <w:rPr>
          <w:rFonts w:ascii="Book Antiqua" w:hAnsi="Book Antiqua" w:cs="Arial"/>
          <w:b/>
        </w:rPr>
      </w:pPr>
      <w:r w:rsidRPr="009B7433">
        <w:rPr>
          <w:rFonts w:ascii="Book Antiqua" w:hAnsi="Book Antiqua" w:cs="Arial"/>
          <w:b/>
        </w:rPr>
        <w:t>Between</w:t>
      </w:r>
    </w:p>
    <w:p w:rsidR="001613D3" w:rsidRDefault="001613D3" w:rsidP="001613D3">
      <w:pPr>
        <w:jc w:val="center"/>
        <w:rPr>
          <w:rFonts w:ascii="Book Antiqua" w:hAnsi="Book Antiqua" w:cs="Arial"/>
          <w:b/>
        </w:rPr>
      </w:pPr>
    </w:p>
    <w:p w:rsidR="001613D3" w:rsidRPr="009C48C0" w:rsidRDefault="001613D3" w:rsidP="001613D3">
      <w:pPr>
        <w:jc w:val="center"/>
        <w:rPr>
          <w:rFonts w:ascii="Book Antiqua" w:hAnsi="Book Antiqua" w:cs="Arial"/>
          <w:b/>
          <w:caps/>
        </w:rPr>
      </w:pPr>
      <w:r>
        <w:rPr>
          <w:rFonts w:ascii="Book Antiqua" w:hAnsi="Book Antiqua" w:cs="Arial"/>
          <w:b/>
          <w:caps/>
        </w:rPr>
        <w:t>MISS NIRMALA PURJA</w:t>
      </w:r>
    </w:p>
    <w:p w:rsidR="001613D3" w:rsidRPr="009E4119" w:rsidRDefault="001613D3" w:rsidP="001613D3">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not made</w:t>
      </w:r>
      <w:r w:rsidRPr="00D949B7">
        <w:rPr>
          <w:rFonts w:ascii="Book Antiqua" w:hAnsi="Book Antiqua" w:cs="Arial"/>
          <w:b/>
          <w:caps/>
        </w:rPr>
        <w:t>)</w:t>
      </w:r>
    </w:p>
    <w:p w:rsidR="001613D3" w:rsidRDefault="001613D3" w:rsidP="001613D3">
      <w:pPr>
        <w:jc w:val="right"/>
        <w:rPr>
          <w:rFonts w:ascii="Book Antiqua" w:hAnsi="Book Antiqua" w:cs="Arial"/>
          <w:u w:val="single"/>
        </w:rPr>
      </w:pPr>
      <w:r w:rsidRPr="009B7433">
        <w:rPr>
          <w:rFonts w:ascii="Book Antiqua" w:hAnsi="Book Antiqua" w:cs="Arial"/>
          <w:u w:val="single"/>
        </w:rPr>
        <w:t>Appellant</w:t>
      </w:r>
    </w:p>
    <w:p w:rsidR="001613D3" w:rsidRDefault="001613D3" w:rsidP="001613D3">
      <w:pPr>
        <w:jc w:val="center"/>
        <w:rPr>
          <w:rFonts w:ascii="Book Antiqua" w:hAnsi="Book Antiqua" w:cs="Arial"/>
          <w:b/>
        </w:rPr>
      </w:pPr>
      <w:r>
        <w:rPr>
          <w:rFonts w:ascii="Book Antiqua" w:hAnsi="Book Antiqua" w:cs="Arial"/>
          <w:b/>
        </w:rPr>
        <w:t>v</w:t>
      </w:r>
    </w:p>
    <w:p w:rsidR="001613D3" w:rsidRDefault="001613D3" w:rsidP="001613D3">
      <w:pPr>
        <w:jc w:val="center"/>
        <w:rPr>
          <w:rFonts w:ascii="Book Antiqua" w:hAnsi="Book Antiqua" w:cs="Arial"/>
          <w:b/>
        </w:rPr>
      </w:pPr>
    </w:p>
    <w:p w:rsidR="001613D3" w:rsidRDefault="001613D3" w:rsidP="001613D3">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Pr>
          <w:rFonts w:ascii="Book Antiqua" w:hAnsi="Book Antiqua" w:cs="Arial"/>
          <w:b/>
          <w:noProof/>
        </w:rPr>
        <w:t>THE SECRETARY OF STATE FOR THE HOME DEPARTMENT</w:t>
      </w:r>
      <w:r w:rsidRPr="009B7433">
        <w:rPr>
          <w:rFonts w:ascii="Book Antiqua" w:hAnsi="Book Antiqua" w:cs="Arial"/>
          <w:b/>
        </w:rPr>
        <w:fldChar w:fldCharType="end"/>
      </w:r>
      <w:bookmarkEnd w:id="2"/>
    </w:p>
    <w:p w:rsidR="001613D3" w:rsidRPr="009B7433" w:rsidRDefault="001613D3" w:rsidP="001613D3">
      <w:pPr>
        <w:jc w:val="right"/>
        <w:rPr>
          <w:rFonts w:ascii="Book Antiqua" w:hAnsi="Book Antiqua" w:cs="Arial"/>
          <w:u w:val="single"/>
        </w:rPr>
      </w:pPr>
      <w:r w:rsidRPr="009B7433">
        <w:rPr>
          <w:rFonts w:ascii="Book Antiqua" w:hAnsi="Book Antiqua" w:cs="Arial"/>
          <w:u w:val="single"/>
        </w:rPr>
        <w:t>Respondent</w:t>
      </w:r>
    </w:p>
    <w:p w:rsidR="001613D3" w:rsidRPr="009B7433" w:rsidRDefault="001613D3" w:rsidP="001613D3">
      <w:pPr>
        <w:rPr>
          <w:rFonts w:ascii="Book Antiqua" w:hAnsi="Book Antiqua" w:cs="Arial"/>
          <w:u w:val="single"/>
        </w:rPr>
      </w:pPr>
    </w:p>
    <w:p w:rsidR="001613D3" w:rsidRPr="009B7433" w:rsidRDefault="001613D3" w:rsidP="001613D3">
      <w:pPr>
        <w:rPr>
          <w:rFonts w:ascii="Book Antiqua" w:hAnsi="Book Antiqua" w:cs="Arial"/>
          <w:u w:val="single"/>
        </w:rPr>
      </w:pPr>
    </w:p>
    <w:p w:rsidR="001613D3" w:rsidRPr="009B7433" w:rsidRDefault="001613D3" w:rsidP="001613D3">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1613D3" w:rsidRDefault="001613D3" w:rsidP="001613D3">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 xml:space="preserve">Ms M. </w:t>
      </w:r>
      <w:proofErr w:type="spellStart"/>
      <w:r>
        <w:rPr>
          <w:rFonts w:ascii="Book Antiqua" w:hAnsi="Book Antiqua" w:cs="Arial"/>
        </w:rPr>
        <w:t>Bentiez</w:t>
      </w:r>
      <w:proofErr w:type="spellEnd"/>
      <w:r>
        <w:rPr>
          <w:rFonts w:ascii="Book Antiqua" w:hAnsi="Book Antiqua" w:cs="Arial"/>
        </w:rPr>
        <w:t xml:space="preserve">, counsel instructed by Howe &amp; Co, </w:t>
      </w:r>
      <w:r>
        <w:rPr>
          <w:rFonts w:ascii="Book Antiqua" w:hAnsi="Book Antiqua" w:cs="Arial"/>
        </w:rPr>
        <w:tab/>
      </w:r>
      <w:r>
        <w:rPr>
          <w:rFonts w:ascii="Book Antiqua" w:hAnsi="Book Antiqua" w:cs="Arial"/>
        </w:rPr>
        <w:tab/>
        <w:t>solicitors</w:t>
      </w:r>
    </w:p>
    <w:p w:rsidR="001613D3" w:rsidRPr="009B7433" w:rsidRDefault="001613D3" w:rsidP="001613D3">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 xml:space="preserve">Mr. E. </w:t>
      </w:r>
      <w:proofErr w:type="spellStart"/>
      <w:r>
        <w:rPr>
          <w:rFonts w:ascii="Book Antiqua" w:hAnsi="Book Antiqua" w:cs="Arial"/>
        </w:rPr>
        <w:t>Tufan</w:t>
      </w:r>
      <w:proofErr w:type="spellEnd"/>
      <w:r>
        <w:rPr>
          <w:rFonts w:ascii="Book Antiqua" w:hAnsi="Book Antiqua" w:cs="Arial"/>
        </w:rPr>
        <w:t>, Senior Home Office Presenting Officer</w:t>
      </w:r>
    </w:p>
    <w:p w:rsidR="001613D3" w:rsidRPr="009B7433" w:rsidRDefault="001613D3" w:rsidP="001613D3">
      <w:pPr>
        <w:jc w:val="center"/>
        <w:rPr>
          <w:rFonts w:ascii="Book Antiqua" w:hAnsi="Book Antiqua" w:cs="Arial"/>
        </w:rPr>
      </w:pPr>
    </w:p>
    <w:p w:rsidR="00D75387" w:rsidRDefault="00D75387" w:rsidP="001613D3">
      <w:pPr>
        <w:tabs>
          <w:tab w:val="left" w:pos="2520"/>
        </w:tabs>
        <w:jc w:val="center"/>
        <w:rPr>
          <w:rFonts w:ascii="Book Antiqua" w:hAnsi="Book Antiqua" w:cs="Arial"/>
          <w:b/>
          <w:u w:val="single"/>
        </w:rPr>
      </w:pPr>
    </w:p>
    <w:p w:rsidR="001613D3" w:rsidRPr="009B7433" w:rsidRDefault="001613D3" w:rsidP="001613D3">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D75387" w:rsidRDefault="00D75387" w:rsidP="00D75387">
      <w:pPr>
        <w:spacing w:before="160"/>
        <w:rPr>
          <w:rFonts w:ascii="Book Antiqua" w:hAnsi="Book Antiqua"/>
        </w:rPr>
      </w:pPr>
    </w:p>
    <w:p w:rsidR="001613D3" w:rsidRDefault="001613D3" w:rsidP="00D75387">
      <w:pPr>
        <w:spacing w:before="160"/>
        <w:rPr>
          <w:rFonts w:ascii="Book Antiqua" w:hAnsi="Book Antiqua"/>
        </w:rPr>
      </w:pPr>
      <w:r>
        <w:rPr>
          <w:rFonts w:ascii="Book Antiqua" w:hAnsi="Book Antiqua"/>
        </w:rPr>
        <w:t>1. This appeal came before me for a hearing on 23 February 2018, when I found an error of law and adjourned the appeal for a resumed hearing. A copy of that decision, dated 21 March 2018 is appended.</w:t>
      </w:r>
    </w:p>
    <w:p w:rsidR="00D75387" w:rsidRDefault="00D75387" w:rsidP="00D75387">
      <w:pPr>
        <w:spacing w:before="160"/>
        <w:rPr>
          <w:rFonts w:ascii="Book Antiqua" w:hAnsi="Book Antiqua"/>
          <w:i/>
        </w:rPr>
      </w:pPr>
    </w:p>
    <w:p w:rsidR="001613D3" w:rsidRDefault="001613D3" w:rsidP="00D75387">
      <w:pPr>
        <w:spacing w:before="160"/>
        <w:rPr>
          <w:rFonts w:ascii="Book Antiqua" w:hAnsi="Book Antiqua"/>
          <w:i/>
        </w:rPr>
      </w:pPr>
      <w:r>
        <w:rPr>
          <w:rFonts w:ascii="Book Antiqua" w:hAnsi="Book Antiqua"/>
          <w:i/>
        </w:rPr>
        <w:lastRenderedPageBreak/>
        <w:t>Hearing</w:t>
      </w:r>
    </w:p>
    <w:p w:rsidR="001613D3" w:rsidRDefault="001613D3" w:rsidP="00D75387">
      <w:pPr>
        <w:spacing w:before="160"/>
        <w:rPr>
          <w:rFonts w:ascii="Book Antiqua" w:hAnsi="Book Antiqua"/>
        </w:rPr>
      </w:pPr>
      <w:r>
        <w:rPr>
          <w:rFonts w:ascii="Book Antiqua" w:hAnsi="Book Antiqua"/>
        </w:rPr>
        <w:t>2.  Ms Benitez stated at the outset of the hearing that the Appellant was not seeking to rely on any new evidence but would rely on the previous bundle submitted on 20 June 2017.</w:t>
      </w:r>
    </w:p>
    <w:p w:rsidR="001613D3" w:rsidRDefault="001613D3" w:rsidP="00D75387">
      <w:pPr>
        <w:spacing w:before="160"/>
        <w:rPr>
          <w:rFonts w:ascii="Book Antiqua" w:hAnsi="Book Antiqua"/>
        </w:rPr>
      </w:pPr>
      <w:r>
        <w:rPr>
          <w:rFonts w:ascii="Book Antiqua" w:hAnsi="Book Antiqua"/>
        </w:rPr>
        <w:t>3. I heard evidence from the Sponsor, with the assistance of a Nepali interpreter. She adopted her statement dated 9 June 2017 and</w:t>
      </w:r>
      <w:r w:rsidR="008F509B">
        <w:rPr>
          <w:rFonts w:ascii="Book Antiqua" w:hAnsi="Book Antiqua"/>
        </w:rPr>
        <w:t xml:space="preserve"> her previous undated witness statement and</w:t>
      </w:r>
      <w:r>
        <w:rPr>
          <w:rFonts w:ascii="Book Antiqua" w:hAnsi="Book Antiqua"/>
        </w:rPr>
        <w:t xml:space="preserve"> confirmed that she cannot read or write in Nepali and is illiterate. Evidence was submitted of a visit to the Appellant on 21 March 2018. The Sponsor stated that her daughter lives close to Pokhara in </w:t>
      </w:r>
      <w:proofErr w:type="spellStart"/>
      <w:r>
        <w:rPr>
          <w:rFonts w:ascii="Book Antiqua" w:hAnsi="Book Antiqua"/>
        </w:rPr>
        <w:t>Bheg</w:t>
      </w:r>
      <w:proofErr w:type="spellEnd"/>
      <w:r>
        <w:rPr>
          <w:rFonts w:ascii="Book Antiqua" w:hAnsi="Book Antiqua"/>
        </w:rPr>
        <w:t xml:space="preserve"> </w:t>
      </w:r>
      <w:proofErr w:type="spellStart"/>
      <w:r>
        <w:rPr>
          <w:rFonts w:ascii="Book Antiqua" w:hAnsi="Book Antiqua"/>
        </w:rPr>
        <w:t>Khola</w:t>
      </w:r>
      <w:proofErr w:type="spellEnd"/>
      <w:r>
        <w:rPr>
          <w:rFonts w:ascii="Book Antiqua" w:hAnsi="Book Antiqua"/>
        </w:rPr>
        <w:t>. She is living alone and she is not working. Her rent, bills and food are paid from money she sends. The Sponsor said that the purpose of her visit to Nepal was to see her daughter and that she stayed with her. The Sponsor confirmed that she also stayed with her daughter on her three other visits to Nepal.</w:t>
      </w:r>
    </w:p>
    <w:p w:rsidR="006C47CF" w:rsidRDefault="006C47CF" w:rsidP="00D75387">
      <w:pPr>
        <w:spacing w:before="160"/>
        <w:rPr>
          <w:rFonts w:ascii="Book Antiqua" w:hAnsi="Book Antiqua"/>
        </w:rPr>
      </w:pPr>
      <w:r>
        <w:rPr>
          <w:rFonts w:ascii="Book Antiqua" w:hAnsi="Book Antiqua"/>
        </w:rPr>
        <w:t>4</w:t>
      </w:r>
      <w:r w:rsidR="001613D3">
        <w:rPr>
          <w:rFonts w:ascii="Book Antiqua" w:hAnsi="Book Antiqua"/>
        </w:rPr>
        <w:t>. The Sponsor confirmed that she has some money transfer receipts and that she sent money every month to Nepal. The Sponsor also said that she took some money with her 200,000 rupees  - over £1000, when she visited, for food and other things. She said that she spoke to her daughter every day on the phone. The Sponsor said that they talked about family matters and the Appellant asks her when is she coming to the United Kingdom. The Sponsor was asked how the Appellant feels about being separated from her</w:t>
      </w:r>
      <w:r>
        <w:rPr>
          <w:rFonts w:ascii="Book Antiqua" w:hAnsi="Book Antiqua"/>
        </w:rPr>
        <w:t xml:space="preserve"> and she replied that her daughter wants her company and that they </w:t>
      </w:r>
      <w:r w:rsidR="001613D3">
        <w:rPr>
          <w:rFonts w:ascii="Book Antiqua" w:hAnsi="Book Antiqua"/>
        </w:rPr>
        <w:t xml:space="preserve">want to talk together and stay together. </w:t>
      </w:r>
      <w:r>
        <w:rPr>
          <w:rFonts w:ascii="Book Antiqua" w:hAnsi="Book Antiqua"/>
        </w:rPr>
        <w:t xml:space="preserve">She said that she felt very hopeless about her daughter being in Nepal. </w:t>
      </w:r>
    </w:p>
    <w:p w:rsidR="001613D3" w:rsidRDefault="006C47CF" w:rsidP="00D75387">
      <w:pPr>
        <w:spacing w:before="160"/>
        <w:rPr>
          <w:rFonts w:ascii="Book Antiqua" w:hAnsi="Book Antiqua"/>
        </w:rPr>
      </w:pPr>
      <w:r>
        <w:rPr>
          <w:rFonts w:ascii="Book Antiqua" w:hAnsi="Book Antiqua"/>
        </w:rPr>
        <w:t xml:space="preserve">5. The Sponsor was asked why she applied for her daughter to come to the United Kingdom and not her son, </w:t>
      </w:r>
      <w:proofErr w:type="spellStart"/>
      <w:r w:rsidR="001613D3">
        <w:rPr>
          <w:rFonts w:ascii="Book Antiqua" w:hAnsi="Book Antiqua"/>
        </w:rPr>
        <w:t>Tulprasad</w:t>
      </w:r>
      <w:proofErr w:type="spellEnd"/>
      <w:r w:rsidR="00D75387">
        <w:rPr>
          <w:rFonts w:ascii="Book Antiqua" w:hAnsi="Book Antiqua"/>
        </w:rPr>
        <w:t>,</w:t>
      </w:r>
      <w:r w:rsidR="001613D3">
        <w:rPr>
          <w:rFonts w:ascii="Book Antiqua" w:hAnsi="Book Antiqua"/>
        </w:rPr>
        <w:t xml:space="preserve"> </w:t>
      </w:r>
      <w:r>
        <w:rPr>
          <w:rFonts w:ascii="Book Antiqua" w:hAnsi="Book Antiqua"/>
        </w:rPr>
        <w:t>to which she replied that it was difficult for h</w:t>
      </w:r>
      <w:r w:rsidR="001613D3">
        <w:rPr>
          <w:rFonts w:ascii="Book Antiqua" w:hAnsi="Book Antiqua"/>
        </w:rPr>
        <w:t>e</w:t>
      </w:r>
      <w:r>
        <w:rPr>
          <w:rFonts w:ascii="Book Antiqua" w:hAnsi="Book Antiqua"/>
        </w:rPr>
        <w:t>r to obtain and so she decided to apply for her daughter first and later her</w:t>
      </w:r>
      <w:r w:rsidR="001613D3">
        <w:rPr>
          <w:rFonts w:ascii="Book Antiqua" w:hAnsi="Book Antiqua"/>
        </w:rPr>
        <w:t xml:space="preserve"> son.</w:t>
      </w:r>
      <w:r>
        <w:rPr>
          <w:rFonts w:ascii="Book Antiqua" w:hAnsi="Book Antiqua"/>
        </w:rPr>
        <w:t xml:space="preserve"> When asked why she chose her daughter first s</w:t>
      </w:r>
      <w:r w:rsidR="001613D3">
        <w:rPr>
          <w:rFonts w:ascii="Book Antiqua" w:hAnsi="Book Antiqua"/>
        </w:rPr>
        <w:t xml:space="preserve">he </w:t>
      </w:r>
      <w:r>
        <w:rPr>
          <w:rFonts w:ascii="Book Antiqua" w:hAnsi="Book Antiqua"/>
        </w:rPr>
        <w:t xml:space="preserve">replied that the Appellant is the closest one and that she </w:t>
      </w:r>
      <w:r w:rsidR="001613D3">
        <w:rPr>
          <w:rFonts w:ascii="Book Antiqua" w:hAnsi="Book Antiqua"/>
        </w:rPr>
        <w:t>love</w:t>
      </w:r>
      <w:r>
        <w:rPr>
          <w:rFonts w:ascii="Book Antiqua" w:hAnsi="Book Antiqua"/>
        </w:rPr>
        <w:t xml:space="preserve">d her too much, </w:t>
      </w:r>
      <w:r w:rsidR="00D75387">
        <w:rPr>
          <w:rFonts w:ascii="Book Antiqua" w:hAnsi="Book Antiqua"/>
        </w:rPr>
        <w:t>although</w:t>
      </w:r>
      <w:r>
        <w:rPr>
          <w:rFonts w:ascii="Book Antiqua" w:hAnsi="Book Antiqua"/>
        </w:rPr>
        <w:t xml:space="preserve"> she loves her</w:t>
      </w:r>
      <w:r w:rsidR="001613D3">
        <w:rPr>
          <w:rFonts w:ascii="Book Antiqua" w:hAnsi="Book Antiqua"/>
        </w:rPr>
        <w:t xml:space="preserve"> son also.</w:t>
      </w:r>
      <w:r>
        <w:rPr>
          <w:rFonts w:ascii="Book Antiqua" w:hAnsi="Book Antiqua"/>
        </w:rPr>
        <w:t xml:space="preserve"> She said that her last visit had not been too long, </w:t>
      </w:r>
      <w:r w:rsidR="001613D3">
        <w:rPr>
          <w:rFonts w:ascii="Book Antiqua" w:hAnsi="Book Antiqua"/>
        </w:rPr>
        <w:t>around 2 months.</w:t>
      </w:r>
      <w:r>
        <w:rPr>
          <w:rFonts w:ascii="Book Antiqua" w:hAnsi="Book Antiqua"/>
        </w:rPr>
        <w:t xml:space="preserve"> The Sponsor’s passport was handed up, which showed that she had entered Nepal on 21 March 20</w:t>
      </w:r>
      <w:r w:rsidR="001613D3">
        <w:rPr>
          <w:rFonts w:ascii="Book Antiqua" w:hAnsi="Book Antiqua"/>
        </w:rPr>
        <w:t xml:space="preserve">18 and exited </w:t>
      </w:r>
      <w:r>
        <w:rPr>
          <w:rFonts w:ascii="Book Antiqua" w:hAnsi="Book Antiqua"/>
        </w:rPr>
        <w:t>on 17 May 20</w:t>
      </w:r>
      <w:r w:rsidR="001613D3">
        <w:rPr>
          <w:rFonts w:ascii="Book Antiqua" w:hAnsi="Book Antiqua"/>
        </w:rPr>
        <w:t>18.</w:t>
      </w:r>
    </w:p>
    <w:p w:rsidR="001613D3" w:rsidRDefault="006C47CF" w:rsidP="00D75387">
      <w:pPr>
        <w:spacing w:before="160"/>
        <w:rPr>
          <w:rFonts w:ascii="Book Antiqua" w:hAnsi="Book Antiqua"/>
        </w:rPr>
      </w:pPr>
      <w:r>
        <w:rPr>
          <w:rFonts w:ascii="Book Antiqua" w:hAnsi="Book Antiqua"/>
        </w:rPr>
        <w:t>6. In cross-</w:t>
      </w:r>
      <w:r w:rsidR="001613D3">
        <w:rPr>
          <w:rFonts w:ascii="Book Antiqua" w:hAnsi="Book Antiqua"/>
        </w:rPr>
        <w:t>examination</w:t>
      </w:r>
      <w:r>
        <w:rPr>
          <w:rFonts w:ascii="Book Antiqua" w:hAnsi="Book Antiqua"/>
        </w:rPr>
        <w:t xml:space="preserve"> the Sponsor confirmed that she had stayed in </w:t>
      </w:r>
      <w:proofErr w:type="spellStart"/>
      <w:r>
        <w:rPr>
          <w:rFonts w:ascii="Book Antiqua" w:hAnsi="Book Antiqua"/>
        </w:rPr>
        <w:t>Bheg</w:t>
      </w:r>
      <w:proofErr w:type="spellEnd"/>
      <w:r>
        <w:rPr>
          <w:rFonts w:ascii="Book Antiqua" w:hAnsi="Book Antiqua"/>
        </w:rPr>
        <w:t xml:space="preserve"> </w:t>
      </w:r>
      <w:proofErr w:type="spellStart"/>
      <w:r>
        <w:rPr>
          <w:rFonts w:ascii="Book Antiqua" w:hAnsi="Book Antiqua"/>
        </w:rPr>
        <w:t>Khola</w:t>
      </w:r>
      <w:proofErr w:type="spellEnd"/>
      <w:r>
        <w:rPr>
          <w:rFonts w:ascii="Book Antiqua" w:hAnsi="Book Antiqua"/>
        </w:rPr>
        <w:t xml:space="preserve"> on her last visit and on previous occasions. She clarified that the name of the village is </w:t>
      </w:r>
      <w:proofErr w:type="spellStart"/>
      <w:r>
        <w:rPr>
          <w:rFonts w:ascii="Book Antiqua" w:hAnsi="Book Antiqua"/>
        </w:rPr>
        <w:t>Myagdi</w:t>
      </w:r>
      <w:proofErr w:type="spellEnd"/>
      <w:r>
        <w:rPr>
          <w:rFonts w:ascii="Book Antiqua" w:hAnsi="Book Antiqua"/>
        </w:rPr>
        <w:t xml:space="preserve">, known as </w:t>
      </w:r>
      <w:proofErr w:type="spellStart"/>
      <w:r>
        <w:rPr>
          <w:rFonts w:ascii="Book Antiqua" w:hAnsi="Book Antiqua"/>
        </w:rPr>
        <w:t>Myafdi</w:t>
      </w:r>
      <w:proofErr w:type="spellEnd"/>
      <w:r>
        <w:rPr>
          <w:rFonts w:ascii="Book Antiqua" w:hAnsi="Book Antiqua"/>
        </w:rPr>
        <w:t xml:space="preserve"> </w:t>
      </w:r>
      <w:proofErr w:type="spellStart"/>
      <w:r>
        <w:rPr>
          <w:rFonts w:ascii="Book Antiqua" w:hAnsi="Book Antiqua"/>
        </w:rPr>
        <w:t>Khola</w:t>
      </w:r>
      <w:proofErr w:type="spellEnd"/>
      <w:r>
        <w:rPr>
          <w:rFonts w:ascii="Book Antiqua" w:hAnsi="Book Antiqua"/>
        </w:rPr>
        <w:t>. She said that the family owns the property where he</w:t>
      </w:r>
      <w:r w:rsidR="001613D3">
        <w:rPr>
          <w:rFonts w:ascii="Book Antiqua" w:hAnsi="Book Antiqua"/>
        </w:rPr>
        <w:t>r daught</w:t>
      </w:r>
      <w:r>
        <w:rPr>
          <w:rFonts w:ascii="Book Antiqua" w:hAnsi="Book Antiqua"/>
        </w:rPr>
        <w:t xml:space="preserve">er lives; that it is a small place and they all </w:t>
      </w:r>
      <w:r w:rsidR="001613D3">
        <w:rPr>
          <w:rFonts w:ascii="Book Antiqua" w:hAnsi="Book Antiqua"/>
        </w:rPr>
        <w:t>used to live toget</w:t>
      </w:r>
      <w:r>
        <w:rPr>
          <w:rFonts w:ascii="Book Antiqua" w:hAnsi="Book Antiqua"/>
        </w:rPr>
        <w:t xml:space="preserve">her there. The Sponsor said that </w:t>
      </w:r>
      <w:proofErr w:type="spellStart"/>
      <w:r>
        <w:rPr>
          <w:rFonts w:ascii="Book Antiqua" w:hAnsi="Book Antiqua"/>
        </w:rPr>
        <w:t>Tulprasad</w:t>
      </w:r>
      <w:proofErr w:type="spellEnd"/>
      <w:r>
        <w:rPr>
          <w:rFonts w:ascii="Book Antiqua" w:hAnsi="Book Antiqua"/>
        </w:rPr>
        <w:t xml:space="preserve"> lives </w:t>
      </w:r>
      <w:r w:rsidR="001613D3">
        <w:rPr>
          <w:rFonts w:ascii="Book Antiqua" w:hAnsi="Book Antiqua"/>
        </w:rPr>
        <w:t xml:space="preserve">in a separate place </w:t>
      </w:r>
      <w:r>
        <w:rPr>
          <w:rFonts w:ascii="Book Antiqua" w:hAnsi="Book Antiqua"/>
        </w:rPr>
        <w:t>in Nepal and</w:t>
      </w:r>
      <w:r w:rsidR="001613D3">
        <w:rPr>
          <w:rFonts w:ascii="Book Antiqua" w:hAnsi="Book Antiqua"/>
        </w:rPr>
        <w:t xml:space="preserve"> he has</w:t>
      </w:r>
      <w:r>
        <w:rPr>
          <w:rFonts w:ascii="Book Antiqua" w:hAnsi="Book Antiqua"/>
        </w:rPr>
        <w:t xml:space="preserve"> no</w:t>
      </w:r>
      <w:r w:rsidR="001613D3">
        <w:rPr>
          <w:rFonts w:ascii="Book Antiqua" w:hAnsi="Book Antiqua"/>
        </w:rPr>
        <w:t xml:space="preserve">t been to any other foreign countries. </w:t>
      </w:r>
      <w:r>
        <w:rPr>
          <w:rFonts w:ascii="Book Antiqua" w:hAnsi="Book Antiqua"/>
        </w:rPr>
        <w:t xml:space="preserve">The Sponsor said that she wanted her </w:t>
      </w:r>
      <w:r w:rsidR="001613D3">
        <w:rPr>
          <w:rFonts w:ascii="Book Antiqua" w:hAnsi="Book Antiqua"/>
        </w:rPr>
        <w:t xml:space="preserve">daughter </w:t>
      </w:r>
      <w:r>
        <w:rPr>
          <w:rFonts w:ascii="Book Antiqua" w:hAnsi="Book Antiqua"/>
        </w:rPr>
        <w:t>to be here to look after h</w:t>
      </w:r>
      <w:r w:rsidR="001613D3">
        <w:rPr>
          <w:rFonts w:ascii="Book Antiqua" w:hAnsi="Book Antiqua"/>
        </w:rPr>
        <w:t>e</w:t>
      </w:r>
      <w:r>
        <w:rPr>
          <w:rFonts w:ascii="Book Antiqua" w:hAnsi="Book Antiqua"/>
        </w:rPr>
        <w:t>r because she</w:t>
      </w:r>
      <w:r w:rsidR="001613D3">
        <w:rPr>
          <w:rFonts w:ascii="Book Antiqua" w:hAnsi="Book Antiqua"/>
        </w:rPr>
        <w:t xml:space="preserve"> need</w:t>
      </w:r>
      <w:r>
        <w:rPr>
          <w:rFonts w:ascii="Book Antiqua" w:hAnsi="Book Antiqua"/>
        </w:rPr>
        <w:t>s</w:t>
      </w:r>
      <w:r w:rsidR="001613D3">
        <w:rPr>
          <w:rFonts w:ascii="Book Antiqua" w:hAnsi="Book Antiqua"/>
        </w:rPr>
        <w:t xml:space="preserve"> medicine so</w:t>
      </w:r>
      <w:r>
        <w:rPr>
          <w:rFonts w:ascii="Book Antiqua" w:hAnsi="Book Antiqua"/>
        </w:rPr>
        <w:t>metimes for medical conditions and she can help h</w:t>
      </w:r>
      <w:r w:rsidR="001613D3">
        <w:rPr>
          <w:rFonts w:ascii="Book Antiqua" w:hAnsi="Book Antiqua"/>
        </w:rPr>
        <w:t>e</w:t>
      </w:r>
      <w:r>
        <w:rPr>
          <w:rFonts w:ascii="Book Antiqua" w:hAnsi="Book Antiqua"/>
        </w:rPr>
        <w:t>r</w:t>
      </w:r>
      <w:r w:rsidR="001613D3">
        <w:rPr>
          <w:rFonts w:ascii="Book Antiqua" w:hAnsi="Book Antiqua"/>
        </w:rPr>
        <w:t>.</w:t>
      </w:r>
      <w:r>
        <w:rPr>
          <w:rFonts w:ascii="Book Antiqua" w:hAnsi="Book Antiqua"/>
        </w:rPr>
        <w:t xml:space="preserve"> She confirmed that her d</w:t>
      </w:r>
      <w:r w:rsidR="001613D3">
        <w:rPr>
          <w:rFonts w:ascii="Book Antiqua" w:hAnsi="Book Antiqua"/>
        </w:rPr>
        <w:t>aug</w:t>
      </w:r>
      <w:r>
        <w:rPr>
          <w:rFonts w:ascii="Book Antiqua" w:hAnsi="Book Antiqua"/>
        </w:rPr>
        <w:t xml:space="preserve">hter is not married. Mr </w:t>
      </w:r>
      <w:proofErr w:type="spellStart"/>
      <w:r>
        <w:rPr>
          <w:rFonts w:ascii="Book Antiqua" w:hAnsi="Book Antiqua"/>
        </w:rPr>
        <w:t>Tufan</w:t>
      </w:r>
      <w:proofErr w:type="spellEnd"/>
      <w:r>
        <w:rPr>
          <w:rFonts w:ascii="Book Antiqua" w:hAnsi="Book Antiqua"/>
        </w:rPr>
        <w:t xml:space="preserve"> put to the Sponsor that a document produced as</w:t>
      </w:r>
      <w:r w:rsidR="001613D3">
        <w:rPr>
          <w:rFonts w:ascii="Book Antiqua" w:hAnsi="Book Antiqua"/>
        </w:rPr>
        <w:t xml:space="preserve"> verification of </w:t>
      </w:r>
      <w:r>
        <w:rPr>
          <w:rFonts w:ascii="Book Antiqua" w:hAnsi="Book Antiqua"/>
        </w:rPr>
        <w:t xml:space="preserve">the </w:t>
      </w:r>
      <w:r w:rsidR="001613D3">
        <w:rPr>
          <w:rFonts w:ascii="Book Antiqua" w:hAnsi="Book Antiqua"/>
        </w:rPr>
        <w:t xml:space="preserve">certificate of relationship </w:t>
      </w:r>
      <w:r>
        <w:rPr>
          <w:rFonts w:ascii="Book Antiqua" w:hAnsi="Book Antiqua"/>
        </w:rPr>
        <w:t>refers</w:t>
      </w:r>
      <w:r w:rsidR="001613D3">
        <w:rPr>
          <w:rFonts w:ascii="Book Antiqua" w:hAnsi="Book Antiqua"/>
        </w:rPr>
        <w:t xml:space="preserve"> to </w:t>
      </w:r>
      <w:r>
        <w:rPr>
          <w:rFonts w:ascii="Book Antiqua" w:hAnsi="Book Antiqua"/>
        </w:rPr>
        <w:t xml:space="preserve">the Appellant as “Mrs” </w:t>
      </w:r>
      <w:r w:rsidR="001613D3">
        <w:rPr>
          <w:rFonts w:ascii="Book Antiqua" w:hAnsi="Book Antiqua"/>
        </w:rPr>
        <w:t xml:space="preserve">which suggests that she is </w:t>
      </w:r>
      <w:r w:rsidR="001613D3">
        <w:rPr>
          <w:rFonts w:ascii="Book Antiqua" w:hAnsi="Book Antiqua"/>
        </w:rPr>
        <w:lastRenderedPageBreak/>
        <w:t xml:space="preserve">married. </w:t>
      </w:r>
      <w:r>
        <w:rPr>
          <w:rFonts w:ascii="Book Antiqua" w:hAnsi="Book Antiqua"/>
        </w:rPr>
        <w:t>The Sponsor said that the person</w:t>
      </w:r>
      <w:r w:rsidR="001613D3">
        <w:rPr>
          <w:rFonts w:ascii="Book Antiqua" w:hAnsi="Book Antiqua"/>
        </w:rPr>
        <w:t xml:space="preserve"> who has written </w:t>
      </w:r>
      <w:r>
        <w:rPr>
          <w:rFonts w:ascii="Book Antiqua" w:hAnsi="Book Antiqua"/>
        </w:rPr>
        <w:t>this may have written it wrong because the Appellant</w:t>
      </w:r>
      <w:r w:rsidR="001613D3">
        <w:rPr>
          <w:rFonts w:ascii="Book Antiqua" w:hAnsi="Book Antiqua"/>
        </w:rPr>
        <w:t xml:space="preserve"> is not married. </w:t>
      </w:r>
    </w:p>
    <w:p w:rsidR="001613D3" w:rsidRDefault="006C47CF" w:rsidP="00D75387">
      <w:pPr>
        <w:spacing w:before="160"/>
        <w:rPr>
          <w:rFonts w:ascii="Book Antiqua" w:hAnsi="Book Antiqua"/>
        </w:rPr>
      </w:pPr>
      <w:r>
        <w:rPr>
          <w:rFonts w:ascii="Book Antiqua" w:hAnsi="Book Antiqua"/>
        </w:rPr>
        <w:t>7. The Sponsor was asked if she received p</w:t>
      </w:r>
      <w:r w:rsidR="001613D3">
        <w:rPr>
          <w:rFonts w:ascii="Book Antiqua" w:hAnsi="Book Antiqua"/>
        </w:rPr>
        <w:t>ensio</w:t>
      </w:r>
      <w:r w:rsidR="00095D9F">
        <w:rPr>
          <w:rFonts w:ascii="Book Antiqua" w:hAnsi="Book Antiqua"/>
        </w:rPr>
        <w:t>n credit and pension through her husband and she said that she</w:t>
      </w:r>
      <w:r w:rsidR="001613D3">
        <w:rPr>
          <w:rFonts w:ascii="Book Antiqua" w:hAnsi="Book Antiqua"/>
        </w:rPr>
        <w:t xml:space="preserve"> receive</w:t>
      </w:r>
      <w:r w:rsidR="00095D9F">
        <w:rPr>
          <w:rFonts w:ascii="Book Antiqua" w:hAnsi="Book Antiqua"/>
        </w:rPr>
        <w:t>d</w:t>
      </w:r>
      <w:r w:rsidR="001613D3">
        <w:rPr>
          <w:rFonts w:ascii="Book Antiqua" w:hAnsi="Book Antiqua"/>
        </w:rPr>
        <w:t xml:space="preserve"> benefits.</w:t>
      </w:r>
      <w:r w:rsidR="00095D9F">
        <w:rPr>
          <w:rFonts w:ascii="Book Antiqua" w:hAnsi="Book Antiqua"/>
        </w:rPr>
        <w:t xml:space="preserve"> Ms Benitez informed me that the Sponsor</w:t>
      </w:r>
      <w:r w:rsidR="001613D3">
        <w:rPr>
          <w:rFonts w:ascii="Book Antiqua" w:hAnsi="Book Antiqua"/>
        </w:rPr>
        <w:t xml:space="preserve"> should be receiving widow’s </w:t>
      </w:r>
      <w:r w:rsidR="00095D9F">
        <w:rPr>
          <w:rFonts w:ascii="Book Antiqua" w:hAnsi="Book Antiqua"/>
        </w:rPr>
        <w:t>pension but doesn’t seem to be. She said that her daughter did not work and had never worked. She said that in addition to f</w:t>
      </w:r>
      <w:r w:rsidR="001613D3">
        <w:rPr>
          <w:rFonts w:ascii="Book Antiqua" w:hAnsi="Book Antiqua"/>
        </w:rPr>
        <w:t xml:space="preserve">inancial support </w:t>
      </w:r>
      <w:r w:rsidR="00095D9F">
        <w:rPr>
          <w:rFonts w:ascii="Book Antiqua" w:hAnsi="Book Antiqua"/>
        </w:rPr>
        <w:t xml:space="preserve">she did provide emotional support in that she </w:t>
      </w:r>
      <w:r w:rsidR="001613D3">
        <w:rPr>
          <w:rFonts w:ascii="Book Antiqua" w:hAnsi="Book Antiqua"/>
        </w:rPr>
        <w:t>love</w:t>
      </w:r>
      <w:r w:rsidR="00095D9F">
        <w:rPr>
          <w:rFonts w:ascii="Book Antiqua" w:hAnsi="Book Antiqua"/>
        </w:rPr>
        <w:t xml:space="preserve">d her very much and </w:t>
      </w:r>
      <w:r w:rsidR="001613D3">
        <w:rPr>
          <w:rFonts w:ascii="Book Antiqua" w:hAnsi="Book Antiqua"/>
        </w:rPr>
        <w:t>he</w:t>
      </w:r>
      <w:r w:rsidR="00095D9F">
        <w:rPr>
          <w:rFonts w:ascii="Book Antiqua" w:hAnsi="Book Antiqua"/>
        </w:rPr>
        <w:t>r daughter loves h</w:t>
      </w:r>
      <w:r w:rsidR="001613D3">
        <w:rPr>
          <w:rFonts w:ascii="Book Antiqua" w:hAnsi="Book Antiqua"/>
        </w:rPr>
        <w:t>e</w:t>
      </w:r>
      <w:r w:rsidR="00095D9F">
        <w:rPr>
          <w:rFonts w:ascii="Book Antiqua" w:hAnsi="Book Antiqua"/>
        </w:rPr>
        <w:t>r</w:t>
      </w:r>
      <w:r w:rsidR="001613D3">
        <w:rPr>
          <w:rFonts w:ascii="Book Antiqua" w:hAnsi="Book Antiqua"/>
        </w:rPr>
        <w:t xml:space="preserve"> as well. </w:t>
      </w:r>
    </w:p>
    <w:p w:rsidR="001613D3" w:rsidRDefault="00095D9F" w:rsidP="00D75387">
      <w:pPr>
        <w:spacing w:before="160"/>
        <w:rPr>
          <w:rFonts w:ascii="Book Antiqua" w:hAnsi="Book Antiqua"/>
        </w:rPr>
      </w:pPr>
      <w:r>
        <w:rPr>
          <w:rFonts w:ascii="Book Antiqua" w:hAnsi="Book Antiqua"/>
        </w:rPr>
        <w:t>8. There was n</w:t>
      </w:r>
      <w:r w:rsidR="001613D3">
        <w:rPr>
          <w:rFonts w:ascii="Book Antiqua" w:hAnsi="Book Antiqua"/>
        </w:rPr>
        <w:t>o re-examination</w:t>
      </w:r>
      <w:r>
        <w:rPr>
          <w:rFonts w:ascii="Book Antiqua" w:hAnsi="Book Antiqua"/>
        </w:rPr>
        <w:t xml:space="preserve"> or questions from me.</w:t>
      </w:r>
    </w:p>
    <w:p w:rsidR="001613D3" w:rsidRDefault="00095D9F" w:rsidP="00D75387">
      <w:pPr>
        <w:spacing w:before="160"/>
        <w:rPr>
          <w:rFonts w:ascii="Book Antiqua" w:hAnsi="Book Antiqua"/>
        </w:rPr>
      </w:pPr>
      <w:r>
        <w:rPr>
          <w:rFonts w:ascii="Book Antiqua" w:hAnsi="Book Antiqua"/>
        </w:rPr>
        <w:t>9. In his s</w:t>
      </w:r>
      <w:r w:rsidR="001613D3">
        <w:rPr>
          <w:rFonts w:ascii="Book Antiqua" w:hAnsi="Book Antiqua"/>
        </w:rPr>
        <w:t>ubmissions</w:t>
      </w:r>
      <w:r>
        <w:rPr>
          <w:rFonts w:ascii="Book Antiqua" w:hAnsi="Book Antiqua"/>
        </w:rPr>
        <w:t xml:space="preserve">, Mr </w:t>
      </w:r>
      <w:proofErr w:type="spellStart"/>
      <w:r>
        <w:rPr>
          <w:rFonts w:ascii="Book Antiqua" w:hAnsi="Book Antiqua"/>
        </w:rPr>
        <w:t>Tufan</w:t>
      </w:r>
      <w:proofErr w:type="spellEnd"/>
      <w:r>
        <w:rPr>
          <w:rFonts w:ascii="Book Antiqua" w:hAnsi="Book Antiqua"/>
        </w:rPr>
        <w:t xml:space="preserve"> stated that this </w:t>
      </w:r>
      <w:r w:rsidR="001613D3">
        <w:rPr>
          <w:rFonts w:ascii="Book Antiqua" w:hAnsi="Book Antiqua"/>
        </w:rPr>
        <w:t>is a slightly unusual case in that the Gurkh</w:t>
      </w:r>
      <w:r>
        <w:rPr>
          <w:rFonts w:ascii="Book Antiqua" w:hAnsi="Book Antiqua"/>
        </w:rPr>
        <w:t>a soldier had died before the entry clearance application was made and</w:t>
      </w:r>
      <w:r w:rsidR="001613D3">
        <w:rPr>
          <w:rFonts w:ascii="Book Antiqua" w:hAnsi="Book Antiqua"/>
        </w:rPr>
        <w:t xml:space="preserve"> so</w:t>
      </w:r>
      <w:r>
        <w:rPr>
          <w:rFonts w:ascii="Book Antiqua" w:hAnsi="Book Antiqua"/>
        </w:rPr>
        <w:t xml:space="preserve"> the</w:t>
      </w:r>
      <w:r w:rsidR="001613D3">
        <w:rPr>
          <w:rFonts w:ascii="Book Antiqua" w:hAnsi="Book Antiqua"/>
        </w:rPr>
        <w:t xml:space="preserve"> Appellant is </w:t>
      </w:r>
      <w:r>
        <w:rPr>
          <w:rFonts w:ascii="Book Antiqua" w:hAnsi="Book Antiqua"/>
        </w:rPr>
        <w:t xml:space="preserve">a dependent of a dependent. He accepted </w:t>
      </w:r>
      <w:r w:rsidR="001613D3">
        <w:rPr>
          <w:rFonts w:ascii="Book Antiqua" w:hAnsi="Book Antiqua"/>
        </w:rPr>
        <w:t>if Art</w:t>
      </w:r>
      <w:r>
        <w:rPr>
          <w:rFonts w:ascii="Book Antiqua" w:hAnsi="Book Antiqua"/>
        </w:rPr>
        <w:t>icle</w:t>
      </w:r>
      <w:r w:rsidR="001613D3">
        <w:rPr>
          <w:rFonts w:ascii="Book Antiqua" w:hAnsi="Book Antiqua"/>
        </w:rPr>
        <w:t xml:space="preserve"> 8(1) is engaged </w:t>
      </w:r>
      <w:r>
        <w:rPr>
          <w:rFonts w:ascii="Book Antiqua" w:hAnsi="Book Antiqua"/>
        </w:rPr>
        <w:t xml:space="preserve">then </w:t>
      </w:r>
      <w:r w:rsidR="001613D3">
        <w:rPr>
          <w:rFonts w:ascii="Book Antiqua" w:hAnsi="Book Antiqua"/>
        </w:rPr>
        <w:t>Art</w:t>
      </w:r>
      <w:r>
        <w:rPr>
          <w:rFonts w:ascii="Book Antiqua" w:hAnsi="Book Antiqua"/>
        </w:rPr>
        <w:t>icle</w:t>
      </w:r>
      <w:r w:rsidR="001613D3">
        <w:rPr>
          <w:rFonts w:ascii="Book Antiqua" w:hAnsi="Book Antiqua"/>
        </w:rPr>
        <w:t xml:space="preserve"> 8(2) falls in the A</w:t>
      </w:r>
      <w:r>
        <w:rPr>
          <w:rFonts w:ascii="Book Antiqua" w:hAnsi="Book Antiqua"/>
        </w:rPr>
        <w:t>ppellant</w:t>
      </w:r>
      <w:r w:rsidR="001613D3">
        <w:rPr>
          <w:rFonts w:ascii="Book Antiqua" w:hAnsi="Book Antiqua"/>
        </w:rPr>
        <w:t>’s favour.</w:t>
      </w:r>
      <w:r w:rsidR="00D75387">
        <w:rPr>
          <w:rFonts w:ascii="Book Antiqua" w:hAnsi="Book Antiqua"/>
        </w:rPr>
        <w:t xml:space="preserve"> </w:t>
      </w:r>
      <w:r>
        <w:rPr>
          <w:rFonts w:ascii="Book Antiqua" w:hAnsi="Book Antiqua"/>
        </w:rPr>
        <w:t>He submitted that the i</w:t>
      </w:r>
      <w:r w:rsidR="001613D3">
        <w:rPr>
          <w:rFonts w:ascii="Book Antiqua" w:hAnsi="Book Antiqua"/>
        </w:rPr>
        <w:t>ssue is whether the support this Sponsor provides is real, committed a</w:t>
      </w:r>
      <w:r>
        <w:rPr>
          <w:rFonts w:ascii="Book Antiqua" w:hAnsi="Book Antiqua"/>
        </w:rPr>
        <w:t xml:space="preserve">nd effective </w:t>
      </w:r>
      <w:r>
        <w:rPr>
          <w:rFonts w:ascii="Book Antiqua" w:hAnsi="Book Antiqua"/>
          <w:i/>
        </w:rPr>
        <w:t>cf.</w:t>
      </w:r>
      <w:r w:rsidR="001613D3">
        <w:rPr>
          <w:rFonts w:ascii="Book Antiqua" w:hAnsi="Book Antiqua"/>
        </w:rPr>
        <w:t xml:space="preserve"> </w:t>
      </w:r>
      <w:proofErr w:type="spellStart"/>
      <w:r w:rsidR="001613D3" w:rsidRPr="00095D9F">
        <w:rPr>
          <w:rFonts w:ascii="Book Antiqua" w:hAnsi="Book Antiqua"/>
          <w:u w:val="single"/>
        </w:rPr>
        <w:t>Kugathas</w:t>
      </w:r>
      <w:proofErr w:type="spellEnd"/>
      <w:r>
        <w:rPr>
          <w:rFonts w:ascii="Book Antiqua" w:hAnsi="Book Antiqua"/>
        </w:rPr>
        <w:t xml:space="preserve"> and</w:t>
      </w:r>
      <w:r w:rsidR="001613D3" w:rsidRPr="00095D9F">
        <w:rPr>
          <w:rFonts w:ascii="Book Antiqua" w:hAnsi="Book Antiqua"/>
        </w:rPr>
        <w:t xml:space="preserve"> </w:t>
      </w:r>
      <w:r w:rsidR="001613D3" w:rsidRPr="00095D9F">
        <w:rPr>
          <w:rFonts w:ascii="Book Antiqua" w:hAnsi="Book Antiqua"/>
          <w:u w:val="single"/>
        </w:rPr>
        <w:t>Rai</w:t>
      </w:r>
      <w:r>
        <w:rPr>
          <w:rFonts w:ascii="Book Antiqua" w:hAnsi="Book Antiqua"/>
        </w:rPr>
        <w:t>. He accepted that it</w:t>
      </w:r>
      <w:r w:rsidR="001613D3">
        <w:rPr>
          <w:rFonts w:ascii="Book Antiqua" w:hAnsi="Book Antiqua"/>
        </w:rPr>
        <w:t xml:space="preserve"> appears t</w:t>
      </w:r>
      <w:r>
        <w:rPr>
          <w:rFonts w:ascii="Book Antiqua" w:hAnsi="Book Antiqua"/>
        </w:rPr>
        <w:t>here is some financial support albeit the</w:t>
      </w:r>
      <w:r w:rsidR="001613D3">
        <w:rPr>
          <w:rFonts w:ascii="Book Antiqua" w:hAnsi="Book Antiqua"/>
        </w:rPr>
        <w:t xml:space="preserve"> documents post date the decision</w:t>
      </w:r>
      <w:r>
        <w:rPr>
          <w:rFonts w:ascii="Book Antiqua" w:hAnsi="Book Antiqua"/>
        </w:rPr>
        <w:t>,</w:t>
      </w:r>
      <w:r w:rsidR="001613D3">
        <w:rPr>
          <w:rFonts w:ascii="Book Antiqua" w:hAnsi="Book Antiqua"/>
        </w:rPr>
        <w:t xml:space="preserve"> but later evidence can be taken into consideration in terms of Art</w:t>
      </w:r>
      <w:r>
        <w:rPr>
          <w:rFonts w:ascii="Book Antiqua" w:hAnsi="Book Antiqua"/>
        </w:rPr>
        <w:t>icle 8 assessment. He submitted that evidence of</w:t>
      </w:r>
      <w:r w:rsidR="001613D3">
        <w:rPr>
          <w:rFonts w:ascii="Book Antiqua" w:hAnsi="Book Antiqua"/>
        </w:rPr>
        <w:t xml:space="preserve"> financial support </w:t>
      </w:r>
      <w:r>
        <w:rPr>
          <w:rFonts w:ascii="Book Antiqua" w:hAnsi="Book Antiqua"/>
        </w:rPr>
        <w:t xml:space="preserve">is not sufficient </w:t>
      </w:r>
      <w:r>
        <w:rPr>
          <w:rFonts w:ascii="Book Antiqua" w:hAnsi="Book Antiqua"/>
          <w:i/>
        </w:rPr>
        <w:t>cf.</w:t>
      </w:r>
      <w:r w:rsidR="001613D3">
        <w:rPr>
          <w:rFonts w:ascii="Book Antiqua" w:hAnsi="Book Antiqua"/>
        </w:rPr>
        <w:t xml:space="preserve"> </w:t>
      </w:r>
      <w:r w:rsidR="001613D3" w:rsidRPr="00095D9F">
        <w:rPr>
          <w:rFonts w:ascii="Book Antiqua" w:hAnsi="Book Antiqua"/>
          <w:u w:val="single"/>
        </w:rPr>
        <w:t>AAO</w:t>
      </w:r>
      <w:r w:rsidR="001613D3">
        <w:rPr>
          <w:rFonts w:ascii="Book Antiqua" w:hAnsi="Book Antiqua"/>
        </w:rPr>
        <w:t xml:space="preserve"> </w:t>
      </w:r>
      <w:r>
        <w:rPr>
          <w:rFonts w:ascii="Book Antiqua" w:hAnsi="Book Antiqua"/>
        </w:rPr>
        <w:t xml:space="preserve">at </w:t>
      </w:r>
      <w:r w:rsidR="001613D3">
        <w:rPr>
          <w:rFonts w:ascii="Book Antiqua" w:hAnsi="Book Antiqua"/>
        </w:rPr>
        <w:t>[</w:t>
      </w:r>
      <w:r>
        <w:rPr>
          <w:rFonts w:ascii="Book Antiqua" w:hAnsi="Book Antiqua"/>
        </w:rPr>
        <w:t>35] and that what is needed to be shown is</w:t>
      </w:r>
      <w:r w:rsidR="001613D3">
        <w:rPr>
          <w:rFonts w:ascii="Book Antiqua" w:hAnsi="Book Antiqua"/>
        </w:rPr>
        <w:t xml:space="preserve"> emotional support above and beyond normal emotional dependency between adults </w:t>
      </w:r>
      <w:r>
        <w:rPr>
          <w:rFonts w:ascii="Book Antiqua" w:hAnsi="Book Antiqua"/>
        </w:rPr>
        <w:t xml:space="preserve">and that on the evidence today </w:t>
      </w:r>
      <w:r w:rsidR="001613D3">
        <w:rPr>
          <w:rFonts w:ascii="Book Antiqua" w:hAnsi="Book Antiqua"/>
        </w:rPr>
        <w:t xml:space="preserve">this does not come within the </w:t>
      </w:r>
      <w:proofErr w:type="spellStart"/>
      <w:r w:rsidR="001613D3" w:rsidRPr="00095D9F">
        <w:rPr>
          <w:rFonts w:ascii="Book Antiqua" w:hAnsi="Book Antiqua"/>
          <w:u w:val="single"/>
        </w:rPr>
        <w:t>Kugathas</w:t>
      </w:r>
      <w:proofErr w:type="spellEnd"/>
      <w:r w:rsidR="001613D3">
        <w:rPr>
          <w:rFonts w:ascii="Book Antiqua" w:hAnsi="Book Antiqua"/>
        </w:rPr>
        <w:t xml:space="preserve"> criteria for the A</w:t>
      </w:r>
      <w:r>
        <w:rPr>
          <w:rFonts w:ascii="Book Antiqua" w:hAnsi="Book Antiqua"/>
        </w:rPr>
        <w:t xml:space="preserve">ppellant to succeed and </w:t>
      </w:r>
      <w:r w:rsidR="001613D3">
        <w:rPr>
          <w:rFonts w:ascii="Book Antiqua" w:hAnsi="Book Antiqua"/>
        </w:rPr>
        <w:t>Art</w:t>
      </w:r>
      <w:r>
        <w:rPr>
          <w:rFonts w:ascii="Book Antiqua" w:hAnsi="Book Antiqua"/>
        </w:rPr>
        <w:t>icle</w:t>
      </w:r>
      <w:r w:rsidR="001613D3">
        <w:rPr>
          <w:rFonts w:ascii="Book Antiqua" w:hAnsi="Book Antiqua"/>
        </w:rPr>
        <w:t xml:space="preserve"> 8(1) </w:t>
      </w:r>
      <w:r>
        <w:rPr>
          <w:rFonts w:ascii="Book Antiqua" w:hAnsi="Book Antiqua"/>
        </w:rPr>
        <w:t xml:space="preserve">was </w:t>
      </w:r>
      <w:r w:rsidR="001613D3">
        <w:rPr>
          <w:rFonts w:ascii="Book Antiqua" w:hAnsi="Book Antiqua"/>
        </w:rPr>
        <w:t xml:space="preserve">not engaged </w:t>
      </w:r>
      <w:r>
        <w:rPr>
          <w:rFonts w:ascii="Book Antiqua" w:hAnsi="Book Antiqua"/>
        </w:rPr>
        <w:t xml:space="preserve">thus the Appellant </w:t>
      </w:r>
      <w:r w:rsidR="001613D3">
        <w:rPr>
          <w:rFonts w:ascii="Book Antiqua" w:hAnsi="Book Antiqua"/>
        </w:rPr>
        <w:t>does not come within Art</w:t>
      </w:r>
      <w:r>
        <w:rPr>
          <w:rFonts w:ascii="Book Antiqua" w:hAnsi="Book Antiqua"/>
        </w:rPr>
        <w:t>icle</w:t>
      </w:r>
      <w:r w:rsidR="001613D3">
        <w:rPr>
          <w:rFonts w:ascii="Book Antiqua" w:hAnsi="Book Antiqua"/>
        </w:rPr>
        <w:t xml:space="preserve"> 8 (2).</w:t>
      </w:r>
    </w:p>
    <w:p w:rsidR="001613D3" w:rsidRDefault="00095D9F" w:rsidP="00D75387">
      <w:pPr>
        <w:spacing w:before="160"/>
        <w:rPr>
          <w:rFonts w:ascii="Book Antiqua" w:hAnsi="Book Antiqua"/>
        </w:rPr>
      </w:pPr>
      <w:r>
        <w:rPr>
          <w:rFonts w:ascii="Book Antiqua" w:hAnsi="Book Antiqua"/>
        </w:rPr>
        <w:t xml:space="preserve">10. In her submissions, </w:t>
      </w:r>
      <w:r w:rsidR="001613D3">
        <w:rPr>
          <w:rFonts w:ascii="Book Antiqua" w:hAnsi="Book Antiqua"/>
        </w:rPr>
        <w:t>Ms Benitez</w:t>
      </w:r>
      <w:r>
        <w:rPr>
          <w:rFonts w:ascii="Book Antiqua" w:hAnsi="Book Antiqua"/>
        </w:rPr>
        <w:t xml:space="preserve"> sought to rely on the skeleton argument before the First </w:t>
      </w:r>
      <w:proofErr w:type="gramStart"/>
      <w:r>
        <w:rPr>
          <w:rFonts w:ascii="Book Antiqua" w:hAnsi="Book Antiqua"/>
        </w:rPr>
        <w:t>tier</w:t>
      </w:r>
      <w:proofErr w:type="gramEnd"/>
      <w:r>
        <w:rPr>
          <w:rFonts w:ascii="Book Antiqua" w:hAnsi="Book Antiqua"/>
        </w:rPr>
        <w:t xml:space="preserve"> Tribunal and the</w:t>
      </w:r>
      <w:r w:rsidR="001613D3">
        <w:rPr>
          <w:rFonts w:ascii="Book Antiqua" w:hAnsi="Book Antiqua"/>
        </w:rPr>
        <w:t xml:space="preserve"> specific jurispr</w:t>
      </w:r>
      <w:r>
        <w:rPr>
          <w:rFonts w:ascii="Book Antiqua" w:hAnsi="Book Antiqua"/>
        </w:rPr>
        <w:t>udence with regards to Gurkhas. She submitted that</w:t>
      </w:r>
      <w:r w:rsidR="001613D3">
        <w:rPr>
          <w:rFonts w:ascii="Book Antiqua" w:hAnsi="Book Antiqua"/>
        </w:rPr>
        <w:t xml:space="preserve"> </w:t>
      </w:r>
      <w:proofErr w:type="spellStart"/>
      <w:r w:rsidR="001613D3" w:rsidRPr="00095D9F">
        <w:rPr>
          <w:rFonts w:ascii="Book Antiqua" w:hAnsi="Book Antiqua"/>
          <w:u w:val="single"/>
        </w:rPr>
        <w:t>Kugathas</w:t>
      </w:r>
      <w:proofErr w:type="spellEnd"/>
      <w:r>
        <w:rPr>
          <w:rFonts w:ascii="Book Antiqua" w:hAnsi="Book Antiqua"/>
        </w:rPr>
        <w:t xml:space="preserve"> is displaced by this</w:t>
      </w:r>
      <w:r w:rsidR="006A44E6">
        <w:rPr>
          <w:rFonts w:ascii="Book Antiqua" w:hAnsi="Book Antiqua"/>
        </w:rPr>
        <w:t>,</w:t>
      </w:r>
      <w:r>
        <w:rPr>
          <w:rFonts w:ascii="Book Antiqua" w:hAnsi="Book Antiqua"/>
        </w:rPr>
        <w:t xml:space="preserve"> as had been accepted by the Respondent </w:t>
      </w:r>
      <w:r w:rsidR="001613D3">
        <w:rPr>
          <w:rFonts w:ascii="Book Antiqua" w:hAnsi="Book Antiqua"/>
        </w:rPr>
        <w:t xml:space="preserve">and the </w:t>
      </w:r>
      <w:r>
        <w:rPr>
          <w:rFonts w:ascii="Book Antiqua" w:hAnsi="Book Antiqua"/>
        </w:rPr>
        <w:t xml:space="preserve">relevant </w:t>
      </w:r>
      <w:r w:rsidR="001613D3">
        <w:rPr>
          <w:rFonts w:ascii="Book Antiqua" w:hAnsi="Book Antiqua"/>
        </w:rPr>
        <w:t xml:space="preserve">policy </w:t>
      </w:r>
      <w:r>
        <w:rPr>
          <w:rFonts w:ascii="Book Antiqua" w:hAnsi="Book Antiqua"/>
        </w:rPr>
        <w:t>is at</w:t>
      </w:r>
      <w:r w:rsidR="001613D3">
        <w:rPr>
          <w:rFonts w:ascii="Book Antiqua" w:hAnsi="Book Antiqua"/>
        </w:rPr>
        <w:t xml:space="preserve"> pag</w:t>
      </w:r>
      <w:r>
        <w:rPr>
          <w:rFonts w:ascii="Book Antiqua" w:hAnsi="Book Antiqua"/>
        </w:rPr>
        <w:t xml:space="preserve">e 290 of bundle of authorities </w:t>
      </w:r>
      <w:r>
        <w:rPr>
          <w:rFonts w:ascii="Book Antiqua" w:hAnsi="Book Antiqua"/>
          <w:i/>
        </w:rPr>
        <w:t>cf.</w:t>
      </w:r>
      <w:r w:rsidR="001613D3">
        <w:rPr>
          <w:rFonts w:ascii="Book Antiqua" w:hAnsi="Book Antiqua"/>
        </w:rPr>
        <w:t xml:space="preserve"> Annex K </w:t>
      </w:r>
      <w:r>
        <w:rPr>
          <w:rFonts w:ascii="Book Antiqua" w:hAnsi="Book Antiqua"/>
        </w:rPr>
        <w:t xml:space="preserve">in respect of </w:t>
      </w:r>
      <w:r w:rsidR="001613D3">
        <w:rPr>
          <w:rFonts w:ascii="Book Antiqua" w:hAnsi="Book Antiqua"/>
        </w:rPr>
        <w:t xml:space="preserve">adult children of former Gurkhas. </w:t>
      </w:r>
      <w:r>
        <w:rPr>
          <w:rFonts w:ascii="Book Antiqua" w:hAnsi="Book Antiqua"/>
        </w:rPr>
        <w:t>Ms Benitez submitted that t</w:t>
      </w:r>
      <w:r w:rsidR="001613D3">
        <w:rPr>
          <w:rFonts w:ascii="Book Antiqua" w:hAnsi="Book Antiqua"/>
        </w:rPr>
        <w:t>he conditions ar</w:t>
      </w:r>
      <w:r>
        <w:rPr>
          <w:rFonts w:ascii="Book Antiqua" w:hAnsi="Book Antiqua"/>
        </w:rPr>
        <w:t>e all satisfied except for [8] as they have been</w:t>
      </w:r>
      <w:r w:rsidR="001613D3">
        <w:rPr>
          <w:rFonts w:ascii="Book Antiqua" w:hAnsi="Book Antiqua"/>
        </w:rPr>
        <w:t xml:space="preserve"> living apart from more than 2 years. </w:t>
      </w:r>
      <w:r>
        <w:rPr>
          <w:rFonts w:ascii="Book Antiqua" w:hAnsi="Book Antiqua"/>
        </w:rPr>
        <w:t>The entry clearance a</w:t>
      </w:r>
      <w:r w:rsidR="001613D3">
        <w:rPr>
          <w:rFonts w:ascii="Book Antiqua" w:hAnsi="Book Antiqua"/>
        </w:rPr>
        <w:t xml:space="preserve">pplication </w:t>
      </w:r>
      <w:r>
        <w:rPr>
          <w:rFonts w:ascii="Book Antiqua" w:hAnsi="Book Antiqua"/>
        </w:rPr>
        <w:t xml:space="preserve">had been </w:t>
      </w:r>
      <w:r w:rsidR="001613D3">
        <w:rPr>
          <w:rFonts w:ascii="Book Antiqua" w:hAnsi="Book Antiqua"/>
        </w:rPr>
        <w:t xml:space="preserve">made </w:t>
      </w:r>
      <w:r>
        <w:rPr>
          <w:rFonts w:ascii="Book Antiqua" w:hAnsi="Book Antiqua"/>
        </w:rPr>
        <w:t>on 17 November 2015 and the</w:t>
      </w:r>
      <w:r w:rsidR="001613D3">
        <w:rPr>
          <w:rFonts w:ascii="Book Antiqua" w:hAnsi="Book Antiqua"/>
        </w:rPr>
        <w:t xml:space="preserve"> reas</w:t>
      </w:r>
      <w:r>
        <w:rPr>
          <w:rFonts w:ascii="Book Antiqua" w:hAnsi="Book Antiqua"/>
        </w:rPr>
        <w:t>on why there is a</w:t>
      </w:r>
      <w:r w:rsidR="001613D3">
        <w:rPr>
          <w:rFonts w:ascii="Book Antiqua" w:hAnsi="Book Antiqua"/>
        </w:rPr>
        <w:t xml:space="preserve"> more than 2 years separation is that the Sponsor arrived in 2010 when </w:t>
      </w:r>
      <w:r>
        <w:rPr>
          <w:rFonts w:ascii="Book Antiqua" w:hAnsi="Book Antiqua"/>
        </w:rPr>
        <w:t>her daughter was 22 and the Respondent</w:t>
      </w:r>
      <w:r w:rsidR="001613D3">
        <w:rPr>
          <w:rFonts w:ascii="Book Antiqua" w:hAnsi="Book Antiqua"/>
        </w:rPr>
        <w:t xml:space="preserve"> had no policy in place at that time for children over 18 to join their parents.</w:t>
      </w:r>
      <w:r>
        <w:rPr>
          <w:rFonts w:ascii="Book Antiqua" w:hAnsi="Book Antiqua"/>
        </w:rPr>
        <w:t xml:space="preserve"> T</w:t>
      </w:r>
      <w:r w:rsidR="001613D3">
        <w:rPr>
          <w:rFonts w:ascii="Book Antiqua" w:hAnsi="Book Antiqua"/>
        </w:rPr>
        <w:t>he policy came into force</w:t>
      </w:r>
      <w:r>
        <w:rPr>
          <w:rFonts w:ascii="Book Antiqua" w:hAnsi="Book Antiqua"/>
        </w:rPr>
        <w:t xml:space="preserve"> on 5 January 2015 thus there was no </w:t>
      </w:r>
      <w:r w:rsidR="001613D3">
        <w:rPr>
          <w:rFonts w:ascii="Book Antiqua" w:hAnsi="Book Antiqua"/>
        </w:rPr>
        <w:t>policy to cover the A</w:t>
      </w:r>
      <w:r w:rsidR="006A44E6">
        <w:rPr>
          <w:rFonts w:ascii="Book Antiqua" w:hAnsi="Book Antiqua"/>
        </w:rPr>
        <w:t>ppellant</w:t>
      </w:r>
      <w:r w:rsidR="001613D3">
        <w:rPr>
          <w:rFonts w:ascii="Book Antiqua" w:hAnsi="Book Antiqua"/>
        </w:rPr>
        <w:t xml:space="preserve">’s circumstances at </w:t>
      </w:r>
      <w:r w:rsidR="006A44E6">
        <w:rPr>
          <w:rFonts w:ascii="Book Antiqua" w:hAnsi="Book Antiqua"/>
        </w:rPr>
        <w:t xml:space="preserve">the </w:t>
      </w:r>
      <w:r w:rsidR="001613D3">
        <w:rPr>
          <w:rFonts w:ascii="Book Antiqua" w:hAnsi="Book Antiqua"/>
        </w:rPr>
        <w:t>earlier time.</w:t>
      </w:r>
    </w:p>
    <w:p w:rsidR="001613D3" w:rsidRDefault="006A44E6" w:rsidP="00D75387">
      <w:pPr>
        <w:spacing w:before="160"/>
        <w:rPr>
          <w:rFonts w:ascii="Book Antiqua" w:hAnsi="Book Antiqua"/>
        </w:rPr>
      </w:pPr>
      <w:r>
        <w:rPr>
          <w:rFonts w:ascii="Book Antiqua" w:hAnsi="Book Antiqua"/>
        </w:rPr>
        <w:t xml:space="preserve">11. Ms Benitez sought to rely on the judgment in Rai at [42]. She submitted that they </w:t>
      </w:r>
      <w:r w:rsidR="001613D3">
        <w:rPr>
          <w:rFonts w:ascii="Book Antiqua" w:hAnsi="Book Antiqua"/>
        </w:rPr>
        <w:t xml:space="preserve">would have applied to come together as a family unit had it not been </w:t>
      </w:r>
      <w:r>
        <w:rPr>
          <w:rFonts w:ascii="Book Antiqua" w:hAnsi="Book Antiqua"/>
        </w:rPr>
        <w:t xml:space="preserve">that </w:t>
      </w:r>
      <w:r w:rsidR="001613D3">
        <w:rPr>
          <w:rFonts w:ascii="Book Antiqua" w:hAnsi="Book Antiqua"/>
        </w:rPr>
        <w:t xml:space="preserve">there was no policy in place so </w:t>
      </w:r>
      <w:r>
        <w:rPr>
          <w:rFonts w:ascii="Book Antiqua" w:hAnsi="Book Antiqua"/>
        </w:rPr>
        <w:t xml:space="preserve">there was </w:t>
      </w:r>
      <w:r w:rsidR="001613D3">
        <w:rPr>
          <w:rFonts w:ascii="Book Antiqua" w:hAnsi="Book Antiqua"/>
        </w:rPr>
        <w:t xml:space="preserve">no ability to apply in 2010. </w:t>
      </w:r>
      <w:r>
        <w:rPr>
          <w:rFonts w:ascii="Book Antiqua" w:hAnsi="Book Antiqua"/>
        </w:rPr>
        <w:t xml:space="preserve">The </w:t>
      </w:r>
      <w:r w:rsidR="001613D3">
        <w:rPr>
          <w:rFonts w:ascii="Book Antiqua" w:hAnsi="Book Antiqua"/>
        </w:rPr>
        <w:t xml:space="preserve">Sponsor at [4] of </w:t>
      </w:r>
      <w:r>
        <w:rPr>
          <w:rFonts w:ascii="Book Antiqua" w:hAnsi="Book Antiqua"/>
        </w:rPr>
        <w:t>her first witness statement</w:t>
      </w:r>
      <w:r w:rsidR="001613D3">
        <w:rPr>
          <w:rFonts w:ascii="Book Antiqua" w:hAnsi="Book Antiqua"/>
        </w:rPr>
        <w:t xml:space="preserve"> states this in terms. </w:t>
      </w:r>
      <w:r>
        <w:rPr>
          <w:rFonts w:ascii="Book Antiqua" w:hAnsi="Book Antiqua"/>
        </w:rPr>
        <w:t>She submitted that the p</w:t>
      </w:r>
      <w:r w:rsidR="001613D3">
        <w:rPr>
          <w:rFonts w:ascii="Book Antiqua" w:hAnsi="Book Antiqua"/>
        </w:rPr>
        <w:t>rinciple of family reunion recognizes that sometimes families are separated not out of choice.</w:t>
      </w:r>
    </w:p>
    <w:p w:rsidR="001613D3" w:rsidRPr="000707A2" w:rsidRDefault="006A44E6" w:rsidP="00D75387">
      <w:pPr>
        <w:spacing w:before="160"/>
        <w:rPr>
          <w:rFonts w:ascii="Book Antiqua" w:hAnsi="Book Antiqua"/>
        </w:rPr>
      </w:pPr>
      <w:r>
        <w:rPr>
          <w:rFonts w:ascii="Book Antiqua" w:hAnsi="Book Antiqua"/>
        </w:rPr>
        <w:lastRenderedPageBreak/>
        <w:t>12. Ms Benitez asked me to m</w:t>
      </w:r>
      <w:r w:rsidR="001613D3">
        <w:rPr>
          <w:rFonts w:ascii="Book Antiqua" w:hAnsi="Book Antiqua"/>
        </w:rPr>
        <w:t xml:space="preserve">ake </w:t>
      </w:r>
      <w:r>
        <w:rPr>
          <w:rFonts w:ascii="Book Antiqua" w:hAnsi="Book Antiqua"/>
        </w:rPr>
        <w:t>a finding as to the existence</w:t>
      </w:r>
      <w:r w:rsidR="001613D3">
        <w:rPr>
          <w:rFonts w:ascii="Book Antiqua" w:hAnsi="Book Antiqua"/>
        </w:rPr>
        <w:t xml:space="preserve"> of family li</w:t>
      </w:r>
      <w:r>
        <w:rPr>
          <w:rFonts w:ascii="Book Antiqua" w:hAnsi="Book Antiqua"/>
        </w:rPr>
        <w:t>fe when the Sponsor left Nepal. The Appellant</w:t>
      </w:r>
      <w:r w:rsidR="001613D3">
        <w:rPr>
          <w:rFonts w:ascii="Book Antiqua" w:hAnsi="Book Antiqua"/>
        </w:rPr>
        <w:t xml:space="preserve"> was </w:t>
      </w:r>
      <w:r>
        <w:rPr>
          <w:rFonts w:ascii="Book Antiqua" w:hAnsi="Book Antiqua"/>
        </w:rPr>
        <w:t>at that time 22 and</w:t>
      </w:r>
      <w:r w:rsidR="001613D3">
        <w:rPr>
          <w:rFonts w:ascii="Book Antiqua" w:hAnsi="Book Antiqua"/>
        </w:rPr>
        <w:t xml:space="preserve"> still dependent on her mother. </w:t>
      </w:r>
      <w:r>
        <w:rPr>
          <w:rFonts w:ascii="Book Antiqua" w:hAnsi="Book Antiqua"/>
        </w:rPr>
        <w:t>She submitted that f</w:t>
      </w:r>
      <w:r w:rsidR="001613D3">
        <w:rPr>
          <w:rFonts w:ascii="Book Antiqua" w:hAnsi="Book Antiqua"/>
        </w:rPr>
        <w:t>amily life</w:t>
      </w:r>
      <w:r>
        <w:rPr>
          <w:rFonts w:ascii="Book Antiqua" w:hAnsi="Book Antiqua"/>
        </w:rPr>
        <w:t xml:space="preserve"> is still extant and has been maintained by four</w:t>
      </w:r>
      <w:r w:rsidR="001613D3">
        <w:rPr>
          <w:rFonts w:ascii="Book Antiqua" w:hAnsi="Book Antiqua"/>
        </w:rPr>
        <w:t xml:space="preserve"> visits to </w:t>
      </w:r>
      <w:r>
        <w:rPr>
          <w:rFonts w:ascii="Book Antiqua" w:hAnsi="Book Antiqua"/>
        </w:rPr>
        <w:t>the family home and the</w:t>
      </w:r>
      <w:r w:rsidR="001613D3">
        <w:rPr>
          <w:rFonts w:ascii="Book Antiqua" w:hAnsi="Book Antiqua"/>
        </w:rPr>
        <w:t xml:space="preserve"> fact that the daughter has remained in the family home indicates she is still attached. </w:t>
      </w:r>
      <w:r>
        <w:rPr>
          <w:rFonts w:ascii="Book Antiqua" w:hAnsi="Book Antiqua"/>
        </w:rPr>
        <w:t xml:space="preserve">They speak every day on the telephone. The </w:t>
      </w:r>
      <w:r w:rsidR="001613D3">
        <w:rPr>
          <w:rFonts w:ascii="Book Antiqua" w:hAnsi="Book Antiqua"/>
        </w:rPr>
        <w:t xml:space="preserve">Sponsor’s evidence is that she loves all her children but is closest to her daughter. She lives alone and has not formed a new family. </w:t>
      </w:r>
      <w:r>
        <w:rPr>
          <w:rFonts w:ascii="Book Antiqua" w:hAnsi="Book Antiqua"/>
        </w:rPr>
        <w:t>Ms Benitez submitted that this appeal c</w:t>
      </w:r>
      <w:r w:rsidR="001613D3">
        <w:rPr>
          <w:rFonts w:ascii="Book Antiqua" w:hAnsi="Book Antiqua"/>
        </w:rPr>
        <w:t xml:space="preserve">learly falls within the spirit of the policy and </w:t>
      </w:r>
      <w:r>
        <w:rPr>
          <w:rFonts w:ascii="Book Antiqua" w:hAnsi="Book Antiqua"/>
        </w:rPr>
        <w:t xml:space="preserve">that family life has continued despite the delay from </w:t>
      </w:r>
      <w:r w:rsidR="001613D3">
        <w:rPr>
          <w:rFonts w:ascii="Book Antiqua" w:hAnsi="Book Antiqua"/>
        </w:rPr>
        <w:t>2015 to 2018 because of</w:t>
      </w:r>
      <w:r>
        <w:rPr>
          <w:rFonts w:ascii="Book Antiqua" w:hAnsi="Book Antiqua"/>
        </w:rPr>
        <w:t xml:space="preserve"> the appeal process and that this cannot</w:t>
      </w:r>
      <w:r w:rsidR="001613D3">
        <w:rPr>
          <w:rFonts w:ascii="Book Antiqua" w:hAnsi="Book Antiqua"/>
        </w:rPr>
        <w:t xml:space="preserve"> mitigate against the continuation of family life. </w:t>
      </w:r>
    </w:p>
    <w:p w:rsidR="006A44E6" w:rsidRPr="006A44E6" w:rsidRDefault="006A44E6" w:rsidP="00D75387">
      <w:pPr>
        <w:spacing w:before="160"/>
        <w:rPr>
          <w:rFonts w:ascii="Book Antiqua" w:hAnsi="Book Antiqua"/>
          <w:i/>
        </w:rPr>
      </w:pPr>
      <w:r>
        <w:rPr>
          <w:rFonts w:ascii="Book Antiqua" w:hAnsi="Book Antiqua"/>
          <w:i/>
        </w:rPr>
        <w:t>Findings</w:t>
      </w:r>
    </w:p>
    <w:p w:rsidR="00861176" w:rsidRDefault="00B117B8" w:rsidP="00D75387">
      <w:pPr>
        <w:spacing w:before="160"/>
        <w:rPr>
          <w:rFonts w:ascii="Book Antiqua" w:hAnsi="Book Antiqua" w:cs="Arial"/>
        </w:rPr>
      </w:pPr>
      <w:r>
        <w:rPr>
          <w:rFonts w:ascii="Book Antiqua" w:hAnsi="Book Antiqua"/>
        </w:rPr>
        <w:t>13. I have considered this appeal i</w:t>
      </w:r>
      <w:r w:rsidR="00861176">
        <w:rPr>
          <w:rFonts w:ascii="Book Antiqua" w:hAnsi="Book Antiqua"/>
        </w:rPr>
        <w:t>n light of the jurisprudence t</w:t>
      </w:r>
      <w:r>
        <w:rPr>
          <w:rFonts w:ascii="Book Antiqua" w:hAnsi="Book Antiqua"/>
        </w:rPr>
        <w:t>h</w:t>
      </w:r>
      <w:r w:rsidR="00861176">
        <w:rPr>
          <w:rFonts w:ascii="Book Antiqua" w:hAnsi="Book Antiqua"/>
        </w:rPr>
        <w:t>at</w:t>
      </w:r>
      <w:r>
        <w:rPr>
          <w:rFonts w:ascii="Book Antiqua" w:hAnsi="Book Antiqua"/>
        </w:rPr>
        <w:t xml:space="preserve"> pertains to the dependents of Gurkhas </w:t>
      </w:r>
      <w:r>
        <w:rPr>
          <w:rFonts w:ascii="Book Antiqua" w:hAnsi="Book Antiqua"/>
          <w:i/>
        </w:rPr>
        <w:t xml:space="preserve">viz </w:t>
      </w:r>
      <w:proofErr w:type="spellStart"/>
      <w:r w:rsidR="00861176" w:rsidRPr="00BE5074">
        <w:rPr>
          <w:rFonts w:ascii="Book Antiqua" w:hAnsi="Book Antiqua" w:cs="Arial"/>
          <w:u w:val="single"/>
        </w:rPr>
        <w:t>Ghising</w:t>
      </w:r>
      <w:proofErr w:type="spellEnd"/>
      <w:r w:rsidR="00861176" w:rsidRPr="00E108E8">
        <w:rPr>
          <w:rFonts w:ascii="Book Antiqua" w:hAnsi="Book Antiqua" w:cs="Arial"/>
        </w:rPr>
        <w:t xml:space="preserve"> </w:t>
      </w:r>
      <w:r w:rsidR="00861176">
        <w:rPr>
          <w:rFonts w:ascii="Book Antiqua" w:hAnsi="Book Antiqua" w:cs="Arial"/>
        </w:rPr>
        <w:t>[2013] UKUT 0056</w:t>
      </w:r>
      <w:r w:rsidR="00861176" w:rsidRPr="00E108E8">
        <w:rPr>
          <w:rFonts w:ascii="Book Antiqua" w:hAnsi="Book Antiqua" w:cs="Arial"/>
        </w:rPr>
        <w:t>7 (IAC)</w:t>
      </w:r>
      <w:r w:rsidR="00861176">
        <w:rPr>
          <w:rFonts w:ascii="Book Antiqua" w:hAnsi="Book Antiqua" w:cs="Arial"/>
        </w:rPr>
        <w:t xml:space="preserve">; </w:t>
      </w:r>
      <w:r w:rsidR="00861176">
        <w:rPr>
          <w:rFonts w:ascii="Book Antiqua" w:hAnsi="Book Antiqua"/>
          <w:u w:val="single"/>
        </w:rPr>
        <w:t>Gurung</w:t>
      </w:r>
      <w:r w:rsidR="00861176">
        <w:rPr>
          <w:rFonts w:ascii="Book Antiqua" w:hAnsi="Book Antiqua"/>
        </w:rPr>
        <w:t xml:space="preserve"> [2013] EWCA </w:t>
      </w:r>
      <w:proofErr w:type="spellStart"/>
      <w:r w:rsidR="00861176">
        <w:rPr>
          <w:rFonts w:ascii="Book Antiqua" w:hAnsi="Book Antiqua"/>
        </w:rPr>
        <w:t>Civ</w:t>
      </w:r>
      <w:proofErr w:type="spellEnd"/>
      <w:r w:rsidR="00861176">
        <w:rPr>
          <w:rFonts w:ascii="Book Antiqua" w:hAnsi="Book Antiqua"/>
        </w:rPr>
        <w:t xml:space="preserve"> 8; </w:t>
      </w:r>
      <w:r w:rsidR="00861176" w:rsidRPr="00326BF0">
        <w:rPr>
          <w:rFonts w:ascii="Book Antiqua" w:hAnsi="Book Antiqua"/>
          <w:u w:val="single"/>
        </w:rPr>
        <w:t>Rai</w:t>
      </w:r>
      <w:r w:rsidR="00861176">
        <w:rPr>
          <w:rFonts w:ascii="Book Antiqua" w:hAnsi="Book Antiqua"/>
        </w:rPr>
        <w:t xml:space="preserve"> [2017] EWCA </w:t>
      </w:r>
      <w:proofErr w:type="spellStart"/>
      <w:r w:rsidR="00861176">
        <w:rPr>
          <w:rFonts w:ascii="Book Antiqua" w:hAnsi="Book Antiqua"/>
        </w:rPr>
        <w:t>Civ</w:t>
      </w:r>
      <w:proofErr w:type="spellEnd"/>
      <w:r w:rsidR="00861176">
        <w:rPr>
          <w:rFonts w:ascii="Book Antiqua" w:hAnsi="Book Antiqua"/>
        </w:rPr>
        <w:t xml:space="preserve"> 320 and also the judgments of the Court of Appeal in </w:t>
      </w:r>
      <w:proofErr w:type="spellStart"/>
      <w:r w:rsidR="00861176" w:rsidRPr="00D24503">
        <w:rPr>
          <w:rFonts w:ascii="Book Antiqua" w:hAnsi="Book Antiqua" w:cs="Arial"/>
          <w:u w:val="single"/>
        </w:rPr>
        <w:t>Kugathas</w:t>
      </w:r>
      <w:proofErr w:type="spellEnd"/>
      <w:r w:rsidR="00861176" w:rsidRPr="00D24503">
        <w:rPr>
          <w:rFonts w:ascii="Book Antiqua" w:hAnsi="Book Antiqua" w:cs="Arial"/>
          <w:u w:val="single"/>
        </w:rPr>
        <w:t xml:space="preserve"> </w:t>
      </w:r>
      <w:r w:rsidR="00861176" w:rsidRPr="00BE5074">
        <w:rPr>
          <w:rFonts w:ascii="Book Antiqua" w:hAnsi="Book Antiqua" w:cs="Arial"/>
        </w:rPr>
        <w:t xml:space="preserve">[2003] EWCA </w:t>
      </w:r>
      <w:proofErr w:type="spellStart"/>
      <w:r w:rsidR="00861176" w:rsidRPr="00BE5074">
        <w:rPr>
          <w:rFonts w:ascii="Book Antiqua" w:hAnsi="Book Antiqua" w:cs="Arial"/>
        </w:rPr>
        <w:t>Civ</w:t>
      </w:r>
      <w:proofErr w:type="spellEnd"/>
      <w:r w:rsidR="00861176" w:rsidRPr="00BE5074">
        <w:rPr>
          <w:rFonts w:ascii="Book Antiqua" w:hAnsi="Book Antiqua" w:cs="Arial"/>
        </w:rPr>
        <w:t xml:space="preserve"> 31</w:t>
      </w:r>
      <w:r w:rsidR="00861176">
        <w:rPr>
          <w:rFonts w:ascii="Book Antiqua" w:hAnsi="Book Antiqua" w:cs="Arial"/>
        </w:rPr>
        <w:t xml:space="preserve"> and </w:t>
      </w:r>
      <w:r w:rsidR="00861176" w:rsidRPr="00BE5074">
        <w:rPr>
          <w:rFonts w:ascii="Book Antiqua" w:hAnsi="Book Antiqua" w:cs="Arial"/>
          <w:u w:val="single"/>
        </w:rPr>
        <w:t>AAO v Entry Clearance Officer</w:t>
      </w:r>
      <w:r w:rsidR="00861176" w:rsidRPr="00BE5074">
        <w:rPr>
          <w:rFonts w:ascii="Book Antiqua" w:hAnsi="Book Antiqua" w:cs="Arial"/>
        </w:rPr>
        <w:t xml:space="preserve"> [2011] EWCA </w:t>
      </w:r>
      <w:proofErr w:type="spellStart"/>
      <w:r w:rsidR="00861176" w:rsidRPr="00BE5074">
        <w:rPr>
          <w:rFonts w:ascii="Book Antiqua" w:hAnsi="Book Antiqua" w:cs="Arial"/>
        </w:rPr>
        <w:t>Civ</w:t>
      </w:r>
      <w:proofErr w:type="spellEnd"/>
      <w:r w:rsidR="00861176" w:rsidRPr="00BE5074">
        <w:rPr>
          <w:rFonts w:ascii="Book Antiqua" w:hAnsi="Book Antiqua" w:cs="Arial"/>
        </w:rPr>
        <w:t xml:space="preserve"> 840</w:t>
      </w:r>
      <w:r w:rsidR="00861176">
        <w:rPr>
          <w:rFonts w:ascii="Book Antiqua" w:hAnsi="Book Antiqua" w:cs="Arial"/>
        </w:rPr>
        <w:t>.</w:t>
      </w:r>
    </w:p>
    <w:p w:rsidR="00E62C71" w:rsidRDefault="00E62C71" w:rsidP="00D75387">
      <w:pPr>
        <w:spacing w:before="160"/>
        <w:rPr>
          <w:rFonts w:ascii="Book Antiqua" w:hAnsi="Book Antiqua"/>
        </w:rPr>
      </w:pPr>
      <w:r>
        <w:rPr>
          <w:rFonts w:ascii="Book Antiqua" w:hAnsi="Book Antiqua" w:cs="Arial"/>
        </w:rPr>
        <w:t>14.</w:t>
      </w:r>
      <w:r w:rsidR="00861176" w:rsidRPr="00BE5074">
        <w:rPr>
          <w:rFonts w:ascii="Book Antiqua" w:hAnsi="Book Antiqua" w:cs="Arial"/>
        </w:rPr>
        <w:t xml:space="preserve"> </w:t>
      </w:r>
      <w:r>
        <w:rPr>
          <w:rFonts w:ascii="Book Antiqua" w:hAnsi="Book Antiqua" w:cs="Arial"/>
        </w:rPr>
        <w:t xml:space="preserve">I have also borne in mind the fact that the findings of fact made by </w:t>
      </w:r>
      <w:r>
        <w:rPr>
          <w:rFonts w:ascii="Book Antiqua" w:hAnsi="Book Antiqua"/>
        </w:rPr>
        <w:t>First tier Tribunal Judge Wright at [</w:t>
      </w:r>
      <w:proofErr w:type="gramStart"/>
      <w:r>
        <w:rPr>
          <w:rFonts w:ascii="Book Antiqua" w:hAnsi="Book Antiqua"/>
        </w:rPr>
        <w:t>26](</w:t>
      </w:r>
      <w:proofErr w:type="gramEnd"/>
      <w:r>
        <w:rPr>
          <w:rFonts w:ascii="Book Antiqua" w:hAnsi="Book Antiqua"/>
        </w:rPr>
        <w:t xml:space="preserve">5) and (8) stand </w:t>
      </w:r>
      <w:r>
        <w:rPr>
          <w:rFonts w:ascii="Book Antiqua" w:hAnsi="Book Antiqua"/>
          <w:i/>
        </w:rPr>
        <w:t xml:space="preserve">viz </w:t>
      </w:r>
      <w:r>
        <w:rPr>
          <w:rFonts w:ascii="Book Antiqua" w:hAnsi="Book Antiqua"/>
        </w:rPr>
        <w:t>that there is no evidence of remittances between December 2010 and August 2015; one remittance for 2015; four for 2016 and three for 2017 and that there is no real evidence about how the Appellant relates to her mother or what emotional sustenance she receives from her and that there is no witness statement from the Appellant.</w:t>
      </w:r>
    </w:p>
    <w:p w:rsidR="00DA126A" w:rsidRDefault="00E62C71" w:rsidP="00D75387">
      <w:pPr>
        <w:spacing w:before="160"/>
        <w:rPr>
          <w:rFonts w:ascii="Book Antiqua" w:hAnsi="Book Antiqua"/>
        </w:rPr>
      </w:pPr>
      <w:r>
        <w:rPr>
          <w:rFonts w:ascii="Book Antiqua" w:hAnsi="Book Antiqua"/>
        </w:rPr>
        <w:t xml:space="preserve">15. </w:t>
      </w:r>
      <w:r w:rsidR="00DA126A">
        <w:rPr>
          <w:rFonts w:ascii="Book Antiqua" w:hAnsi="Book Antiqua"/>
        </w:rPr>
        <w:t>I address first the question of whether or not there is family life between the Appellant and her mother, the Sponsor. I have no hesitation in finding that there was family life between them up to the time the Sponsor entered the United Kingdom on 16 September 2010 as they were living in the same household and the Appellant was financially and emotionally dependent on her mother, particularly since her father, having served as a Gurkha for 9 years from 1960 to 1969, passed away on 9 August 1999.</w:t>
      </w:r>
    </w:p>
    <w:p w:rsidR="00DA126A" w:rsidRDefault="00DA126A" w:rsidP="00D75387">
      <w:pPr>
        <w:spacing w:before="160"/>
        <w:rPr>
          <w:rFonts w:ascii="Book Antiqua" w:hAnsi="Book Antiqua"/>
        </w:rPr>
      </w:pPr>
      <w:r>
        <w:rPr>
          <w:rFonts w:ascii="Book Antiqua" w:hAnsi="Book Antiqua"/>
        </w:rPr>
        <w:t xml:space="preserve">16. The issue is whether family life has continued to subsist between the Appellant and the Sponsor since that time. I have had particular regard to the judgment of the Court of Appeal in </w:t>
      </w:r>
      <w:r>
        <w:rPr>
          <w:rFonts w:ascii="Book Antiqua" w:hAnsi="Book Antiqua"/>
          <w:i/>
        </w:rPr>
        <w:t xml:space="preserve">Rai </w:t>
      </w:r>
      <w:r w:rsidR="00FA4464">
        <w:rPr>
          <w:rFonts w:ascii="Book Antiqua" w:hAnsi="Book Antiqua"/>
        </w:rPr>
        <w:t xml:space="preserve">(op </w:t>
      </w:r>
      <w:proofErr w:type="spellStart"/>
      <w:r w:rsidR="00FA4464">
        <w:rPr>
          <w:rFonts w:ascii="Book Antiqua" w:hAnsi="Book Antiqua"/>
        </w:rPr>
        <w:t>cit</w:t>
      </w:r>
      <w:proofErr w:type="spellEnd"/>
      <w:r w:rsidR="00FA4464">
        <w:rPr>
          <w:rFonts w:ascii="Book Antiqua" w:hAnsi="Book Antiqua"/>
        </w:rPr>
        <w:t>) at [18] and [19</w:t>
      </w:r>
      <w:r>
        <w:rPr>
          <w:rFonts w:ascii="Book Antiqua" w:hAnsi="Book Antiqua"/>
        </w:rPr>
        <w:t>]:</w:t>
      </w:r>
    </w:p>
    <w:p w:rsidR="00DA126A" w:rsidRPr="00D75387" w:rsidRDefault="00DA126A" w:rsidP="00D75387">
      <w:pPr>
        <w:pStyle w:val="NormalWeb"/>
        <w:spacing w:beforeLines="0" w:before="120" w:afterLines="0" w:after="120"/>
        <w:ind w:left="567" w:right="567"/>
        <w:jc w:val="both"/>
        <w:rPr>
          <w:rFonts w:ascii="Book Antiqua" w:hAnsi="Book Antiqua"/>
          <w:i/>
          <w:color w:val="010101"/>
          <w:sz w:val="22"/>
          <w:szCs w:val="23"/>
        </w:rPr>
      </w:pPr>
      <w:r w:rsidRPr="00D75387">
        <w:rPr>
          <w:rFonts w:ascii="Book Antiqua" w:hAnsi="Book Antiqua"/>
          <w:i/>
          <w:color w:val="010101"/>
          <w:sz w:val="22"/>
          <w:szCs w:val="23"/>
        </w:rPr>
        <w:t>“18.     In</w:t>
      </w:r>
      <w:r w:rsidRPr="00D75387">
        <w:rPr>
          <w:rStyle w:val="apple-converted-space"/>
          <w:rFonts w:ascii="Book Antiqua" w:hAnsi="Book Antiqua"/>
          <w:i/>
          <w:color w:val="010101"/>
          <w:sz w:val="22"/>
          <w:szCs w:val="23"/>
        </w:rPr>
        <w:t> </w:t>
      </w:r>
      <w:proofErr w:type="spellStart"/>
      <w:r w:rsidRPr="00D75387">
        <w:rPr>
          <w:rFonts w:ascii="Book Antiqua" w:hAnsi="Book Antiqua"/>
          <w:i/>
          <w:color w:val="010101"/>
          <w:sz w:val="22"/>
          <w:szCs w:val="23"/>
        </w:rPr>
        <w:t>Ghising</w:t>
      </w:r>
      <w:proofErr w:type="spellEnd"/>
      <w:r w:rsidRPr="00D75387">
        <w:rPr>
          <w:rFonts w:ascii="Book Antiqua" w:hAnsi="Book Antiqua"/>
          <w:i/>
          <w:color w:val="010101"/>
          <w:sz w:val="22"/>
          <w:szCs w:val="23"/>
        </w:rPr>
        <w:t xml:space="preserve"> (family life – adults – Gurkha policy)</w:t>
      </w:r>
      <w:r w:rsidRPr="00D75387">
        <w:rPr>
          <w:rStyle w:val="apple-converted-space"/>
          <w:rFonts w:ascii="Book Antiqua" w:hAnsi="Book Antiqua"/>
          <w:i/>
          <w:color w:val="010101"/>
          <w:sz w:val="22"/>
          <w:szCs w:val="23"/>
        </w:rPr>
        <w:t> </w:t>
      </w:r>
      <w:r w:rsidRPr="00D75387">
        <w:rPr>
          <w:rFonts w:ascii="Book Antiqua" w:hAnsi="Book Antiqua"/>
          <w:i/>
          <w:color w:val="010101"/>
          <w:sz w:val="22"/>
          <w:szCs w:val="23"/>
        </w:rPr>
        <w:t>the Upper Tribunal accepted (in paragraph 56 of its determination) that the judgments in</w:t>
      </w:r>
      <w:r w:rsidRPr="00D75387">
        <w:rPr>
          <w:rStyle w:val="apple-converted-space"/>
          <w:rFonts w:ascii="Book Antiqua" w:hAnsi="Book Antiqua"/>
          <w:i/>
          <w:color w:val="010101"/>
          <w:sz w:val="22"/>
          <w:szCs w:val="23"/>
        </w:rPr>
        <w:t> </w:t>
      </w:r>
      <w:proofErr w:type="spellStart"/>
      <w:r w:rsidRPr="00D75387">
        <w:rPr>
          <w:rFonts w:ascii="Book Antiqua" w:hAnsi="Book Antiqua"/>
          <w:i/>
          <w:color w:val="010101"/>
          <w:sz w:val="22"/>
          <w:szCs w:val="23"/>
        </w:rPr>
        <w:t>Kugathas</w:t>
      </w:r>
      <w:proofErr w:type="spellEnd"/>
      <w:r w:rsidRPr="00D75387">
        <w:rPr>
          <w:rStyle w:val="apple-converted-space"/>
          <w:rFonts w:ascii="Book Antiqua" w:hAnsi="Book Antiqua"/>
          <w:i/>
          <w:color w:val="010101"/>
          <w:sz w:val="22"/>
          <w:szCs w:val="23"/>
        </w:rPr>
        <w:t> </w:t>
      </w:r>
      <w:r w:rsidRPr="00D75387">
        <w:rPr>
          <w:rFonts w:ascii="Book Antiqua" w:hAnsi="Book Antiqua"/>
          <w:i/>
          <w:color w:val="010101"/>
          <w:sz w:val="22"/>
          <w:szCs w:val="23"/>
        </w:rPr>
        <w:t>had been "interpreted too restrictively in the past and ought to be read in the light of subsequent decisions of the domestic and Strasbourg courts", and (in paragraph 60) that "some of the [Strasbourg] Court's decisions indicate that family life between adult children and parents will readily be found, without evidence of exceptional dependence". It went on to say (in paragraph 61):</w:t>
      </w:r>
    </w:p>
    <w:p w:rsidR="00DA126A" w:rsidRPr="00D75387" w:rsidRDefault="00DA126A" w:rsidP="00D75387">
      <w:pPr>
        <w:pStyle w:val="NormalWeb"/>
        <w:spacing w:beforeLines="0" w:before="120" w:afterLines="0" w:after="120"/>
        <w:ind w:left="1200" w:right="567"/>
        <w:jc w:val="both"/>
        <w:rPr>
          <w:rFonts w:ascii="Book Antiqua" w:hAnsi="Book Antiqua"/>
          <w:i/>
          <w:color w:val="010101"/>
          <w:sz w:val="22"/>
          <w:szCs w:val="23"/>
        </w:rPr>
      </w:pPr>
      <w:r w:rsidRPr="00D75387">
        <w:rPr>
          <w:rFonts w:ascii="Book Antiqua" w:hAnsi="Book Antiqua"/>
          <w:i/>
          <w:color w:val="010101"/>
          <w:sz w:val="22"/>
          <w:szCs w:val="23"/>
        </w:rPr>
        <w:t>"61. Recently, the [European Court of Human Rights] has reviewed the case law, in [AA v United Kingdom</w:t>
      </w:r>
      <w:r w:rsidRPr="00D75387">
        <w:rPr>
          <w:rStyle w:val="apple-converted-space"/>
          <w:rFonts w:ascii="Book Antiqua" w:hAnsi="Book Antiqua"/>
          <w:i/>
          <w:color w:val="010101"/>
          <w:sz w:val="22"/>
          <w:szCs w:val="23"/>
        </w:rPr>
        <w:t> </w:t>
      </w:r>
      <w:r w:rsidRPr="00D75387">
        <w:rPr>
          <w:rFonts w:ascii="Book Antiqua" w:hAnsi="Book Antiqua"/>
          <w:i/>
          <w:color w:val="010101"/>
          <w:sz w:val="22"/>
          <w:szCs w:val="23"/>
        </w:rPr>
        <w:t xml:space="preserve">[2012] </w:t>
      </w:r>
      <w:proofErr w:type="spellStart"/>
      <w:r w:rsidRPr="00D75387">
        <w:rPr>
          <w:rFonts w:ascii="Book Antiqua" w:hAnsi="Book Antiqua"/>
          <w:i/>
          <w:color w:val="010101"/>
          <w:sz w:val="22"/>
          <w:szCs w:val="23"/>
        </w:rPr>
        <w:t>Imm</w:t>
      </w:r>
      <w:proofErr w:type="spellEnd"/>
      <w:r w:rsidRPr="00D75387">
        <w:rPr>
          <w:rFonts w:ascii="Book Antiqua" w:hAnsi="Book Antiqua"/>
          <w:i/>
          <w:color w:val="010101"/>
          <w:sz w:val="22"/>
          <w:szCs w:val="23"/>
        </w:rPr>
        <w:t xml:space="preserve">. A.R.1], finding that a significant factor will be whether or not the adult child has founded a family </w:t>
      </w:r>
      <w:r w:rsidRPr="00D75387">
        <w:rPr>
          <w:rFonts w:ascii="Book Antiqua" w:hAnsi="Book Antiqua"/>
          <w:i/>
          <w:color w:val="010101"/>
          <w:sz w:val="22"/>
          <w:szCs w:val="23"/>
        </w:rPr>
        <w:lastRenderedPageBreak/>
        <w:t>of his own. If he is still single and living with his parents, he is likely to enjoy family life with them. …".</w:t>
      </w:r>
    </w:p>
    <w:p w:rsidR="00DA126A" w:rsidRPr="00D75387" w:rsidRDefault="00DA126A" w:rsidP="00D75387">
      <w:pPr>
        <w:pStyle w:val="NormalWeb"/>
        <w:spacing w:beforeLines="0" w:before="120" w:afterLines="0" w:after="120"/>
        <w:ind w:left="567" w:right="567"/>
        <w:jc w:val="both"/>
        <w:rPr>
          <w:rFonts w:ascii="Book Antiqua" w:hAnsi="Book Antiqua"/>
          <w:i/>
          <w:color w:val="010101"/>
          <w:sz w:val="22"/>
          <w:szCs w:val="23"/>
        </w:rPr>
      </w:pPr>
      <w:r w:rsidRPr="00D75387">
        <w:rPr>
          <w:rFonts w:ascii="Book Antiqua" w:hAnsi="Book Antiqua"/>
          <w:i/>
          <w:color w:val="010101"/>
          <w:sz w:val="22"/>
          <w:szCs w:val="23"/>
        </w:rPr>
        <w:t>The Upper Tribunal set out the relevant passage in the court's judgment in</w:t>
      </w:r>
      <w:r w:rsidRPr="00D75387">
        <w:rPr>
          <w:rStyle w:val="apple-converted-space"/>
          <w:rFonts w:ascii="Book Antiqua" w:hAnsi="Book Antiqua"/>
          <w:i/>
          <w:color w:val="010101"/>
          <w:sz w:val="22"/>
          <w:szCs w:val="23"/>
        </w:rPr>
        <w:t> </w:t>
      </w:r>
      <w:r w:rsidRPr="00D75387">
        <w:rPr>
          <w:rFonts w:ascii="Book Antiqua" w:hAnsi="Book Antiqua"/>
          <w:i/>
          <w:color w:val="010101"/>
          <w:sz w:val="22"/>
          <w:szCs w:val="23"/>
        </w:rPr>
        <w:t>AA v United Kingdom</w:t>
      </w:r>
      <w:r w:rsidRPr="00D75387">
        <w:rPr>
          <w:rStyle w:val="apple-converted-space"/>
          <w:rFonts w:ascii="Book Antiqua" w:hAnsi="Book Antiqua"/>
          <w:i/>
          <w:color w:val="010101"/>
          <w:sz w:val="22"/>
          <w:szCs w:val="23"/>
        </w:rPr>
        <w:t> </w:t>
      </w:r>
      <w:r w:rsidRPr="00D75387">
        <w:rPr>
          <w:rFonts w:ascii="Book Antiqua" w:hAnsi="Book Antiqua"/>
          <w:i/>
          <w:color w:val="010101"/>
          <w:sz w:val="22"/>
          <w:szCs w:val="23"/>
        </w:rPr>
        <w:t>(in paragraphs 46 to 49), which ended with this (in paragraph 49):</w:t>
      </w:r>
    </w:p>
    <w:p w:rsidR="00DA126A" w:rsidRPr="00D75387" w:rsidRDefault="00DA126A" w:rsidP="00D75387">
      <w:pPr>
        <w:pStyle w:val="NormalWeb"/>
        <w:spacing w:beforeLines="0" w:before="120" w:afterLines="0" w:after="120"/>
        <w:ind w:left="1200" w:right="567"/>
        <w:jc w:val="both"/>
        <w:rPr>
          <w:rFonts w:ascii="Book Antiqua" w:hAnsi="Book Antiqua"/>
          <w:i/>
          <w:color w:val="010101"/>
          <w:sz w:val="22"/>
          <w:szCs w:val="23"/>
        </w:rPr>
      </w:pPr>
      <w:r w:rsidRPr="00D75387">
        <w:rPr>
          <w:rFonts w:ascii="Book Antiqua" w:hAnsi="Book Antiqua"/>
          <w:i/>
          <w:color w:val="010101"/>
          <w:sz w:val="22"/>
          <w:szCs w:val="23"/>
        </w:rPr>
        <w:t>"49. An examination of the Court's case-law would tend to suggest that the applicant, a young adult of 24 years old, who resides with his mother and has not yet founded a family of his own, can be regarded as having "family life"."</w:t>
      </w:r>
    </w:p>
    <w:p w:rsidR="00DA126A" w:rsidRPr="00D75387" w:rsidRDefault="00DA126A" w:rsidP="00D75387">
      <w:pPr>
        <w:pStyle w:val="NormalWeb"/>
        <w:spacing w:beforeLines="0" w:before="120" w:afterLines="0" w:after="120"/>
        <w:ind w:left="567" w:right="567"/>
        <w:jc w:val="both"/>
        <w:rPr>
          <w:rFonts w:ascii="Book Antiqua" w:hAnsi="Book Antiqua"/>
          <w:i/>
          <w:color w:val="010101"/>
          <w:sz w:val="22"/>
          <w:szCs w:val="23"/>
        </w:rPr>
      </w:pPr>
      <w:r w:rsidRPr="00D75387">
        <w:rPr>
          <w:rFonts w:ascii="Book Antiqua" w:hAnsi="Book Antiqua"/>
          <w:i/>
          <w:color w:val="010101"/>
          <w:sz w:val="22"/>
          <w:szCs w:val="23"/>
        </w:rPr>
        <w:t>19.     Ultimately, as Lord Dyson M.R. emphasized when giving the judgment of the court in</w:t>
      </w:r>
      <w:r w:rsidRPr="00D75387">
        <w:rPr>
          <w:rStyle w:val="apple-converted-space"/>
          <w:rFonts w:ascii="Book Antiqua" w:hAnsi="Book Antiqua"/>
          <w:i/>
          <w:color w:val="010101"/>
          <w:sz w:val="22"/>
          <w:szCs w:val="23"/>
        </w:rPr>
        <w:t> </w:t>
      </w:r>
      <w:r w:rsidRPr="00D75387">
        <w:rPr>
          <w:rFonts w:ascii="Book Antiqua" w:hAnsi="Book Antiqua"/>
          <w:i/>
          <w:color w:val="010101"/>
          <w:sz w:val="22"/>
          <w:szCs w:val="23"/>
        </w:rPr>
        <w:t>Gurung</w:t>
      </w:r>
      <w:r w:rsidRPr="00D75387">
        <w:rPr>
          <w:rStyle w:val="apple-converted-space"/>
          <w:rFonts w:ascii="Book Antiqua" w:hAnsi="Book Antiqua"/>
          <w:i/>
          <w:color w:val="010101"/>
          <w:sz w:val="22"/>
          <w:szCs w:val="23"/>
        </w:rPr>
        <w:t> </w:t>
      </w:r>
      <w:r w:rsidRPr="00D75387">
        <w:rPr>
          <w:rFonts w:ascii="Book Antiqua" w:hAnsi="Book Antiqua"/>
          <w:i/>
          <w:color w:val="010101"/>
          <w:sz w:val="22"/>
          <w:szCs w:val="23"/>
        </w:rPr>
        <w:t>(at paragraph 45), "the question whether an individual enjoys family life is one of fact and depends on a careful consideration of all the relevant facts of the particular case". In some instances "an adult child (particularly if he does not have a partner or children of his own) may establish that he has a family life with his parents". As Lord Dyson M.R. said, "[it] all depends on the facts". The court expressly endorsed (at paragraph 46), as "useful" and as indicating "the correct approach to be adopted", the Upper Tribunal's review of the relevant jurisprudence in paragraphs 50 to 62 of its determination in</w:t>
      </w:r>
      <w:r w:rsidRPr="00D75387">
        <w:rPr>
          <w:rStyle w:val="apple-converted-space"/>
          <w:rFonts w:ascii="Book Antiqua" w:hAnsi="Book Antiqua"/>
          <w:i/>
          <w:color w:val="010101"/>
          <w:sz w:val="22"/>
          <w:szCs w:val="23"/>
        </w:rPr>
        <w:t> </w:t>
      </w:r>
      <w:proofErr w:type="spellStart"/>
      <w:r w:rsidRPr="00D75387">
        <w:rPr>
          <w:rFonts w:ascii="Book Antiqua" w:hAnsi="Book Antiqua"/>
          <w:i/>
          <w:color w:val="010101"/>
          <w:sz w:val="22"/>
          <w:szCs w:val="23"/>
        </w:rPr>
        <w:t>Ghising</w:t>
      </w:r>
      <w:proofErr w:type="spellEnd"/>
      <w:r w:rsidRPr="00D75387">
        <w:rPr>
          <w:rFonts w:ascii="Book Antiqua" w:hAnsi="Book Antiqua"/>
          <w:i/>
          <w:color w:val="010101"/>
          <w:sz w:val="22"/>
          <w:szCs w:val="23"/>
        </w:rPr>
        <w:t xml:space="preserve"> (family life – adults – Gurkha policy), including its observation (at paragraph 62) that "[the] different outcomes in cases with superficially similar features emphasises to us that the issue under Article 8(1) is highly fact-sensitive".</w:t>
      </w:r>
    </w:p>
    <w:p w:rsidR="001C6772" w:rsidRDefault="00DA126A" w:rsidP="00D75387">
      <w:pPr>
        <w:spacing w:before="160"/>
        <w:rPr>
          <w:rFonts w:ascii="Book Antiqua" w:hAnsi="Book Antiqua"/>
        </w:rPr>
      </w:pPr>
      <w:r>
        <w:rPr>
          <w:rFonts w:ascii="Book Antiqua" w:hAnsi="Book Antiqua"/>
        </w:rPr>
        <w:t>17. I adopt the reasoning of their Lordships and find that the test to be applied in</w:t>
      </w:r>
      <w:r w:rsidR="001C6772">
        <w:rPr>
          <w:rFonts w:ascii="Book Antiqua" w:hAnsi="Book Antiqua"/>
        </w:rPr>
        <w:t xml:space="preserve"> this case is fact sensitive and</w:t>
      </w:r>
      <w:r>
        <w:rPr>
          <w:rFonts w:ascii="Book Antiqua" w:hAnsi="Book Antiqua"/>
        </w:rPr>
        <w:t xml:space="preserve"> there is no requirement of exceptionality</w:t>
      </w:r>
      <w:r w:rsidR="001C6772">
        <w:rPr>
          <w:rFonts w:ascii="Book Antiqua" w:hAnsi="Book Antiqua"/>
        </w:rPr>
        <w:t xml:space="preserve"> when considering the existence of</w:t>
      </w:r>
      <w:r w:rsidR="008F509B">
        <w:rPr>
          <w:rFonts w:ascii="Book Antiqua" w:hAnsi="Book Antiqua"/>
        </w:rPr>
        <w:t xml:space="preserve"> family life between </w:t>
      </w:r>
      <w:r w:rsidR="001C6772">
        <w:rPr>
          <w:rFonts w:ascii="Book Antiqua" w:hAnsi="Book Antiqua"/>
        </w:rPr>
        <w:t>the Sponsor and the Appellant.</w:t>
      </w:r>
    </w:p>
    <w:p w:rsidR="00B117B8" w:rsidRPr="00DA126A" w:rsidRDefault="001C6772" w:rsidP="00D75387">
      <w:pPr>
        <w:spacing w:before="160"/>
        <w:rPr>
          <w:rFonts w:ascii="Book Antiqua" w:hAnsi="Book Antiqua"/>
        </w:rPr>
      </w:pPr>
      <w:r>
        <w:rPr>
          <w:rFonts w:ascii="Book Antiqua" w:hAnsi="Book Antiqua"/>
        </w:rPr>
        <w:t xml:space="preserve">18. The Sponsor’s evidence, as set out in her previous undated witness statement is that at the time her husband was discharged from the army, after exemplary conduct, there was no Gurkha settlement policy otherwise they would have applied at that time and then the Appellant would have been born in the United Kingdom; she was unable to afford to make an application for entry clearance for the Appellant at the time she applied because it was very difficult to afford even her own application; this is the reason for the delay in making an application on behalf of the Appellant; the Appellant remained emotionally and financially dependent on her and remains her responsibility as an unmarried daughter. </w:t>
      </w:r>
    </w:p>
    <w:p w:rsidR="00FC47D1" w:rsidRDefault="001C6772" w:rsidP="00D75387">
      <w:pPr>
        <w:spacing w:before="160"/>
        <w:rPr>
          <w:rFonts w:ascii="Book Antiqua" w:hAnsi="Book Antiqua"/>
        </w:rPr>
      </w:pPr>
      <w:r>
        <w:rPr>
          <w:rFonts w:ascii="Book Antiqua" w:hAnsi="Book Antiqua"/>
        </w:rPr>
        <w:t>19. In her oral evidence, the Sponsor came across</w:t>
      </w:r>
      <w:r w:rsidR="006C47CF">
        <w:rPr>
          <w:rFonts w:ascii="Book Antiqua" w:hAnsi="Book Antiqua"/>
        </w:rPr>
        <w:t xml:space="preserve"> as elderly and quite </w:t>
      </w:r>
      <w:r>
        <w:rPr>
          <w:rFonts w:ascii="Book Antiqua" w:hAnsi="Book Antiqua"/>
        </w:rPr>
        <w:t xml:space="preserve">easily </w:t>
      </w:r>
      <w:r w:rsidR="006C47CF">
        <w:rPr>
          <w:rFonts w:ascii="Book Antiqua" w:hAnsi="Book Antiqua"/>
        </w:rPr>
        <w:t>confused</w:t>
      </w:r>
      <w:r>
        <w:rPr>
          <w:rFonts w:ascii="Book Antiqua" w:hAnsi="Book Antiqua"/>
        </w:rPr>
        <w:t>, even with the assistance of the Nepali interpreter, for example she was unable to recall when and for long she had visited the Appellant in Nepal, even though she had returned to the United Kingdom only 8 days prior to the appeal hearing</w:t>
      </w:r>
      <w:r w:rsidR="006C47CF">
        <w:rPr>
          <w:rFonts w:ascii="Book Antiqua" w:hAnsi="Book Antiqua"/>
        </w:rPr>
        <w:t>.</w:t>
      </w:r>
      <w:r>
        <w:rPr>
          <w:rFonts w:ascii="Book Antiqua" w:hAnsi="Book Antiqua"/>
        </w:rPr>
        <w:t xml:space="preserve"> I bear in mind the fact that she is illiterate. I find that there was nothing inherent</w:t>
      </w:r>
      <w:r w:rsidR="00FC47D1">
        <w:rPr>
          <w:rFonts w:ascii="Book Antiqua" w:hAnsi="Book Antiqua"/>
        </w:rPr>
        <w:t>ly implausible in her evidence and no inconsistencies arose in cross-examination thus</w:t>
      </w:r>
      <w:r>
        <w:rPr>
          <w:rFonts w:ascii="Book Antiqua" w:hAnsi="Book Antiqua"/>
        </w:rPr>
        <w:t xml:space="preserve"> I accept</w:t>
      </w:r>
      <w:r w:rsidR="00FC47D1">
        <w:rPr>
          <w:rFonts w:ascii="Book Antiqua" w:hAnsi="Book Antiqua"/>
        </w:rPr>
        <w:t xml:space="preserve"> her evidence</w:t>
      </w:r>
      <w:r>
        <w:rPr>
          <w:rFonts w:ascii="Book Antiqua" w:hAnsi="Book Antiqua"/>
        </w:rPr>
        <w:t>.</w:t>
      </w:r>
    </w:p>
    <w:p w:rsidR="00FC47D1" w:rsidRDefault="00FC47D1" w:rsidP="00D75387">
      <w:pPr>
        <w:spacing w:before="160"/>
        <w:rPr>
          <w:rFonts w:ascii="Book Antiqua" w:hAnsi="Book Antiqua"/>
        </w:rPr>
      </w:pPr>
      <w:r>
        <w:rPr>
          <w:rFonts w:ascii="Book Antiqua" w:hAnsi="Book Antiqua"/>
        </w:rPr>
        <w:t>20. Whilst there is limited evidence of financial remittances over the entirety of the period of time</w:t>
      </w:r>
      <w:r w:rsidR="002032B8">
        <w:rPr>
          <w:rFonts w:ascii="Book Antiqua" w:hAnsi="Book Antiqua"/>
        </w:rPr>
        <w:t xml:space="preserve">, as was recorded by First </w:t>
      </w:r>
      <w:proofErr w:type="gramStart"/>
      <w:r w:rsidR="002032B8">
        <w:rPr>
          <w:rFonts w:ascii="Book Antiqua" w:hAnsi="Book Antiqua"/>
        </w:rPr>
        <w:t>tier</w:t>
      </w:r>
      <w:proofErr w:type="gramEnd"/>
      <w:r w:rsidR="002032B8">
        <w:rPr>
          <w:rFonts w:ascii="Book Antiqua" w:hAnsi="Book Antiqua"/>
        </w:rPr>
        <w:t xml:space="preserve"> Tribunal Judge Wright,</w:t>
      </w:r>
      <w:r>
        <w:rPr>
          <w:rFonts w:ascii="Book Antiqua" w:hAnsi="Book Antiqua"/>
        </w:rPr>
        <w:t xml:space="preserve"> the Sponsor states that she has been financia</w:t>
      </w:r>
      <w:r w:rsidR="002032B8">
        <w:rPr>
          <w:rFonts w:ascii="Book Antiqua" w:hAnsi="Book Antiqua"/>
        </w:rPr>
        <w:t xml:space="preserve">lly supporting the Appellant </w:t>
      </w:r>
      <w:r>
        <w:rPr>
          <w:rFonts w:ascii="Book Antiqua" w:hAnsi="Book Antiqua"/>
        </w:rPr>
        <w:t xml:space="preserve">since </w:t>
      </w:r>
      <w:r>
        <w:rPr>
          <w:rFonts w:ascii="Book Antiqua" w:hAnsi="Book Antiqua"/>
        </w:rPr>
        <w:lastRenderedPageBreak/>
        <w:t>she came to the U</w:t>
      </w:r>
      <w:r w:rsidR="002032B8">
        <w:rPr>
          <w:rFonts w:ascii="Book Antiqua" w:hAnsi="Book Antiqua"/>
        </w:rPr>
        <w:t>nited Kingdom in September 2010.</w:t>
      </w:r>
      <w:r>
        <w:rPr>
          <w:rFonts w:ascii="Book Antiqua" w:hAnsi="Book Antiqua"/>
        </w:rPr>
        <w:t xml:space="preserve"> I find in light of the Sponsor’s evidence, which I accept, that the Appellant has never worked and is entirely financially dependent on her mother</w:t>
      </w:r>
      <w:r w:rsidR="002032B8">
        <w:rPr>
          <w:rFonts w:ascii="Book Antiqua" w:hAnsi="Book Antiqua"/>
        </w:rPr>
        <w:t xml:space="preserve"> and that in addition to remittances the Sponsor has taken money when she has visited the Appellant, most recently £1000</w:t>
      </w:r>
      <w:r>
        <w:rPr>
          <w:rFonts w:ascii="Book Antiqua" w:hAnsi="Book Antiqua"/>
        </w:rPr>
        <w:t>. The Sponsor receives a pension and benefits and I find that she supports the Appellant from these funds.</w:t>
      </w:r>
    </w:p>
    <w:p w:rsidR="002032B8" w:rsidRDefault="00FC47D1" w:rsidP="00D75387">
      <w:pPr>
        <w:spacing w:before="160"/>
        <w:rPr>
          <w:rFonts w:ascii="Book Antiqua" w:hAnsi="Book Antiqua"/>
        </w:rPr>
      </w:pPr>
      <w:r>
        <w:rPr>
          <w:rFonts w:ascii="Book Antiqua" w:hAnsi="Book Antiqua"/>
        </w:rPr>
        <w:t xml:space="preserve">21. As to emotional dependency, despite the fact that the verification of certificate of relationship dated 11 June 2017, which is in English, refers to the Appellant as “Mrs Nirmala </w:t>
      </w:r>
      <w:proofErr w:type="spellStart"/>
      <w:r>
        <w:rPr>
          <w:rFonts w:ascii="Book Antiqua" w:hAnsi="Book Antiqua"/>
        </w:rPr>
        <w:t>Purja</w:t>
      </w:r>
      <w:proofErr w:type="spellEnd"/>
      <w:r>
        <w:rPr>
          <w:rFonts w:ascii="Book Antiqua" w:hAnsi="Book Antiqua"/>
        </w:rPr>
        <w:t xml:space="preserve">” I accept the Sponsor’s evidence that the Appellant is unmarried and that the reference to “Mrs” is a mistake made by the person who compiled the document. I make this finding bearing in mind the fact that the purpose of the document was to attest to the relationship rather than the marital status of the persons concerned. Consequently, I find that in light of the Sponsor’s evidence, which I accept, that she and the Appellant speak on the telephone on a daily basis and </w:t>
      </w:r>
      <w:r w:rsidR="002032B8">
        <w:rPr>
          <w:rFonts w:ascii="Book Antiqua" w:hAnsi="Book Antiqua"/>
        </w:rPr>
        <w:t>that the Sponsor has, despite limited means, continued to financially support her daughter and has visited her four times, most recently shortly before the appeal hearing, that the Appellant is emotionally dependent on her mother. I further find that the Sponsor is emotionally dependent on her daughter, the Appellant and that they are the most important person in each other’s lives.</w:t>
      </w:r>
    </w:p>
    <w:p w:rsidR="002032B8" w:rsidRDefault="002032B8" w:rsidP="00D75387">
      <w:pPr>
        <w:spacing w:before="160"/>
        <w:rPr>
          <w:rFonts w:ascii="Book Antiqua" w:hAnsi="Book Antiqua"/>
        </w:rPr>
      </w:pPr>
      <w:r>
        <w:rPr>
          <w:rFonts w:ascii="Book Antiqua" w:hAnsi="Book Antiqua"/>
        </w:rPr>
        <w:t xml:space="preserve">22. It follows that I find that family life not only existed at the time the Sponsor left Nepal in order to take up her right, as the widow of a Gurkha veteran, to indefinite leave to enter the United Kingdom in 2010 but that family life has been maintained and continues to subsist between the Sponsor and the Appellant. Thus I find that Article 8(1) of the ECHR is engaged. That being the case, Mr </w:t>
      </w:r>
      <w:proofErr w:type="spellStart"/>
      <w:r>
        <w:rPr>
          <w:rFonts w:ascii="Book Antiqua" w:hAnsi="Book Antiqua"/>
        </w:rPr>
        <w:t>Tufan</w:t>
      </w:r>
      <w:proofErr w:type="spellEnd"/>
      <w:r>
        <w:rPr>
          <w:rFonts w:ascii="Book Antiqua" w:hAnsi="Book Antiqua"/>
        </w:rPr>
        <w:t xml:space="preserve"> conceded that, in light of the Gurkha specific jurisprudence, that the refusal of entry clearance is a disproportionate interference with the right to family life between the Appellant and the Sponsor.</w:t>
      </w:r>
    </w:p>
    <w:p w:rsidR="002032B8" w:rsidRDefault="002032B8" w:rsidP="00D75387">
      <w:pPr>
        <w:spacing w:before="160"/>
        <w:rPr>
          <w:rFonts w:ascii="Book Antiqua" w:hAnsi="Book Antiqua"/>
        </w:rPr>
      </w:pPr>
      <w:r>
        <w:rPr>
          <w:rFonts w:ascii="Book Antiqua" w:hAnsi="Book Antiqua"/>
          <w:i/>
        </w:rPr>
        <w:t>Decision</w:t>
      </w:r>
    </w:p>
    <w:p w:rsidR="002032B8" w:rsidRDefault="002032B8" w:rsidP="00D75387">
      <w:pPr>
        <w:spacing w:before="160"/>
        <w:rPr>
          <w:rFonts w:ascii="Book Antiqua" w:hAnsi="Book Antiqua"/>
        </w:rPr>
      </w:pPr>
      <w:r>
        <w:rPr>
          <w:rFonts w:ascii="Book Antiqua" w:hAnsi="Book Antiqua"/>
        </w:rPr>
        <w:t>23. The appeal is allowed on human rights grounds. I direct that the Appellant be granted entry clearance.</w:t>
      </w:r>
    </w:p>
    <w:p w:rsidR="002032B8" w:rsidRDefault="002032B8" w:rsidP="006C47CF">
      <w:pPr>
        <w:rPr>
          <w:rFonts w:ascii="Book Antiqua" w:hAnsi="Book Antiqua"/>
        </w:rPr>
      </w:pPr>
    </w:p>
    <w:p w:rsidR="00D75387" w:rsidRDefault="00D75387" w:rsidP="006C47CF">
      <w:pPr>
        <w:rPr>
          <w:rFonts w:ascii="Book Antiqua" w:hAnsi="Book Antiqua"/>
        </w:rPr>
      </w:pPr>
    </w:p>
    <w:p w:rsidR="002032B8" w:rsidRPr="002032B8" w:rsidRDefault="002032B8" w:rsidP="006C47CF">
      <w:pPr>
        <w:rPr>
          <w:rFonts w:ascii="Lucida Calligraphy" w:hAnsi="Lucida Calligraphy"/>
        </w:rPr>
      </w:pPr>
      <w:r>
        <w:rPr>
          <w:rFonts w:ascii="Lucida Calligraphy" w:hAnsi="Lucida Calligraphy"/>
        </w:rPr>
        <w:t>Rebecca Chapman</w:t>
      </w:r>
    </w:p>
    <w:p w:rsidR="002032B8" w:rsidRDefault="002032B8" w:rsidP="006C47CF">
      <w:pPr>
        <w:rPr>
          <w:rFonts w:ascii="Book Antiqua" w:hAnsi="Book Antiqua"/>
        </w:rPr>
      </w:pPr>
    </w:p>
    <w:p w:rsidR="002032B8" w:rsidRDefault="002032B8" w:rsidP="006C47CF">
      <w:pPr>
        <w:rPr>
          <w:rFonts w:ascii="Book Antiqua" w:hAnsi="Book Antiqua"/>
        </w:rPr>
      </w:pPr>
      <w:r>
        <w:rPr>
          <w:rFonts w:ascii="Book Antiqua" w:hAnsi="Book Antiqua"/>
        </w:rPr>
        <w:t>Deputy Upper Tribunal Judge Chapman</w:t>
      </w:r>
    </w:p>
    <w:p w:rsidR="006C47CF" w:rsidRPr="002032B8" w:rsidRDefault="002032B8" w:rsidP="006C47CF">
      <w:pPr>
        <w:rPr>
          <w:rFonts w:ascii="Book Antiqua" w:hAnsi="Book Antiqua"/>
        </w:rPr>
      </w:pPr>
      <w:r>
        <w:rPr>
          <w:rFonts w:ascii="Book Antiqua" w:hAnsi="Book Antiqua"/>
        </w:rPr>
        <w:t>18 June 2018</w:t>
      </w:r>
    </w:p>
    <w:sectPr w:rsidR="006C47CF" w:rsidRPr="002032B8" w:rsidSect="00F024C0">
      <w:headerReference w:type="default" r:id="rId7"/>
      <w:footerReference w:type="even" r:id="rId8"/>
      <w:footerReference w:type="default" r:id="rId9"/>
      <w:footerReference w:type="first" r:id="rId10"/>
      <w:pgSz w:w="11900" w:h="16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E17" w:rsidRDefault="00206E17">
      <w:r>
        <w:separator/>
      </w:r>
    </w:p>
  </w:endnote>
  <w:endnote w:type="continuationSeparator" w:id="0">
    <w:p w:rsidR="00206E17" w:rsidRDefault="00206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altName w:val="Times Roman"/>
    <w:panose1 w:val="02020603050405020304"/>
    <w:charset w:val="4D"/>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7D1" w:rsidRDefault="00FC47D1" w:rsidP="001613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47D1" w:rsidRDefault="00FC47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727645350"/>
      <w:docPartObj>
        <w:docPartGallery w:val="Page Numbers (Bottom of Page)"/>
        <w:docPartUnique/>
      </w:docPartObj>
    </w:sdtPr>
    <w:sdtEndPr>
      <w:rPr>
        <w:noProof/>
      </w:rPr>
    </w:sdtEndPr>
    <w:sdtContent>
      <w:p w:rsidR="00F024C0" w:rsidRPr="00D75387" w:rsidRDefault="00F024C0">
        <w:pPr>
          <w:pStyle w:val="Footer"/>
          <w:jc w:val="center"/>
          <w:rPr>
            <w:sz w:val="20"/>
          </w:rPr>
        </w:pPr>
        <w:r w:rsidRPr="00D75387">
          <w:rPr>
            <w:sz w:val="20"/>
          </w:rPr>
          <w:fldChar w:fldCharType="begin"/>
        </w:r>
        <w:r w:rsidRPr="00D75387">
          <w:rPr>
            <w:sz w:val="20"/>
          </w:rPr>
          <w:instrText xml:space="preserve"> PAGE   \* MERGEFORMAT </w:instrText>
        </w:r>
        <w:r w:rsidRPr="00D75387">
          <w:rPr>
            <w:sz w:val="20"/>
          </w:rPr>
          <w:fldChar w:fldCharType="separate"/>
        </w:r>
        <w:r w:rsidR="00942933">
          <w:rPr>
            <w:noProof/>
            <w:sz w:val="20"/>
          </w:rPr>
          <w:t>6</w:t>
        </w:r>
        <w:r w:rsidRPr="00D75387">
          <w:rPr>
            <w:noProof/>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4C0" w:rsidRPr="00D75387" w:rsidRDefault="00F024C0" w:rsidP="00F024C0">
    <w:pPr>
      <w:pStyle w:val="Footer"/>
      <w:jc w:val="center"/>
      <w:rPr>
        <w:b/>
      </w:rPr>
    </w:pPr>
    <w:r w:rsidRPr="00D75387">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E17" w:rsidRDefault="00206E17">
      <w:r>
        <w:separator/>
      </w:r>
    </w:p>
  </w:footnote>
  <w:footnote w:type="continuationSeparator" w:id="0">
    <w:p w:rsidR="00206E17" w:rsidRDefault="00206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4C0" w:rsidRPr="00D75387" w:rsidRDefault="00F024C0" w:rsidP="00F024C0">
    <w:pPr>
      <w:pStyle w:val="Header"/>
      <w:jc w:val="right"/>
      <w:rPr>
        <w:sz w:val="20"/>
        <w:szCs w:val="22"/>
      </w:rPr>
    </w:pPr>
    <w:r w:rsidRPr="00D75387">
      <w:rPr>
        <w:sz w:val="20"/>
        <w:szCs w:val="22"/>
      </w:rPr>
      <w:t>HU/01685/2016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9A"/>
    <w:rsid w:val="00035001"/>
    <w:rsid w:val="00095D9F"/>
    <w:rsid w:val="000D3A9A"/>
    <w:rsid w:val="001613D3"/>
    <w:rsid w:val="001C6772"/>
    <w:rsid w:val="002032B8"/>
    <w:rsid w:val="00206E17"/>
    <w:rsid w:val="006A44E6"/>
    <w:rsid w:val="006C47CF"/>
    <w:rsid w:val="00861176"/>
    <w:rsid w:val="008F509B"/>
    <w:rsid w:val="00942933"/>
    <w:rsid w:val="00B117B8"/>
    <w:rsid w:val="00B20EF0"/>
    <w:rsid w:val="00D75387"/>
    <w:rsid w:val="00DA126A"/>
    <w:rsid w:val="00E62C71"/>
    <w:rsid w:val="00F024C0"/>
    <w:rsid w:val="00FA4464"/>
    <w:rsid w:val="00FC47D1"/>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9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3D3"/>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613D3"/>
    <w:pPr>
      <w:tabs>
        <w:tab w:val="center" w:pos="4320"/>
        <w:tab w:val="right" w:pos="8640"/>
      </w:tabs>
    </w:pPr>
  </w:style>
  <w:style w:type="character" w:customStyle="1" w:styleId="FooterChar">
    <w:name w:val="Footer Char"/>
    <w:basedOn w:val="DefaultParagraphFont"/>
    <w:link w:val="Footer"/>
    <w:uiPriority w:val="99"/>
    <w:rsid w:val="001613D3"/>
    <w:rPr>
      <w:rFonts w:ascii="Times New Roman" w:eastAsia="Times New Roman" w:hAnsi="Times New Roman" w:cs="Times New Roman"/>
      <w:lang w:val="en-GB" w:eastAsia="en-GB"/>
    </w:rPr>
  </w:style>
  <w:style w:type="character" w:styleId="PageNumber">
    <w:name w:val="page number"/>
    <w:basedOn w:val="DefaultParagraphFont"/>
    <w:uiPriority w:val="99"/>
    <w:semiHidden/>
    <w:unhideWhenUsed/>
    <w:rsid w:val="001613D3"/>
  </w:style>
  <w:style w:type="paragraph" w:styleId="NormalWeb">
    <w:name w:val="Normal (Web)"/>
    <w:basedOn w:val="Normal"/>
    <w:uiPriority w:val="99"/>
    <w:rsid w:val="00DA126A"/>
    <w:pPr>
      <w:spacing w:beforeLines="1" w:afterLines="1"/>
    </w:pPr>
    <w:rPr>
      <w:rFonts w:ascii="Times" w:eastAsiaTheme="minorHAnsi" w:hAnsi="Times"/>
      <w:sz w:val="20"/>
      <w:szCs w:val="20"/>
      <w:lang w:eastAsia="en-US"/>
    </w:rPr>
  </w:style>
  <w:style w:type="character" w:customStyle="1" w:styleId="apple-converted-space">
    <w:name w:val="apple-converted-space"/>
    <w:basedOn w:val="DefaultParagraphFont"/>
    <w:rsid w:val="00DA126A"/>
  </w:style>
  <w:style w:type="character" w:styleId="Hyperlink">
    <w:name w:val="Hyperlink"/>
    <w:basedOn w:val="DefaultParagraphFont"/>
    <w:uiPriority w:val="99"/>
    <w:rsid w:val="00DA126A"/>
    <w:rPr>
      <w:color w:val="0000FF"/>
      <w:u w:val="single"/>
    </w:rPr>
  </w:style>
  <w:style w:type="paragraph" w:styleId="Header">
    <w:name w:val="header"/>
    <w:basedOn w:val="Normal"/>
    <w:link w:val="HeaderChar"/>
    <w:uiPriority w:val="99"/>
    <w:unhideWhenUsed/>
    <w:rsid w:val="00F024C0"/>
    <w:pPr>
      <w:tabs>
        <w:tab w:val="center" w:pos="4513"/>
        <w:tab w:val="right" w:pos="9026"/>
      </w:tabs>
    </w:pPr>
  </w:style>
  <w:style w:type="character" w:customStyle="1" w:styleId="HeaderChar">
    <w:name w:val="Header Char"/>
    <w:basedOn w:val="DefaultParagraphFont"/>
    <w:link w:val="Header"/>
    <w:uiPriority w:val="99"/>
    <w:rsid w:val="00F024C0"/>
    <w:rPr>
      <w:rFonts w:ascii="Times New Roman" w:eastAsia="Times New Roman" w:hAnsi="Times New Roman" w:cs="Times New Roman"/>
      <w:lang w:val="en-GB" w:eastAsia="en-GB"/>
    </w:rPr>
  </w:style>
  <w:style w:type="paragraph" w:styleId="BalloonText">
    <w:name w:val="Balloon Text"/>
    <w:basedOn w:val="Normal"/>
    <w:link w:val="BalloonTextChar"/>
    <w:uiPriority w:val="99"/>
    <w:semiHidden/>
    <w:unhideWhenUsed/>
    <w:rsid w:val="000350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001"/>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296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2282</Words>
  <Characters>13008</Characters>
  <Application>Microsoft Office Word</Application>
  <DocSecurity>0</DocSecurity>
  <Lines>108</Lines>
  <Paragraphs>30</Paragraphs>
  <ScaleCrop>false</ScaleCrop>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2018-07-13T12:33:00Z</dcterms:created>
  <dcterms:modified xsi:type="dcterms:W3CDTF">2018-07-13T12:33:00Z</dcterms:modified>
</cp:coreProperties>
</file>