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D219F1" w:rsidP="001D60A6">
      <w:pPr>
        <w:pStyle w:val="Heading2"/>
      </w:pPr>
    </w:p>
    <w:p w:rsidR="00D219F1" w:rsidRPr="00BB0BED" w:rsidRDefault="00BB6D10"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7066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5626B0" w:rsidRDefault="00D219F1" w:rsidP="00473C4B">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DA09B8">
        <w:rPr>
          <w:rFonts w:ascii="Book Antiqua" w:hAnsi="Book Antiqua" w:cs="Arial"/>
          <w:color w:val="000000"/>
        </w:rPr>
        <w:t xml:space="preserve"> </w:t>
      </w:r>
      <w:bookmarkStart w:id="0" w:name="_GoBack"/>
      <w:r w:rsidR="00674203">
        <w:rPr>
          <w:rFonts w:ascii="Book Antiqua" w:hAnsi="Book Antiqua" w:cs="Arial"/>
          <w:color w:val="000000"/>
        </w:rPr>
        <w:t>HU/01704/</w:t>
      </w:r>
      <w:r w:rsidR="00177C8F">
        <w:rPr>
          <w:rFonts w:ascii="Book Antiqua" w:hAnsi="Book Antiqua" w:cs="Arial"/>
          <w:color w:val="000000"/>
        </w:rPr>
        <w:t>20</w:t>
      </w:r>
      <w:r w:rsidR="00674203">
        <w:rPr>
          <w:rFonts w:ascii="Book Antiqua" w:hAnsi="Book Antiqua" w:cs="Arial"/>
          <w:color w:val="000000"/>
        </w:rPr>
        <w:t>16</w:t>
      </w:r>
      <w:bookmarkEnd w:id="0"/>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Pr="0019206C" w:rsidRDefault="007D27D5" w:rsidP="0019206C">
      <w:pPr>
        <w:rPr>
          <w:rFonts w:ascii="Book Antiqua" w:hAnsi="Book Antiqua" w:cs="Arial"/>
          <w:b/>
        </w:rPr>
      </w:pPr>
      <w:r>
        <w:rPr>
          <w:rFonts w:ascii="Book Antiqua" w:hAnsi="Book Antiqua" w:cs="Arial"/>
          <w:b/>
        </w:rPr>
        <w:t xml:space="preserve"> </w:t>
      </w:r>
    </w:p>
    <w:p w:rsidR="0019206C" w:rsidRPr="0019206C" w:rsidRDefault="002901CA" w:rsidP="00F47D17">
      <w:pPr>
        <w:rPr>
          <w:rFonts w:ascii="Book Antiqua" w:hAnsi="Book Antiqua" w:cs="Arial"/>
          <w:b/>
        </w:rPr>
      </w:pPr>
      <w:r>
        <w:rPr>
          <w:rFonts w:ascii="Book Antiqua" w:hAnsi="Book Antiqua" w:cs="Arial"/>
          <w:b/>
        </w:rPr>
        <w:t>Heard at Manchester</w:t>
      </w:r>
      <w:r w:rsidR="007604B3">
        <w:rPr>
          <w:rFonts w:ascii="Book Antiqua" w:hAnsi="Book Antiqua" w:cs="Arial"/>
          <w:b/>
        </w:rPr>
        <w:t xml:space="preserve">                                                            Decision &amp; Reasons Promulgated      </w:t>
      </w:r>
    </w:p>
    <w:tbl>
      <w:tblPr>
        <w:tblW w:w="14212" w:type="dxa"/>
        <w:tblInd w:w="-142" w:type="dxa"/>
        <w:tblLook w:val="01E0" w:firstRow="1" w:lastRow="1" w:firstColumn="1" w:lastColumn="1" w:noHBand="0" w:noVBand="0"/>
      </w:tblPr>
      <w:tblGrid>
        <w:gridCol w:w="5529"/>
        <w:gridCol w:w="4775"/>
        <w:gridCol w:w="3908"/>
      </w:tblGrid>
      <w:tr w:rsidR="007604B3" w:rsidRPr="00C03009" w:rsidTr="00F47D17">
        <w:trPr>
          <w:trHeight w:val="361"/>
        </w:trPr>
        <w:tc>
          <w:tcPr>
            <w:tcW w:w="5529" w:type="dxa"/>
          </w:tcPr>
          <w:p w:rsidR="007604B3" w:rsidRPr="00C03009" w:rsidRDefault="007604B3" w:rsidP="00F47D17">
            <w:pPr>
              <w:jc w:val="both"/>
              <w:rPr>
                <w:rFonts w:ascii="Book Antiqua" w:hAnsi="Book Antiqua" w:cs="Arial"/>
                <w:b/>
              </w:rPr>
            </w:pPr>
            <w:r>
              <w:rPr>
                <w:rFonts w:ascii="Book Antiqua" w:hAnsi="Book Antiqua" w:cs="Arial"/>
                <w:b/>
              </w:rPr>
              <w:t>On 20</w:t>
            </w:r>
            <w:r w:rsidRPr="007604B3">
              <w:rPr>
                <w:rFonts w:ascii="Book Antiqua" w:hAnsi="Book Antiqua" w:cs="Arial"/>
                <w:b/>
                <w:vertAlign w:val="superscript"/>
              </w:rPr>
              <w:t>th</w:t>
            </w:r>
            <w:r>
              <w:rPr>
                <w:rFonts w:ascii="Book Antiqua" w:hAnsi="Book Antiqua" w:cs="Arial"/>
                <w:b/>
              </w:rPr>
              <w:t xml:space="preserve"> December 2017                             </w:t>
            </w:r>
          </w:p>
        </w:tc>
        <w:tc>
          <w:tcPr>
            <w:tcW w:w="4775" w:type="dxa"/>
          </w:tcPr>
          <w:p w:rsidR="007604B3" w:rsidRPr="00C03009" w:rsidRDefault="00F47D17" w:rsidP="00F47D17">
            <w:pPr>
              <w:jc w:val="both"/>
              <w:rPr>
                <w:rFonts w:ascii="Book Antiqua" w:hAnsi="Book Antiqua" w:cs="Arial"/>
                <w:b/>
                <w:color w:val="000000"/>
              </w:rPr>
            </w:pPr>
            <w:r>
              <w:rPr>
                <w:rFonts w:ascii="Book Antiqua" w:hAnsi="Book Antiqua" w:cs="Arial"/>
                <w:b/>
              </w:rPr>
              <w:t xml:space="preserve">      </w:t>
            </w:r>
            <w:r w:rsidR="007604B3">
              <w:rPr>
                <w:rFonts w:ascii="Book Antiqua" w:hAnsi="Book Antiqua" w:cs="Arial"/>
                <w:b/>
              </w:rPr>
              <w:t>On 15</w:t>
            </w:r>
            <w:r w:rsidR="007604B3" w:rsidRPr="007604B3">
              <w:rPr>
                <w:rFonts w:ascii="Book Antiqua" w:hAnsi="Book Antiqua" w:cs="Arial"/>
                <w:b/>
                <w:vertAlign w:val="superscript"/>
              </w:rPr>
              <w:t>th</w:t>
            </w:r>
            <w:r w:rsidR="007604B3">
              <w:rPr>
                <w:rFonts w:ascii="Book Antiqua" w:hAnsi="Book Antiqua" w:cs="Arial"/>
                <w:b/>
              </w:rPr>
              <w:t xml:space="preserve"> May 2018</w:t>
            </w:r>
          </w:p>
        </w:tc>
        <w:tc>
          <w:tcPr>
            <w:tcW w:w="3908" w:type="dxa"/>
          </w:tcPr>
          <w:p w:rsidR="007604B3" w:rsidRPr="00C03009" w:rsidRDefault="007604B3" w:rsidP="00F47D17">
            <w:pPr>
              <w:jc w:val="both"/>
              <w:rPr>
                <w:rFonts w:ascii="Book Antiqua" w:hAnsi="Book Antiqua" w:cs="Arial"/>
                <w:b/>
                <w:color w:val="000000"/>
              </w:rPr>
            </w:pPr>
          </w:p>
        </w:tc>
      </w:tr>
      <w:tr w:rsidR="007604B3" w:rsidRPr="00C03009" w:rsidTr="00F47D17">
        <w:trPr>
          <w:trHeight w:val="401"/>
        </w:trPr>
        <w:tc>
          <w:tcPr>
            <w:tcW w:w="5529" w:type="dxa"/>
          </w:tcPr>
          <w:p w:rsidR="007604B3" w:rsidRPr="00C03009" w:rsidRDefault="007604B3" w:rsidP="00F47D17">
            <w:pPr>
              <w:jc w:val="both"/>
              <w:rPr>
                <w:rFonts w:ascii="Book Antiqua" w:hAnsi="Book Antiqua" w:cs="Arial"/>
                <w:b/>
              </w:rPr>
            </w:pPr>
          </w:p>
        </w:tc>
        <w:tc>
          <w:tcPr>
            <w:tcW w:w="4775" w:type="dxa"/>
          </w:tcPr>
          <w:p w:rsidR="007604B3" w:rsidRPr="00C03009" w:rsidRDefault="007604B3" w:rsidP="00F47D17">
            <w:pPr>
              <w:jc w:val="both"/>
              <w:rPr>
                <w:rFonts w:ascii="Book Antiqua" w:hAnsi="Book Antiqua" w:cs="Arial"/>
                <w:b/>
              </w:rPr>
            </w:pPr>
          </w:p>
        </w:tc>
        <w:tc>
          <w:tcPr>
            <w:tcW w:w="3908" w:type="dxa"/>
          </w:tcPr>
          <w:p w:rsidR="007604B3" w:rsidRPr="00C03009" w:rsidRDefault="007604B3" w:rsidP="00F47D17">
            <w:pPr>
              <w:jc w:val="both"/>
              <w:rPr>
                <w:rFonts w:ascii="Book Antiqua" w:hAnsi="Book Antiqua" w:cs="Arial"/>
                <w:b/>
              </w:rPr>
            </w:pPr>
          </w:p>
        </w:tc>
      </w:tr>
      <w:tr w:rsidR="007604B3" w:rsidRPr="00C03009" w:rsidTr="00F47D17">
        <w:trPr>
          <w:trHeight w:val="361"/>
        </w:trPr>
        <w:tc>
          <w:tcPr>
            <w:tcW w:w="5529" w:type="dxa"/>
          </w:tcPr>
          <w:p w:rsidR="007604B3" w:rsidRPr="00C03009" w:rsidRDefault="007604B3" w:rsidP="00256F9B">
            <w:pPr>
              <w:jc w:val="both"/>
              <w:rPr>
                <w:rFonts w:ascii="Book Antiqua" w:hAnsi="Book Antiqua" w:cs="Arial"/>
                <w:b/>
              </w:rPr>
            </w:pPr>
          </w:p>
        </w:tc>
        <w:tc>
          <w:tcPr>
            <w:tcW w:w="4775" w:type="dxa"/>
          </w:tcPr>
          <w:p w:rsidR="007604B3" w:rsidRPr="00C03009" w:rsidRDefault="007604B3" w:rsidP="00256F9B">
            <w:pPr>
              <w:jc w:val="both"/>
              <w:rPr>
                <w:rFonts w:ascii="Book Antiqua" w:hAnsi="Book Antiqua" w:cs="Arial"/>
                <w:b/>
              </w:rPr>
            </w:pPr>
          </w:p>
        </w:tc>
        <w:tc>
          <w:tcPr>
            <w:tcW w:w="3908" w:type="dxa"/>
          </w:tcPr>
          <w:p w:rsidR="007604B3" w:rsidRPr="00C03009" w:rsidRDefault="007604B3" w:rsidP="00256F9B">
            <w:pPr>
              <w:jc w:val="both"/>
              <w:rPr>
                <w:rFonts w:ascii="Book Antiqua" w:hAnsi="Book Antiqua" w:cs="Arial"/>
                <w:b/>
              </w:rPr>
            </w:pPr>
          </w:p>
        </w:tc>
      </w:tr>
    </w:tbl>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125F39" w:rsidRDefault="00125F39" w:rsidP="00503887">
      <w:pPr>
        <w:jc w:val="center"/>
        <w:rPr>
          <w:rFonts w:ascii="Book Antiqua" w:hAnsi="Book Antiqua" w:cs="Arial"/>
          <w:b/>
        </w:rPr>
      </w:pPr>
    </w:p>
    <w:p w:rsidR="002901CA" w:rsidRDefault="001A3315" w:rsidP="002901CA">
      <w:pPr>
        <w:jc w:val="center"/>
        <w:rPr>
          <w:rFonts w:ascii="Book Antiqua" w:hAnsi="Book Antiqua" w:cs="Arial"/>
          <w:b/>
        </w:rPr>
      </w:pPr>
      <w:r>
        <w:rPr>
          <w:rFonts w:ascii="Book Antiqua" w:hAnsi="Book Antiqua" w:cs="Arial"/>
          <w:b/>
        </w:rPr>
        <w:t xml:space="preserve">Janet </w:t>
      </w:r>
      <w:r w:rsidR="00827CAB">
        <w:rPr>
          <w:rFonts w:ascii="Book Antiqua" w:hAnsi="Book Antiqua" w:cs="Arial"/>
          <w:b/>
        </w:rPr>
        <w:t>[</w:t>
      </w:r>
      <w:r>
        <w:rPr>
          <w:rFonts w:ascii="Book Antiqua" w:hAnsi="Book Antiqua" w:cs="Arial"/>
          <w:b/>
        </w:rPr>
        <w:t>P</w:t>
      </w:r>
      <w:r w:rsidR="00827CAB">
        <w:rPr>
          <w:rFonts w:ascii="Book Antiqua" w:hAnsi="Book Antiqua" w:cs="Arial"/>
          <w:b/>
        </w:rPr>
        <w:t>]</w:t>
      </w:r>
    </w:p>
    <w:p w:rsidR="002901CA" w:rsidRDefault="002901CA" w:rsidP="002901CA">
      <w:pPr>
        <w:jc w:val="center"/>
        <w:rPr>
          <w:rFonts w:ascii="Book Antiqua" w:hAnsi="Book Antiqua" w:cs="Arial"/>
          <w:b/>
        </w:rPr>
      </w:pPr>
      <w:r>
        <w:rPr>
          <w:rFonts w:ascii="Book Antiqua" w:hAnsi="Book Antiqua" w:cs="Arial"/>
          <w:b/>
        </w:rPr>
        <w:t>(</w:t>
      </w:r>
      <w:r w:rsidR="001A3315">
        <w:rPr>
          <w:rFonts w:ascii="Book Antiqua" w:hAnsi="Book Antiqua" w:cs="Arial"/>
          <w:b/>
        </w:rPr>
        <w:t xml:space="preserve">no </w:t>
      </w:r>
      <w:r>
        <w:rPr>
          <w:rFonts w:ascii="Book Antiqua" w:hAnsi="Book Antiqua" w:cs="Arial"/>
          <w:b/>
        </w:rPr>
        <w:t>anonymity direction made)</w:t>
      </w:r>
    </w:p>
    <w:p w:rsidR="00D219F1" w:rsidRPr="0003454D" w:rsidRDefault="00703A83" w:rsidP="00503887">
      <w:pPr>
        <w:jc w:val="right"/>
        <w:outlineLvl w:val="0"/>
        <w:rPr>
          <w:rFonts w:ascii="Book Antiqua" w:hAnsi="Book Antiqua" w:cs="Arial"/>
          <w:u w:val="single"/>
        </w:rPr>
      </w:pPr>
      <w:r w:rsidRPr="0003454D">
        <w:rPr>
          <w:rFonts w:ascii="Book Antiqua" w:hAnsi="Book Antiqua" w:cs="Arial"/>
          <w:u w:val="single"/>
        </w:rPr>
        <w:t>Appellant</w:t>
      </w:r>
    </w:p>
    <w:p w:rsidR="00D219F1" w:rsidRPr="0003454D" w:rsidRDefault="00764A18" w:rsidP="00503887">
      <w:pPr>
        <w:jc w:val="center"/>
        <w:rPr>
          <w:rFonts w:ascii="Book Antiqua" w:hAnsi="Book Antiqua" w:cs="Arial"/>
          <w:b/>
        </w:rPr>
      </w:pPr>
      <w:r w:rsidRPr="0003454D">
        <w:rPr>
          <w:rFonts w:ascii="Book Antiqua" w:hAnsi="Book Antiqua" w:cs="Arial"/>
          <w:b/>
        </w:rPr>
        <w:t>A</w:t>
      </w:r>
      <w:r w:rsidR="00D219F1" w:rsidRPr="0003454D">
        <w:rPr>
          <w:rFonts w:ascii="Book Antiqua" w:hAnsi="Book Antiqua" w:cs="Arial"/>
          <w:b/>
        </w:rPr>
        <w:t>nd</w:t>
      </w:r>
    </w:p>
    <w:p w:rsidR="008E5BD1" w:rsidRPr="0003454D" w:rsidRDefault="008E5BD1" w:rsidP="00503887">
      <w:pPr>
        <w:jc w:val="center"/>
        <w:rPr>
          <w:rFonts w:ascii="Book Antiqua" w:hAnsi="Book Antiqua" w:cs="Arial"/>
          <w:b/>
        </w:rPr>
      </w:pPr>
    </w:p>
    <w:p w:rsidR="002901CA" w:rsidRPr="0003454D" w:rsidRDefault="002901CA" w:rsidP="002901CA">
      <w:pPr>
        <w:jc w:val="center"/>
        <w:rPr>
          <w:rFonts w:ascii="Book Antiqua" w:hAnsi="Book Antiqua" w:cs="Arial"/>
          <w:b/>
        </w:rPr>
      </w:pPr>
      <w:r w:rsidRPr="0003454D">
        <w:rPr>
          <w:rFonts w:ascii="Book Antiqua" w:hAnsi="Book Antiqua" w:cs="Arial"/>
          <w:b/>
        </w:rPr>
        <w:t>The Secretary of State for the Home Department</w:t>
      </w:r>
    </w:p>
    <w:p w:rsidR="00D219F1" w:rsidRPr="0003454D" w:rsidRDefault="008E5BD1" w:rsidP="006B153F">
      <w:pPr>
        <w:jc w:val="right"/>
        <w:outlineLvl w:val="0"/>
        <w:rPr>
          <w:rFonts w:ascii="Book Antiqua" w:hAnsi="Book Antiqua" w:cs="Arial"/>
          <w:u w:val="single"/>
        </w:rPr>
      </w:pPr>
      <w:r w:rsidRPr="0003454D">
        <w:rPr>
          <w:rFonts w:ascii="Book Antiqua" w:hAnsi="Book Antiqua" w:cs="Arial"/>
          <w:u w:val="single"/>
        </w:rPr>
        <w:t>R</w:t>
      </w:r>
      <w:r w:rsidR="00D219F1" w:rsidRPr="0003454D">
        <w:rPr>
          <w:rFonts w:ascii="Book Antiqua" w:hAnsi="Book Antiqua" w:cs="Arial"/>
          <w:u w:val="single"/>
        </w:rPr>
        <w:t>espondent</w:t>
      </w:r>
    </w:p>
    <w:p w:rsidR="00B9548C" w:rsidRPr="0003454D" w:rsidRDefault="00B9548C" w:rsidP="00473C4B">
      <w:pPr>
        <w:rPr>
          <w:rFonts w:ascii="Book Antiqua" w:hAnsi="Book Antiqua" w:cs="Arial"/>
          <w:b/>
        </w:rPr>
      </w:pPr>
    </w:p>
    <w:p w:rsidR="00832393" w:rsidRPr="0003454D" w:rsidRDefault="00B9548C" w:rsidP="00832393">
      <w:pPr>
        <w:rPr>
          <w:rFonts w:ascii="Book Antiqua" w:hAnsi="Book Antiqua" w:cs="Arial"/>
          <w:b/>
        </w:rPr>
      </w:pPr>
      <w:r w:rsidRPr="0003454D">
        <w:rPr>
          <w:rFonts w:ascii="Book Antiqua" w:hAnsi="Book Antiqua" w:cs="Arial"/>
          <w:b/>
        </w:rPr>
        <w:t>For the Appellant</w:t>
      </w:r>
      <w:r w:rsidR="003F2220" w:rsidRPr="0003454D">
        <w:rPr>
          <w:rFonts w:ascii="Book Antiqua" w:hAnsi="Book Antiqua" w:cs="Arial"/>
          <w:b/>
        </w:rPr>
        <w:t>:</w:t>
      </w:r>
      <w:r w:rsidR="00F8174D" w:rsidRPr="0003454D">
        <w:rPr>
          <w:rFonts w:ascii="Book Antiqua" w:hAnsi="Book Antiqua" w:cs="Arial"/>
          <w:b/>
        </w:rPr>
        <w:tab/>
      </w:r>
      <w:r w:rsidR="003F2220" w:rsidRPr="0003454D">
        <w:rPr>
          <w:rFonts w:ascii="Book Antiqua" w:hAnsi="Book Antiqua" w:cs="Arial"/>
          <w:b/>
        </w:rPr>
        <w:tab/>
      </w:r>
      <w:r w:rsidR="0003454D" w:rsidRPr="0003454D">
        <w:rPr>
          <w:rFonts w:ascii="Book Antiqua" w:hAnsi="Book Antiqua" w:cs="Arial"/>
          <w:b/>
        </w:rPr>
        <w:t xml:space="preserve">Mr R. </w:t>
      </w:r>
      <w:proofErr w:type="spellStart"/>
      <w:r w:rsidR="0003454D" w:rsidRPr="0003454D">
        <w:rPr>
          <w:rFonts w:ascii="Book Antiqua" w:hAnsi="Book Antiqua" w:cs="Arial"/>
          <w:b/>
        </w:rPr>
        <w:t>O’Ryan</w:t>
      </w:r>
      <w:proofErr w:type="spellEnd"/>
      <w:r w:rsidR="00674203" w:rsidRPr="0003454D">
        <w:rPr>
          <w:rFonts w:ascii="Book Antiqua" w:hAnsi="Book Antiqua" w:cs="Arial"/>
          <w:b/>
        </w:rPr>
        <w:t>, Counsel instructed by Paragon Law</w:t>
      </w:r>
    </w:p>
    <w:p w:rsidR="00832393" w:rsidRPr="0003454D" w:rsidRDefault="0019206C" w:rsidP="00F8174D">
      <w:pPr>
        <w:rPr>
          <w:rFonts w:ascii="Book Antiqua" w:hAnsi="Book Antiqua" w:cs="Arial"/>
          <w:b/>
        </w:rPr>
      </w:pPr>
      <w:r w:rsidRPr="0003454D">
        <w:rPr>
          <w:rFonts w:ascii="Book Antiqua" w:hAnsi="Book Antiqua" w:cs="Arial"/>
          <w:b/>
        </w:rPr>
        <w:t>For the Respondent</w:t>
      </w:r>
      <w:r w:rsidR="00E96F21" w:rsidRPr="0003454D">
        <w:rPr>
          <w:rFonts w:ascii="Book Antiqua" w:hAnsi="Book Antiqua" w:cs="Arial"/>
          <w:b/>
        </w:rPr>
        <w:t xml:space="preserve">: </w:t>
      </w:r>
      <w:r w:rsidR="00B9548C" w:rsidRPr="0003454D">
        <w:rPr>
          <w:rFonts w:ascii="Book Antiqua" w:hAnsi="Book Antiqua" w:cs="Arial"/>
          <w:b/>
        </w:rPr>
        <w:tab/>
      </w:r>
      <w:r w:rsidR="002901CA" w:rsidRPr="0003454D">
        <w:rPr>
          <w:rFonts w:ascii="Book Antiqua" w:hAnsi="Book Antiqua" w:cs="Arial"/>
          <w:b/>
        </w:rPr>
        <w:t xml:space="preserve">Mr </w:t>
      </w:r>
      <w:r w:rsidR="0003454D" w:rsidRPr="0003454D">
        <w:rPr>
          <w:rFonts w:ascii="Book Antiqua" w:hAnsi="Book Antiqua" w:cs="Arial"/>
          <w:b/>
        </w:rPr>
        <w:t xml:space="preserve">G. </w:t>
      </w:r>
      <w:r w:rsidR="006E6149" w:rsidRPr="0003454D">
        <w:rPr>
          <w:rFonts w:ascii="Book Antiqua" w:hAnsi="Book Antiqua" w:cs="Arial"/>
          <w:b/>
        </w:rPr>
        <w:t>Harrison, Senior</w:t>
      </w:r>
      <w:r w:rsidR="002901CA" w:rsidRPr="0003454D">
        <w:rPr>
          <w:rFonts w:ascii="Book Antiqua" w:hAnsi="Book Antiqua" w:cs="Arial"/>
          <w:b/>
        </w:rPr>
        <w:t xml:space="preserve"> Home Office Presenting Officer</w:t>
      </w:r>
    </w:p>
    <w:p w:rsidR="00E96F21" w:rsidRPr="0003454D" w:rsidRDefault="00E96F21" w:rsidP="00473C4B">
      <w:pPr>
        <w:rPr>
          <w:rFonts w:ascii="Book Antiqua" w:hAnsi="Book Antiqua" w:cs="Arial"/>
          <w:b/>
        </w:rPr>
      </w:pPr>
    </w:p>
    <w:p w:rsidR="00B9548C" w:rsidRPr="0003454D" w:rsidRDefault="00B9548C" w:rsidP="00473C4B">
      <w:pPr>
        <w:rPr>
          <w:rFonts w:ascii="Book Antiqua" w:hAnsi="Book Antiqua" w:cs="Arial"/>
          <w:b/>
        </w:rPr>
      </w:pPr>
    </w:p>
    <w:p w:rsidR="00832393" w:rsidRPr="00A80E09" w:rsidRDefault="008E5BD1" w:rsidP="008E5BD1">
      <w:pPr>
        <w:tabs>
          <w:tab w:val="left" w:pos="2520"/>
        </w:tabs>
        <w:jc w:val="center"/>
        <w:outlineLvl w:val="0"/>
        <w:rPr>
          <w:rFonts w:ascii="Book Antiqua" w:hAnsi="Book Antiqua" w:cs="Arial"/>
          <w:b/>
          <w:u w:val="single"/>
        </w:rPr>
      </w:pPr>
      <w:r w:rsidRPr="0003454D">
        <w:rPr>
          <w:rFonts w:ascii="Book Antiqua" w:hAnsi="Book Antiqua" w:cs="Arial"/>
          <w:b/>
          <w:u w:val="single"/>
        </w:rPr>
        <w:t>DETERMINATION AND REASONS</w:t>
      </w:r>
    </w:p>
    <w:p w:rsidR="00A80E09" w:rsidRPr="00A80E09" w:rsidRDefault="00A80E09" w:rsidP="00ED7C3A">
      <w:pPr>
        <w:tabs>
          <w:tab w:val="left" w:pos="2520"/>
        </w:tabs>
        <w:jc w:val="center"/>
        <w:outlineLvl w:val="0"/>
        <w:rPr>
          <w:rFonts w:ascii="Book Antiqua" w:hAnsi="Book Antiqua" w:cs="Arial"/>
          <w:b/>
          <w:u w:val="single"/>
        </w:rPr>
      </w:pPr>
    </w:p>
    <w:p w:rsidR="00674203" w:rsidRDefault="0019206C" w:rsidP="00CD566B">
      <w:pPr>
        <w:numPr>
          <w:ilvl w:val="0"/>
          <w:numId w:val="1"/>
        </w:numPr>
        <w:tabs>
          <w:tab w:val="left" w:pos="567"/>
        </w:tabs>
        <w:ind w:left="567" w:right="567"/>
        <w:jc w:val="both"/>
        <w:rPr>
          <w:rFonts w:ascii="Book Antiqua" w:hAnsi="Book Antiqua" w:cs="Arial"/>
        </w:rPr>
      </w:pPr>
      <w:r w:rsidRPr="00A80E09">
        <w:rPr>
          <w:rFonts w:ascii="Book Antiqua" w:hAnsi="Book Antiqua" w:cs="Arial"/>
        </w:rPr>
        <w:t>T</w:t>
      </w:r>
      <w:r w:rsidR="00B9548C" w:rsidRPr="00A80E09">
        <w:rPr>
          <w:rFonts w:ascii="Book Antiqua" w:hAnsi="Book Antiqua" w:cs="Arial"/>
        </w:rPr>
        <w:t>he</w:t>
      </w:r>
      <w:r w:rsidR="002F5FFF" w:rsidRPr="00A80E09">
        <w:rPr>
          <w:rFonts w:ascii="Book Antiqua" w:hAnsi="Book Antiqua" w:cs="Arial"/>
        </w:rPr>
        <w:t xml:space="preserve"> </w:t>
      </w:r>
      <w:r w:rsidR="002901CA">
        <w:rPr>
          <w:rFonts w:ascii="Book Antiqua" w:hAnsi="Book Antiqua" w:cs="Arial"/>
        </w:rPr>
        <w:t xml:space="preserve">Appellant </w:t>
      </w:r>
      <w:r w:rsidR="008E5BD1">
        <w:rPr>
          <w:rFonts w:ascii="Book Antiqua" w:hAnsi="Book Antiqua" w:cs="Arial"/>
        </w:rPr>
        <w:t xml:space="preserve">is a national of </w:t>
      </w:r>
      <w:r w:rsidR="00674203">
        <w:rPr>
          <w:rFonts w:ascii="Book Antiqua" w:hAnsi="Book Antiqua" w:cs="Arial"/>
        </w:rPr>
        <w:t>Uganda born in 1997</w:t>
      </w:r>
      <w:r w:rsidR="00F8174D">
        <w:rPr>
          <w:rFonts w:ascii="Book Antiqua" w:hAnsi="Book Antiqua" w:cs="Arial"/>
        </w:rPr>
        <w:t xml:space="preserve">. </w:t>
      </w:r>
      <w:r w:rsidR="0003454D">
        <w:rPr>
          <w:rFonts w:ascii="Book Antiqua" w:hAnsi="Book Antiqua" w:cs="Arial"/>
        </w:rPr>
        <w:t>By way of an application made in September 2015 she sought</w:t>
      </w:r>
      <w:r w:rsidR="00674203">
        <w:rPr>
          <w:rFonts w:ascii="Book Antiqua" w:hAnsi="Book Antiqua" w:cs="Arial"/>
        </w:rPr>
        <w:t xml:space="preserve"> leave to remain in the United Kingdom on human rights grounds.  </w:t>
      </w:r>
    </w:p>
    <w:p w:rsidR="00674203" w:rsidRDefault="00674203" w:rsidP="00674203">
      <w:pPr>
        <w:tabs>
          <w:tab w:val="left" w:pos="567"/>
        </w:tabs>
        <w:ind w:left="567" w:right="567"/>
        <w:jc w:val="both"/>
        <w:rPr>
          <w:rFonts w:ascii="Book Antiqua" w:hAnsi="Book Antiqua" w:cs="Arial"/>
        </w:rPr>
      </w:pPr>
    </w:p>
    <w:p w:rsidR="00674203" w:rsidRDefault="00674203" w:rsidP="00CD566B">
      <w:pPr>
        <w:numPr>
          <w:ilvl w:val="0"/>
          <w:numId w:val="1"/>
        </w:numPr>
        <w:tabs>
          <w:tab w:val="left" w:pos="567"/>
        </w:tabs>
        <w:ind w:left="567" w:right="567"/>
        <w:jc w:val="both"/>
        <w:rPr>
          <w:rFonts w:ascii="Book Antiqua" w:hAnsi="Book Antiqua" w:cs="Arial"/>
        </w:rPr>
      </w:pPr>
      <w:r>
        <w:rPr>
          <w:rFonts w:ascii="Book Antiqua" w:hAnsi="Book Antiqua" w:cs="Arial"/>
        </w:rPr>
        <w:t>The Respondent refused her application on the 5</w:t>
      </w:r>
      <w:r w:rsidRPr="00674203">
        <w:rPr>
          <w:rFonts w:ascii="Book Antiqua" w:hAnsi="Book Antiqua" w:cs="Arial"/>
          <w:vertAlign w:val="superscript"/>
        </w:rPr>
        <w:t>th</w:t>
      </w:r>
      <w:r>
        <w:rPr>
          <w:rFonts w:ascii="Book Antiqua" w:hAnsi="Book Antiqua" w:cs="Arial"/>
        </w:rPr>
        <w:t xml:space="preserve"> January 2016.  The Respondent noted that the basis of the claim was the Appellant’s long-standing relationship with a British national.   The Appellant could not be granted leave to remain under the ‘five-year route to settlement’ because she did not have leave in an applicable category: she had entered the UK as a visitor in 2001 and had </w:t>
      </w:r>
      <w:r>
        <w:rPr>
          <w:rFonts w:ascii="Book Antiqua" w:hAnsi="Book Antiqua" w:cs="Arial"/>
        </w:rPr>
        <w:lastRenderedPageBreak/>
        <w:t>overstayed. The only way that she could therefore succeed with reference to ‘Appendix FM’ of the Immigration Rules would be under the ‘ten-year route to settlement’. This required the Appellant to show that one or more of the ‘exceptions’ in paragraph EX.1 applied to her case:</w:t>
      </w:r>
    </w:p>
    <w:p w:rsidR="00674203" w:rsidRPr="006E6149" w:rsidRDefault="00674203" w:rsidP="006E6149">
      <w:pPr>
        <w:spacing w:before="120" w:after="120"/>
        <w:ind w:left="1134" w:right="1134"/>
        <w:rPr>
          <w:rFonts w:ascii="Book Antiqua" w:eastAsia="Times New Roman" w:hAnsi="Book Antiqua"/>
          <w:sz w:val="22"/>
          <w:szCs w:val="22"/>
          <w:lang w:val="en"/>
        </w:rPr>
      </w:pPr>
      <w:r w:rsidRPr="006E6149">
        <w:rPr>
          <w:rFonts w:ascii="Book Antiqua" w:eastAsia="Times New Roman" w:hAnsi="Book Antiqua"/>
          <w:sz w:val="22"/>
          <w:szCs w:val="22"/>
          <w:lang w:val="en"/>
        </w:rPr>
        <w:t>EX.1. This paragraph applies if</w:t>
      </w:r>
    </w:p>
    <w:p w:rsidR="00674203" w:rsidRPr="006E6149" w:rsidRDefault="006E6149" w:rsidP="006E6149">
      <w:pPr>
        <w:tabs>
          <w:tab w:val="left" w:pos="1560"/>
          <w:tab w:val="left" w:pos="1985"/>
        </w:tabs>
        <w:spacing w:before="120" w:after="120"/>
        <w:ind w:left="1134" w:right="1134"/>
        <w:rPr>
          <w:rFonts w:ascii="Book Antiqua" w:eastAsia="Times New Roman" w:hAnsi="Book Antiqua"/>
          <w:sz w:val="22"/>
          <w:szCs w:val="22"/>
          <w:lang w:val="en"/>
        </w:rPr>
      </w:pPr>
      <w:r w:rsidRPr="006E6149">
        <w:rPr>
          <w:rFonts w:ascii="Book Antiqua" w:eastAsia="Times New Roman" w:hAnsi="Book Antiqua"/>
          <w:sz w:val="22"/>
          <w:szCs w:val="22"/>
          <w:lang w:val="en"/>
        </w:rPr>
        <w:t>(a</w:t>
      </w:r>
      <w:r>
        <w:rPr>
          <w:rFonts w:ascii="Book Antiqua" w:eastAsia="Times New Roman" w:hAnsi="Book Antiqua"/>
          <w:sz w:val="22"/>
          <w:szCs w:val="22"/>
          <w:lang w:val="en"/>
        </w:rPr>
        <w:t>)</w:t>
      </w:r>
      <w:r>
        <w:rPr>
          <w:rFonts w:ascii="Book Antiqua" w:eastAsia="Times New Roman" w:hAnsi="Book Antiqua"/>
          <w:sz w:val="22"/>
          <w:szCs w:val="22"/>
          <w:lang w:val="en"/>
        </w:rPr>
        <w:tab/>
      </w:r>
      <w:r w:rsidR="00674203" w:rsidRPr="006E6149">
        <w:rPr>
          <w:rFonts w:ascii="Book Antiqua" w:eastAsia="Times New Roman" w:hAnsi="Book Antiqua"/>
          <w:sz w:val="22"/>
          <w:szCs w:val="22"/>
          <w:lang w:val="en"/>
        </w:rPr>
        <w:t>(</w:t>
      </w:r>
      <w:proofErr w:type="spellStart"/>
      <w:r w:rsidR="00674203" w:rsidRPr="006E6149">
        <w:rPr>
          <w:rFonts w:ascii="Book Antiqua" w:eastAsia="Times New Roman" w:hAnsi="Book Antiqua"/>
          <w:sz w:val="22"/>
          <w:szCs w:val="22"/>
          <w:lang w:val="en"/>
        </w:rPr>
        <w:t>i</w:t>
      </w:r>
      <w:proofErr w:type="spellEnd"/>
      <w:r w:rsidR="00674203" w:rsidRPr="006E6149">
        <w:rPr>
          <w:rFonts w:ascii="Book Antiqua" w:eastAsia="Times New Roman" w:hAnsi="Book Antiqua"/>
          <w:sz w:val="22"/>
          <w:szCs w:val="22"/>
          <w:lang w:val="en"/>
        </w:rPr>
        <w:t>)</w:t>
      </w:r>
      <w:r>
        <w:rPr>
          <w:rFonts w:ascii="Book Antiqua" w:eastAsia="Times New Roman" w:hAnsi="Book Antiqua"/>
          <w:sz w:val="22"/>
          <w:szCs w:val="22"/>
          <w:lang w:val="en"/>
        </w:rPr>
        <w:tab/>
      </w:r>
      <w:r w:rsidR="00674203" w:rsidRPr="006E6149">
        <w:rPr>
          <w:rFonts w:ascii="Book Antiqua" w:eastAsia="Times New Roman" w:hAnsi="Book Antiqua"/>
          <w:sz w:val="22"/>
          <w:szCs w:val="22"/>
          <w:lang w:val="en"/>
        </w:rPr>
        <w:t xml:space="preserve">the applicant has a genuine and subsisting parental relationship with a child who- </w:t>
      </w:r>
    </w:p>
    <w:p w:rsidR="00674203" w:rsidRPr="006E6149" w:rsidRDefault="00674203" w:rsidP="006E6149">
      <w:pPr>
        <w:tabs>
          <w:tab w:val="left" w:pos="2410"/>
        </w:tabs>
        <w:spacing w:before="120" w:after="120"/>
        <w:ind w:left="1985" w:right="1134"/>
        <w:rPr>
          <w:rFonts w:ascii="Book Antiqua" w:eastAsia="Times New Roman" w:hAnsi="Book Antiqua"/>
          <w:sz w:val="22"/>
          <w:szCs w:val="22"/>
          <w:lang w:val="en"/>
        </w:rPr>
      </w:pPr>
      <w:r w:rsidRPr="006E6149">
        <w:rPr>
          <w:rFonts w:ascii="Book Antiqua" w:eastAsia="Times New Roman" w:hAnsi="Book Antiqua"/>
          <w:sz w:val="22"/>
          <w:szCs w:val="22"/>
          <w:lang w:val="en"/>
        </w:rPr>
        <w:t>(</w:t>
      </w:r>
      <w:r w:rsidR="006E6149">
        <w:rPr>
          <w:rFonts w:ascii="Book Antiqua" w:eastAsia="Times New Roman" w:hAnsi="Book Antiqua"/>
          <w:sz w:val="22"/>
          <w:szCs w:val="22"/>
          <w:lang w:val="en"/>
        </w:rPr>
        <w:t>aa)</w:t>
      </w:r>
      <w:r w:rsidR="006E6149">
        <w:rPr>
          <w:rFonts w:ascii="Book Antiqua" w:eastAsia="Times New Roman" w:hAnsi="Book Antiqua"/>
          <w:sz w:val="22"/>
          <w:szCs w:val="22"/>
          <w:lang w:val="en"/>
        </w:rPr>
        <w:tab/>
      </w:r>
      <w:r w:rsidRPr="006E6149">
        <w:rPr>
          <w:rFonts w:ascii="Book Antiqua" w:eastAsia="Times New Roman" w:hAnsi="Book Antiqua"/>
          <w:sz w:val="22"/>
          <w:szCs w:val="22"/>
          <w:lang w:val="en"/>
        </w:rPr>
        <w:t>is under the age of 18 years, or was under the age of 18 years when the applicant was first granted leave on the basis that this paragraph applied;</w:t>
      </w:r>
    </w:p>
    <w:p w:rsidR="00093882" w:rsidRPr="006E6149" w:rsidRDefault="006E6149" w:rsidP="006E6149">
      <w:pPr>
        <w:tabs>
          <w:tab w:val="left" w:pos="2410"/>
        </w:tabs>
        <w:spacing w:before="120" w:after="120"/>
        <w:ind w:left="1985" w:right="1134"/>
        <w:rPr>
          <w:rFonts w:ascii="Book Antiqua" w:eastAsia="Times New Roman" w:hAnsi="Book Antiqua"/>
          <w:sz w:val="22"/>
          <w:szCs w:val="22"/>
          <w:lang w:val="en"/>
        </w:rPr>
      </w:pPr>
      <w:r>
        <w:rPr>
          <w:rFonts w:ascii="Book Antiqua" w:eastAsia="Times New Roman" w:hAnsi="Book Antiqua"/>
          <w:sz w:val="22"/>
          <w:szCs w:val="22"/>
          <w:lang w:val="en"/>
        </w:rPr>
        <w:t>(bb)</w:t>
      </w:r>
      <w:r>
        <w:rPr>
          <w:rFonts w:ascii="Book Antiqua" w:eastAsia="Times New Roman" w:hAnsi="Book Antiqua"/>
          <w:sz w:val="22"/>
          <w:szCs w:val="22"/>
          <w:lang w:val="en"/>
        </w:rPr>
        <w:tab/>
      </w:r>
      <w:r w:rsidR="00674203" w:rsidRPr="006E6149">
        <w:rPr>
          <w:rFonts w:ascii="Book Antiqua" w:eastAsia="Times New Roman" w:hAnsi="Book Antiqua"/>
          <w:sz w:val="22"/>
          <w:szCs w:val="22"/>
          <w:lang w:val="en"/>
        </w:rPr>
        <w:t>is in the UK;</w:t>
      </w:r>
    </w:p>
    <w:p w:rsidR="00674203" w:rsidRPr="006E6149" w:rsidRDefault="006E6149" w:rsidP="006E6149">
      <w:pPr>
        <w:tabs>
          <w:tab w:val="left" w:pos="2410"/>
        </w:tabs>
        <w:spacing w:before="120" w:after="120"/>
        <w:ind w:left="1985" w:right="1134"/>
        <w:rPr>
          <w:rFonts w:ascii="Book Antiqua" w:eastAsia="Times New Roman" w:hAnsi="Book Antiqua"/>
          <w:sz w:val="22"/>
          <w:szCs w:val="22"/>
          <w:lang w:val="en"/>
        </w:rPr>
      </w:pPr>
      <w:r>
        <w:rPr>
          <w:rFonts w:ascii="Book Antiqua" w:eastAsia="Times New Roman" w:hAnsi="Book Antiqua"/>
          <w:sz w:val="22"/>
          <w:szCs w:val="22"/>
          <w:lang w:val="en"/>
        </w:rPr>
        <w:t>(cc)</w:t>
      </w:r>
      <w:r>
        <w:rPr>
          <w:rFonts w:ascii="Book Antiqua" w:eastAsia="Times New Roman" w:hAnsi="Book Antiqua"/>
          <w:sz w:val="22"/>
          <w:szCs w:val="22"/>
          <w:lang w:val="en"/>
        </w:rPr>
        <w:tab/>
      </w:r>
      <w:r w:rsidR="00674203" w:rsidRPr="006E6149">
        <w:rPr>
          <w:rFonts w:ascii="Book Antiqua" w:eastAsia="Times New Roman" w:hAnsi="Book Antiqua"/>
          <w:sz w:val="22"/>
          <w:szCs w:val="22"/>
          <w:lang w:val="en"/>
        </w:rPr>
        <w:t>is a British Citizen or has lived in the UK continuously for at least the 7 years immediately pr</w:t>
      </w:r>
      <w:r w:rsidR="00D42D15" w:rsidRPr="006E6149">
        <w:rPr>
          <w:rFonts w:ascii="Book Antiqua" w:eastAsia="Times New Roman" w:hAnsi="Book Antiqua"/>
          <w:sz w:val="22"/>
          <w:szCs w:val="22"/>
          <w:lang w:val="en"/>
        </w:rPr>
        <w:t>eceding the date of application</w:t>
      </w:r>
      <w:r w:rsidR="00674203" w:rsidRPr="006E6149">
        <w:rPr>
          <w:rFonts w:ascii="Book Antiqua" w:eastAsia="Times New Roman" w:hAnsi="Book Antiqua"/>
          <w:sz w:val="22"/>
          <w:szCs w:val="22"/>
          <w:lang w:val="en"/>
        </w:rPr>
        <w:t>;</w:t>
      </w:r>
      <w:r w:rsidR="00D42D15" w:rsidRPr="006E6149">
        <w:rPr>
          <w:rFonts w:ascii="Book Antiqua" w:eastAsia="Times New Roman" w:hAnsi="Book Antiqua"/>
          <w:sz w:val="22"/>
          <w:szCs w:val="22"/>
          <w:lang w:val="en"/>
        </w:rPr>
        <w:t xml:space="preserve"> </w:t>
      </w:r>
      <w:r w:rsidR="00674203" w:rsidRPr="006E6149">
        <w:rPr>
          <w:rFonts w:ascii="Book Antiqua" w:eastAsia="Times New Roman" w:hAnsi="Book Antiqua"/>
          <w:sz w:val="22"/>
          <w:szCs w:val="22"/>
          <w:lang w:val="en"/>
        </w:rPr>
        <w:t>and</w:t>
      </w:r>
    </w:p>
    <w:p w:rsidR="00674203" w:rsidRPr="006E6149" w:rsidRDefault="00674203" w:rsidP="006E6149">
      <w:pPr>
        <w:tabs>
          <w:tab w:val="left" w:pos="1985"/>
        </w:tabs>
        <w:spacing w:before="120" w:after="120"/>
        <w:ind w:left="1560" w:right="1134"/>
        <w:rPr>
          <w:rFonts w:ascii="Book Antiqua" w:eastAsia="Times New Roman" w:hAnsi="Book Antiqua"/>
          <w:sz w:val="22"/>
          <w:szCs w:val="22"/>
          <w:lang w:val="en"/>
        </w:rPr>
      </w:pPr>
      <w:r w:rsidRPr="006E6149">
        <w:rPr>
          <w:rFonts w:ascii="Book Antiqua" w:eastAsia="Times New Roman" w:hAnsi="Book Antiqua"/>
          <w:sz w:val="22"/>
          <w:szCs w:val="22"/>
          <w:lang w:val="en"/>
        </w:rPr>
        <w:t>(ii)</w:t>
      </w:r>
      <w:r w:rsidR="006E6149">
        <w:rPr>
          <w:rFonts w:ascii="Book Antiqua" w:eastAsia="Times New Roman" w:hAnsi="Book Antiqua"/>
          <w:sz w:val="22"/>
          <w:szCs w:val="22"/>
          <w:lang w:val="en"/>
        </w:rPr>
        <w:tab/>
      </w:r>
      <w:proofErr w:type="gramStart"/>
      <w:r w:rsidRPr="006E6149">
        <w:rPr>
          <w:rFonts w:ascii="Book Antiqua" w:eastAsia="Times New Roman" w:hAnsi="Book Antiqua"/>
          <w:sz w:val="22"/>
          <w:szCs w:val="22"/>
          <w:lang w:val="en"/>
        </w:rPr>
        <w:t>taking into account</w:t>
      </w:r>
      <w:proofErr w:type="gramEnd"/>
      <w:r w:rsidRPr="006E6149">
        <w:rPr>
          <w:rFonts w:ascii="Book Antiqua" w:eastAsia="Times New Roman" w:hAnsi="Book Antiqua"/>
          <w:sz w:val="22"/>
          <w:szCs w:val="22"/>
          <w:lang w:val="en"/>
        </w:rPr>
        <w:t xml:space="preserve"> their best interests as a primary consideration, it would not be reasonable to expect the child to leave the UK; </w:t>
      </w:r>
      <w:r w:rsidRPr="006E6149">
        <w:rPr>
          <w:rFonts w:ascii="Book Antiqua" w:eastAsia="Times New Roman" w:hAnsi="Book Antiqua"/>
          <w:i/>
          <w:sz w:val="22"/>
          <w:szCs w:val="22"/>
          <w:lang w:val="en"/>
        </w:rPr>
        <w:t>or</w:t>
      </w:r>
    </w:p>
    <w:p w:rsidR="00674203" w:rsidRPr="006E6149" w:rsidRDefault="00674203" w:rsidP="006E6149">
      <w:pPr>
        <w:tabs>
          <w:tab w:val="left" w:pos="1560"/>
        </w:tabs>
        <w:spacing w:before="120" w:after="120"/>
        <w:ind w:left="1134" w:right="1134"/>
        <w:rPr>
          <w:rFonts w:ascii="Book Antiqua" w:eastAsia="Times New Roman" w:hAnsi="Book Antiqua"/>
          <w:sz w:val="22"/>
          <w:szCs w:val="22"/>
          <w:lang w:val="en"/>
        </w:rPr>
      </w:pPr>
      <w:r w:rsidRPr="006E6149">
        <w:rPr>
          <w:rFonts w:ascii="Book Antiqua" w:eastAsia="Times New Roman" w:hAnsi="Book Antiqua"/>
          <w:sz w:val="22"/>
          <w:szCs w:val="22"/>
          <w:lang w:val="en"/>
        </w:rPr>
        <w:t xml:space="preserve">(b) </w:t>
      </w:r>
      <w:r w:rsidR="006E6149">
        <w:rPr>
          <w:rFonts w:ascii="Book Antiqua" w:eastAsia="Times New Roman" w:hAnsi="Book Antiqua"/>
          <w:sz w:val="22"/>
          <w:szCs w:val="22"/>
          <w:lang w:val="en"/>
        </w:rPr>
        <w:tab/>
      </w:r>
      <w:r w:rsidRPr="006E6149">
        <w:rPr>
          <w:rFonts w:ascii="Book Antiqua" w:eastAsia="Times New Roman" w:hAnsi="Book Antiqua"/>
          <w:sz w:val="22"/>
          <w:szCs w:val="22"/>
          <w:lang w:val="en"/>
        </w:rPr>
        <w:t>the applicant has a genuine and subsisting relationship with a partner who is in the UK and is a British Citizen, settled in the UK or in the UK with refugee leave or humanitarian protection, and there are insurmountable obstacles to family life with that partner continuing outside the UK.</w:t>
      </w:r>
    </w:p>
    <w:p w:rsidR="0003454D" w:rsidRDefault="00871179" w:rsidP="00CD566B">
      <w:pPr>
        <w:numPr>
          <w:ilvl w:val="0"/>
          <w:numId w:val="1"/>
        </w:numPr>
        <w:tabs>
          <w:tab w:val="left" w:pos="567"/>
        </w:tabs>
        <w:ind w:left="567" w:right="567"/>
        <w:jc w:val="both"/>
        <w:rPr>
          <w:rFonts w:ascii="Book Antiqua" w:hAnsi="Book Antiqua" w:cs="Arial"/>
        </w:rPr>
      </w:pPr>
      <w:r>
        <w:rPr>
          <w:rFonts w:ascii="Book Antiqua" w:hAnsi="Book Antiqua" w:cs="Arial"/>
        </w:rPr>
        <w:t>At the date that t</w:t>
      </w:r>
      <w:r w:rsidR="00093882">
        <w:rPr>
          <w:rFonts w:ascii="Book Antiqua" w:hAnsi="Book Antiqua" w:cs="Arial"/>
        </w:rPr>
        <w:t xml:space="preserve">he Respondent considered </w:t>
      </w:r>
      <w:r>
        <w:rPr>
          <w:rFonts w:ascii="Book Antiqua" w:hAnsi="Book Antiqua" w:cs="Arial"/>
        </w:rPr>
        <w:t>the claim the only EX.1 exception that might potentially apply to the Appellant was EX.1 (b). It was accepted that the Appellant has a genuine and subsisting relationship with her British partner, but it was not accepted that there would be “</w:t>
      </w:r>
      <w:r w:rsidR="0003454D">
        <w:rPr>
          <w:rFonts w:ascii="Book Antiqua" w:hAnsi="Book Antiqua" w:cs="Arial"/>
        </w:rPr>
        <w:t>insurmountable</w:t>
      </w:r>
      <w:r>
        <w:rPr>
          <w:rFonts w:ascii="Book Antiqua" w:hAnsi="Book Antiqua" w:cs="Arial"/>
        </w:rPr>
        <w:t xml:space="preserve"> obstacles” to him moving with her to Uganda. </w:t>
      </w:r>
      <w:r w:rsidR="0003454D">
        <w:rPr>
          <w:rFonts w:ascii="Book Antiqua" w:hAnsi="Book Antiqua" w:cs="Arial"/>
        </w:rPr>
        <w:t xml:space="preserve">  As to the alternative ‘exception’ in EX.1 (a) there was no scope for the Appellant to rely upon it as she did not have a child in the UK. It is accepted</w:t>
      </w:r>
      <w:r w:rsidR="008F33D8">
        <w:rPr>
          <w:rFonts w:ascii="Book Antiqua" w:hAnsi="Book Antiqua" w:cs="Arial"/>
        </w:rPr>
        <w:t xml:space="preserve"> however</w:t>
      </w:r>
      <w:r w:rsidR="0003454D">
        <w:rPr>
          <w:rFonts w:ascii="Book Antiqua" w:hAnsi="Book Antiqua" w:cs="Arial"/>
        </w:rPr>
        <w:t xml:space="preserve"> that at the date of the decision </w:t>
      </w:r>
      <w:r w:rsidR="008F33D8">
        <w:rPr>
          <w:rFonts w:ascii="Book Antiqua" w:hAnsi="Book Antiqua" w:cs="Arial"/>
        </w:rPr>
        <w:t xml:space="preserve">the Respondent was aware that the Appellant </w:t>
      </w:r>
      <w:r w:rsidR="0003454D">
        <w:rPr>
          <w:rFonts w:ascii="Book Antiqua" w:hAnsi="Book Antiqua" w:cs="Arial"/>
        </w:rPr>
        <w:t>wa</w:t>
      </w:r>
      <w:r w:rsidR="005D3A52">
        <w:rPr>
          <w:rFonts w:ascii="Book Antiqua" w:hAnsi="Book Antiqua" w:cs="Arial"/>
        </w:rPr>
        <w:t xml:space="preserve">s pregnant; </w:t>
      </w:r>
      <w:proofErr w:type="gramStart"/>
      <w:r w:rsidR="005D3A52">
        <w:rPr>
          <w:rFonts w:ascii="Book Antiqua" w:hAnsi="Book Antiqua" w:cs="Arial"/>
        </w:rPr>
        <w:t>indeed</w:t>
      </w:r>
      <w:proofErr w:type="gramEnd"/>
      <w:r w:rsidR="005D3A52">
        <w:rPr>
          <w:rFonts w:ascii="Book Antiqua" w:hAnsi="Book Antiqua" w:cs="Arial"/>
        </w:rPr>
        <w:t xml:space="preserve"> various documents relating to her ante-natal care appear in the Respondent’s bundle.</w:t>
      </w:r>
    </w:p>
    <w:p w:rsidR="008F33D8" w:rsidRDefault="008F33D8" w:rsidP="008F33D8">
      <w:pPr>
        <w:tabs>
          <w:tab w:val="left" w:pos="567"/>
        </w:tabs>
        <w:ind w:left="567" w:right="567"/>
        <w:jc w:val="both"/>
        <w:rPr>
          <w:rFonts w:ascii="Book Antiqua" w:hAnsi="Book Antiqua" w:cs="Arial"/>
        </w:rPr>
      </w:pPr>
    </w:p>
    <w:p w:rsidR="008F33D8" w:rsidRDefault="008F33D8" w:rsidP="00CD566B">
      <w:pPr>
        <w:numPr>
          <w:ilvl w:val="0"/>
          <w:numId w:val="1"/>
        </w:numPr>
        <w:tabs>
          <w:tab w:val="left" w:pos="567"/>
        </w:tabs>
        <w:ind w:left="567" w:right="567"/>
        <w:jc w:val="both"/>
        <w:rPr>
          <w:rFonts w:ascii="Book Antiqua" w:hAnsi="Book Antiqua" w:cs="Arial"/>
        </w:rPr>
      </w:pPr>
      <w:r>
        <w:rPr>
          <w:rFonts w:ascii="Book Antiqua" w:hAnsi="Book Antiqua" w:cs="Arial"/>
        </w:rPr>
        <w:t>The Appellant lodged her appeal with the First-tier Tribunal on the 18</w:t>
      </w:r>
      <w:r w:rsidRPr="008F33D8">
        <w:rPr>
          <w:rFonts w:ascii="Book Antiqua" w:hAnsi="Book Antiqua" w:cs="Arial"/>
          <w:vertAlign w:val="superscript"/>
        </w:rPr>
        <w:t>th</w:t>
      </w:r>
      <w:r>
        <w:rPr>
          <w:rFonts w:ascii="Book Antiqua" w:hAnsi="Book Antiqua" w:cs="Arial"/>
        </w:rPr>
        <w:t xml:space="preserve"> January 2016.</w:t>
      </w:r>
    </w:p>
    <w:p w:rsidR="008F33D8" w:rsidRDefault="008F33D8" w:rsidP="008F33D8">
      <w:pPr>
        <w:tabs>
          <w:tab w:val="left" w:pos="567"/>
        </w:tabs>
        <w:ind w:left="567" w:right="567"/>
        <w:jc w:val="both"/>
        <w:rPr>
          <w:rFonts w:ascii="Book Antiqua" w:hAnsi="Book Antiqua" w:cs="Arial"/>
        </w:rPr>
      </w:pPr>
    </w:p>
    <w:p w:rsidR="0003454D" w:rsidRDefault="008F33D8" w:rsidP="00CD566B">
      <w:pPr>
        <w:numPr>
          <w:ilvl w:val="0"/>
          <w:numId w:val="1"/>
        </w:numPr>
        <w:tabs>
          <w:tab w:val="left" w:pos="567"/>
        </w:tabs>
        <w:ind w:left="567" w:right="567"/>
        <w:jc w:val="both"/>
        <w:rPr>
          <w:rFonts w:ascii="Book Antiqua" w:hAnsi="Book Antiqua" w:cs="Arial"/>
        </w:rPr>
      </w:pPr>
      <w:r>
        <w:rPr>
          <w:rFonts w:ascii="Book Antiqua" w:hAnsi="Book Antiqua" w:cs="Arial"/>
        </w:rPr>
        <w:t>The Appellant’s child was born on the 29</w:t>
      </w:r>
      <w:r w:rsidRPr="008F33D8">
        <w:rPr>
          <w:rFonts w:ascii="Book Antiqua" w:hAnsi="Book Antiqua" w:cs="Arial"/>
          <w:vertAlign w:val="superscript"/>
        </w:rPr>
        <w:t>th</w:t>
      </w:r>
      <w:r>
        <w:rPr>
          <w:rFonts w:ascii="Book Antiqua" w:hAnsi="Book Antiqua" w:cs="Arial"/>
        </w:rPr>
        <w:t xml:space="preserve"> March 2016.  </w:t>
      </w:r>
    </w:p>
    <w:p w:rsidR="008F33D8" w:rsidRDefault="008F33D8" w:rsidP="008F33D8">
      <w:pPr>
        <w:pStyle w:val="ListParagraph"/>
        <w:rPr>
          <w:rFonts w:ascii="Book Antiqua" w:hAnsi="Book Antiqua" w:cs="Arial"/>
        </w:rPr>
      </w:pPr>
    </w:p>
    <w:p w:rsidR="008A1C46" w:rsidRDefault="008F33D8" w:rsidP="00D110B9">
      <w:pPr>
        <w:numPr>
          <w:ilvl w:val="0"/>
          <w:numId w:val="1"/>
        </w:numPr>
        <w:tabs>
          <w:tab w:val="left" w:pos="567"/>
        </w:tabs>
        <w:ind w:left="567" w:right="567"/>
        <w:jc w:val="both"/>
        <w:rPr>
          <w:rFonts w:ascii="Book Antiqua" w:hAnsi="Book Antiqua" w:cs="Arial"/>
        </w:rPr>
      </w:pPr>
      <w:r w:rsidRPr="008A1C46">
        <w:rPr>
          <w:rFonts w:ascii="Book Antiqua" w:hAnsi="Book Antiqua" w:cs="Arial"/>
        </w:rPr>
        <w:t>On the 10</w:t>
      </w:r>
      <w:r w:rsidRPr="008A1C46">
        <w:rPr>
          <w:rFonts w:ascii="Book Antiqua" w:hAnsi="Book Antiqua" w:cs="Arial"/>
          <w:vertAlign w:val="superscript"/>
        </w:rPr>
        <w:t>th</w:t>
      </w:r>
      <w:r w:rsidRPr="008A1C46">
        <w:rPr>
          <w:rFonts w:ascii="Book Antiqua" w:hAnsi="Book Antiqua" w:cs="Arial"/>
        </w:rPr>
        <w:t xml:space="preserve"> November 2016 the Appellant’s representatives wrote to the Home Office Presenting Officer’s Unit at Stoke inviting them to withdraw the decision and reconsider the matter in light of the Respondent’s published policy </w:t>
      </w:r>
      <w:r w:rsidR="006E6149" w:rsidRPr="008A1C46">
        <w:rPr>
          <w:rFonts w:ascii="Book Antiqua" w:hAnsi="Book Antiqua" w:cs="Arial"/>
        </w:rPr>
        <w:t>on when</w:t>
      </w:r>
      <w:r w:rsidRPr="008A1C46">
        <w:rPr>
          <w:rFonts w:ascii="Book Antiqua" w:hAnsi="Book Antiqua" w:cs="Arial"/>
        </w:rPr>
        <w:t xml:space="preserve"> it might be reasonable to expect a British child to leave the UK. A further letter was sent on the 21</w:t>
      </w:r>
      <w:r w:rsidRPr="008A1C46">
        <w:rPr>
          <w:rFonts w:ascii="Book Antiqua" w:hAnsi="Book Antiqua" w:cs="Arial"/>
          <w:vertAlign w:val="superscript"/>
        </w:rPr>
        <w:t>st</w:t>
      </w:r>
      <w:r w:rsidRPr="008A1C46">
        <w:rPr>
          <w:rFonts w:ascii="Book Antiqua" w:hAnsi="Book Antiqua" w:cs="Arial"/>
        </w:rPr>
        <w:t xml:space="preserve"> December 2016 and then another on the 28</w:t>
      </w:r>
      <w:r w:rsidRPr="008A1C46">
        <w:rPr>
          <w:rFonts w:ascii="Book Antiqua" w:hAnsi="Book Antiqua" w:cs="Arial"/>
          <w:vertAlign w:val="superscript"/>
        </w:rPr>
        <w:t>th</w:t>
      </w:r>
      <w:r w:rsidRPr="008A1C46">
        <w:rPr>
          <w:rFonts w:ascii="Book Antiqua" w:hAnsi="Book Antiqua" w:cs="Arial"/>
        </w:rPr>
        <w:t xml:space="preserve"> December 2016. All the letter</w:t>
      </w:r>
      <w:r w:rsidR="008A1C46">
        <w:rPr>
          <w:rFonts w:ascii="Book Antiqua" w:hAnsi="Book Antiqua" w:cs="Arial"/>
        </w:rPr>
        <w:t>s were sent by Post Office recorded delivery and receipts have been provided.</w:t>
      </w:r>
    </w:p>
    <w:p w:rsidR="008A1C46" w:rsidRDefault="008A1C46" w:rsidP="008A1C46">
      <w:pPr>
        <w:pStyle w:val="ListParagraph"/>
        <w:rPr>
          <w:rFonts w:ascii="Book Antiqua" w:hAnsi="Book Antiqua" w:cs="Arial"/>
        </w:rPr>
      </w:pPr>
    </w:p>
    <w:p w:rsidR="00871179" w:rsidRDefault="007B01C2" w:rsidP="00D42D15">
      <w:pPr>
        <w:numPr>
          <w:ilvl w:val="0"/>
          <w:numId w:val="1"/>
        </w:numPr>
        <w:tabs>
          <w:tab w:val="left" w:pos="567"/>
        </w:tabs>
        <w:ind w:left="567" w:right="567"/>
        <w:jc w:val="both"/>
        <w:rPr>
          <w:rFonts w:ascii="Book Antiqua" w:hAnsi="Book Antiqua" w:cs="Arial"/>
        </w:rPr>
      </w:pPr>
      <w:r w:rsidRPr="008A1C46">
        <w:rPr>
          <w:rFonts w:ascii="Book Antiqua" w:hAnsi="Book Antiqua" w:cs="Arial"/>
        </w:rPr>
        <w:lastRenderedPageBreak/>
        <w:t>The matter came before the First-tier Tribunal on the 13</w:t>
      </w:r>
      <w:r w:rsidRPr="008A1C46">
        <w:rPr>
          <w:rFonts w:ascii="Book Antiqua" w:hAnsi="Book Antiqua" w:cs="Arial"/>
          <w:vertAlign w:val="superscript"/>
        </w:rPr>
        <w:t>th</w:t>
      </w:r>
      <w:r w:rsidRPr="008A1C46">
        <w:rPr>
          <w:rFonts w:ascii="Book Antiqua" w:hAnsi="Book Antiqua" w:cs="Arial"/>
        </w:rPr>
        <w:t xml:space="preserve"> January 2017.  </w:t>
      </w:r>
      <w:r w:rsidR="00D42D15">
        <w:rPr>
          <w:rFonts w:ascii="Book Antiqua" w:hAnsi="Book Antiqua" w:cs="Arial"/>
        </w:rPr>
        <w:t xml:space="preserve"> </w:t>
      </w:r>
      <w:r w:rsidR="005F2D9F">
        <w:rPr>
          <w:rFonts w:ascii="Book Antiqua" w:hAnsi="Book Antiqua" w:cs="Arial"/>
        </w:rPr>
        <w:t xml:space="preserve"> </w:t>
      </w:r>
      <w:r w:rsidR="00856608">
        <w:rPr>
          <w:rFonts w:ascii="Book Antiqua" w:hAnsi="Book Antiqua" w:cs="Arial"/>
        </w:rPr>
        <w:t xml:space="preserve"> </w:t>
      </w:r>
      <w:r w:rsidR="001A3315">
        <w:rPr>
          <w:rFonts w:ascii="Book Antiqua" w:hAnsi="Book Antiqua" w:cs="Arial"/>
        </w:rPr>
        <w:t>Mr Fowler, the Appellant’s partner, explained the history set out above. He</w:t>
      </w:r>
      <w:r w:rsidRPr="00D42D15">
        <w:rPr>
          <w:rFonts w:ascii="Book Antiqua" w:hAnsi="Book Antiqua" w:cs="Arial"/>
        </w:rPr>
        <w:t xml:space="preserve"> told the Tribunal that the Respondent had been aware that the Appellant was pregnant when the decision had been taken</w:t>
      </w:r>
      <w:r w:rsidR="0003454D" w:rsidRPr="00D42D15">
        <w:rPr>
          <w:rFonts w:ascii="Book Antiqua" w:hAnsi="Book Antiqua" w:cs="Arial"/>
        </w:rPr>
        <w:t xml:space="preserve"> on the 5</w:t>
      </w:r>
      <w:r w:rsidR="0003454D" w:rsidRPr="00D42D15">
        <w:rPr>
          <w:rFonts w:ascii="Book Antiqua" w:hAnsi="Book Antiqua" w:cs="Arial"/>
          <w:vertAlign w:val="superscript"/>
        </w:rPr>
        <w:t>th</w:t>
      </w:r>
      <w:r w:rsidR="0003454D" w:rsidRPr="00D42D15">
        <w:rPr>
          <w:rFonts w:ascii="Book Antiqua" w:hAnsi="Book Antiqua" w:cs="Arial"/>
        </w:rPr>
        <w:t xml:space="preserve"> January 2016</w:t>
      </w:r>
      <w:r w:rsidRPr="00D42D15">
        <w:rPr>
          <w:rFonts w:ascii="Book Antiqua" w:hAnsi="Book Antiqua" w:cs="Arial"/>
        </w:rPr>
        <w:t>.  Since the child was born the Respondent had been sent several letters pointing out that the Appellant now had a British child, and asking that the decision to refuse leave be withdrawn.   The Respondent had not dealt with any of these letters. The representative of the Respondent at the hearing before the First-tier Tribunal was a Home Office Presenting Officer, a Ms Alfred. Ms Alfred submitted that the birth of the child was a ‘new matter’ falling under s85 of the Nationality, Immigration and Asylum Act 2002 (as amended). She raised an issue about the child’s paternity and said that the Respondent would like to see DNA evidence. She asserted that the Respondent needed time to consider documents including the birth certificate.</w:t>
      </w:r>
      <w:r w:rsidR="001A3315">
        <w:rPr>
          <w:rFonts w:ascii="Book Antiqua" w:hAnsi="Book Antiqua" w:cs="Arial"/>
        </w:rPr>
        <w:t xml:space="preserve">  The Tribunal records the conclusion of these discussions at paragraph 16 of its determination:</w:t>
      </w:r>
    </w:p>
    <w:p w:rsidR="001A3315" w:rsidRPr="006E6149" w:rsidRDefault="001A3315" w:rsidP="006E6149">
      <w:pPr>
        <w:tabs>
          <w:tab w:val="left" w:pos="567"/>
        </w:tabs>
        <w:spacing w:before="120" w:after="120"/>
        <w:ind w:left="1134" w:right="1134"/>
        <w:jc w:val="both"/>
        <w:rPr>
          <w:rFonts w:ascii="Book Antiqua" w:hAnsi="Book Antiqua" w:cs="Arial"/>
          <w:sz w:val="22"/>
          <w:szCs w:val="22"/>
        </w:rPr>
      </w:pPr>
      <w:r w:rsidRPr="006E6149">
        <w:rPr>
          <w:rFonts w:ascii="Book Antiqua" w:hAnsi="Book Antiqua" w:cs="Arial"/>
          <w:sz w:val="22"/>
          <w:szCs w:val="22"/>
        </w:rPr>
        <w:t xml:space="preserve">“It is clear that the Respondent was aware at the time of the decision that the Appellant was pregnant.  The Appellant’s representatives sent several letters to the Respondent about the birth of the child who was a British citizen.  None of those letters were even acknowledged, and despite Royal Mail signed for proof of delivery being produced, the Respondent’s representative claimed none had ever been received as they were not on file, and she didn’t have a bundle from the Appellant either.  Whilst the Appellant has taken all reasonable steps to get the Respondent to consider the new issue before the hearing, she has failed to do so.  The application was made on the basis of leave to remain on account of her relationship with Mr Fowler, and since the decision on this matter, a child has been born.  I find this is a new matter as it has not been considered by the primary decision maker and in the absence of the Respondent’s consent to consider it I have no jurisdiction to deal with it.  </w:t>
      </w:r>
      <w:proofErr w:type="gramStart"/>
      <w:r w:rsidRPr="006E6149">
        <w:rPr>
          <w:rFonts w:ascii="Book Antiqua" w:hAnsi="Book Antiqua" w:cs="Arial"/>
          <w:sz w:val="22"/>
          <w:szCs w:val="22"/>
        </w:rPr>
        <w:t>So</w:t>
      </w:r>
      <w:proofErr w:type="gramEnd"/>
      <w:r w:rsidRPr="006E6149">
        <w:rPr>
          <w:rFonts w:ascii="Book Antiqua" w:hAnsi="Book Antiqua" w:cs="Arial"/>
          <w:sz w:val="22"/>
          <w:szCs w:val="22"/>
        </w:rPr>
        <w:t xml:space="preserve"> I proceeded to determine the case on the basis of the original matters only.  This is even though it would</w:t>
      </w:r>
      <w:r w:rsidR="003C495E" w:rsidRPr="006E6149">
        <w:rPr>
          <w:rFonts w:ascii="Book Antiqua" w:hAnsi="Book Antiqua" w:cs="Arial"/>
          <w:sz w:val="22"/>
          <w:szCs w:val="22"/>
        </w:rPr>
        <w:t xml:space="preserve"> have been desirable in my view</w:t>
      </w:r>
      <w:r w:rsidRPr="006E6149">
        <w:rPr>
          <w:rFonts w:ascii="Book Antiqua" w:hAnsi="Book Antiqua" w:cs="Arial"/>
          <w:sz w:val="22"/>
          <w:szCs w:val="22"/>
        </w:rPr>
        <w:t xml:space="preserve"> for a single appeal to consider all matters raised by the Appellant.  However, the consent having been withheld, however unreasonably and causing some inconvenience to the Appellant and the </w:t>
      </w:r>
      <w:r w:rsidR="006E6149" w:rsidRPr="006E6149">
        <w:rPr>
          <w:rFonts w:ascii="Book Antiqua" w:hAnsi="Book Antiqua" w:cs="Arial"/>
          <w:sz w:val="22"/>
          <w:szCs w:val="22"/>
        </w:rPr>
        <w:t>Tribunal, I</w:t>
      </w:r>
      <w:r w:rsidRPr="006E6149">
        <w:rPr>
          <w:rFonts w:ascii="Book Antiqua" w:hAnsi="Book Antiqua" w:cs="Arial"/>
          <w:sz w:val="22"/>
          <w:szCs w:val="22"/>
        </w:rPr>
        <w:t xml:space="preserve"> cannot do </w:t>
      </w:r>
      <w:proofErr w:type="gramStart"/>
      <w:r w:rsidRPr="006E6149">
        <w:rPr>
          <w:rFonts w:ascii="Book Antiqua" w:hAnsi="Book Antiqua" w:cs="Arial"/>
          <w:sz w:val="22"/>
          <w:szCs w:val="22"/>
        </w:rPr>
        <w:t>so“</w:t>
      </w:r>
      <w:proofErr w:type="gramEnd"/>
      <w:r w:rsidRPr="006E6149">
        <w:rPr>
          <w:rFonts w:ascii="Book Antiqua" w:hAnsi="Book Antiqua" w:cs="Arial"/>
          <w:sz w:val="22"/>
          <w:szCs w:val="22"/>
        </w:rPr>
        <w:t xml:space="preserve">.  </w:t>
      </w:r>
    </w:p>
    <w:p w:rsidR="003C495E" w:rsidRDefault="003C495E" w:rsidP="00CD566B">
      <w:pPr>
        <w:numPr>
          <w:ilvl w:val="0"/>
          <w:numId w:val="1"/>
        </w:numPr>
        <w:tabs>
          <w:tab w:val="left" w:pos="567"/>
        </w:tabs>
        <w:ind w:left="567" w:right="567"/>
        <w:jc w:val="both"/>
        <w:rPr>
          <w:rFonts w:ascii="Book Antiqua" w:hAnsi="Book Antiqua" w:cs="Arial"/>
        </w:rPr>
      </w:pPr>
      <w:r>
        <w:rPr>
          <w:rFonts w:ascii="Book Antiqua" w:hAnsi="Book Antiqua" w:cs="Arial"/>
        </w:rPr>
        <w:t>The Tribunal went on to dismiss the appeal with reference to the Article 8 relationship wi</w:t>
      </w:r>
      <w:r w:rsidR="00FE6E2B">
        <w:rPr>
          <w:rFonts w:ascii="Book Antiqua" w:hAnsi="Book Antiqua" w:cs="Arial"/>
        </w:rPr>
        <w:t>th Mr Fowler, finding that the A</w:t>
      </w:r>
      <w:r>
        <w:rPr>
          <w:rFonts w:ascii="Book Antiqua" w:hAnsi="Book Antiqua" w:cs="Arial"/>
        </w:rPr>
        <w:t>ppellant could not meet the high test of ‘insurmountable obstacles’.</w:t>
      </w:r>
    </w:p>
    <w:p w:rsidR="005D3A52" w:rsidRDefault="005D3A52" w:rsidP="003C495E">
      <w:pPr>
        <w:tabs>
          <w:tab w:val="left" w:pos="567"/>
        </w:tabs>
        <w:ind w:left="567" w:right="567"/>
        <w:jc w:val="both"/>
        <w:rPr>
          <w:rFonts w:ascii="Book Antiqua" w:hAnsi="Book Antiqua" w:cs="Arial"/>
        </w:rPr>
      </w:pPr>
    </w:p>
    <w:p w:rsidR="006E6149" w:rsidRDefault="006E6149" w:rsidP="003C495E">
      <w:pPr>
        <w:tabs>
          <w:tab w:val="left" w:pos="567"/>
        </w:tabs>
        <w:ind w:left="567" w:right="567"/>
        <w:jc w:val="both"/>
        <w:rPr>
          <w:rFonts w:ascii="Book Antiqua" w:hAnsi="Book Antiqua" w:cs="Arial"/>
        </w:rPr>
      </w:pPr>
    </w:p>
    <w:p w:rsidR="003C495E" w:rsidRPr="003C495E" w:rsidRDefault="003C495E" w:rsidP="003C495E">
      <w:pPr>
        <w:tabs>
          <w:tab w:val="left" w:pos="567"/>
        </w:tabs>
        <w:ind w:left="567" w:right="567"/>
        <w:jc w:val="both"/>
        <w:rPr>
          <w:rFonts w:ascii="Book Antiqua" w:hAnsi="Book Antiqua" w:cs="Arial"/>
          <w:b/>
        </w:rPr>
      </w:pPr>
      <w:r>
        <w:rPr>
          <w:rFonts w:ascii="Book Antiqua" w:hAnsi="Book Antiqua" w:cs="Arial"/>
          <w:b/>
        </w:rPr>
        <w:t>The Appellant’s Challenge</w:t>
      </w:r>
    </w:p>
    <w:p w:rsidR="007B01C2" w:rsidRDefault="003C495E" w:rsidP="003C495E">
      <w:pPr>
        <w:tabs>
          <w:tab w:val="left" w:pos="567"/>
        </w:tabs>
        <w:ind w:left="567" w:right="567"/>
        <w:jc w:val="both"/>
        <w:rPr>
          <w:rFonts w:ascii="Book Antiqua" w:hAnsi="Book Antiqua" w:cs="Arial"/>
        </w:rPr>
      </w:pPr>
      <w:r>
        <w:rPr>
          <w:rFonts w:ascii="Book Antiqua" w:hAnsi="Book Antiqua" w:cs="Arial"/>
        </w:rPr>
        <w:t xml:space="preserve"> </w:t>
      </w:r>
    </w:p>
    <w:p w:rsidR="003C495E" w:rsidRDefault="003C495E" w:rsidP="001A3315">
      <w:pPr>
        <w:numPr>
          <w:ilvl w:val="0"/>
          <w:numId w:val="1"/>
        </w:numPr>
        <w:tabs>
          <w:tab w:val="left" w:pos="567"/>
        </w:tabs>
        <w:ind w:left="567" w:right="567"/>
        <w:jc w:val="both"/>
        <w:rPr>
          <w:rFonts w:ascii="Book Antiqua" w:hAnsi="Book Antiqua" w:cs="Arial"/>
        </w:rPr>
      </w:pPr>
      <w:r>
        <w:rPr>
          <w:rFonts w:ascii="Book Antiqua" w:hAnsi="Book Antiqua" w:cs="Arial"/>
        </w:rPr>
        <w:t xml:space="preserve">The written grounds raise several points, </w:t>
      </w:r>
      <w:r w:rsidR="00D41A94">
        <w:rPr>
          <w:rFonts w:ascii="Book Antiqua" w:hAnsi="Book Antiqua" w:cs="Arial"/>
        </w:rPr>
        <w:t>most</w:t>
      </w:r>
      <w:r>
        <w:rPr>
          <w:rFonts w:ascii="Book Antiqua" w:hAnsi="Book Antiqua" w:cs="Arial"/>
        </w:rPr>
        <w:t xml:space="preserve"> of which were </w:t>
      </w:r>
      <w:r w:rsidR="00D41A94">
        <w:rPr>
          <w:rFonts w:ascii="Book Antiqua" w:hAnsi="Book Antiqua" w:cs="Arial"/>
        </w:rPr>
        <w:t xml:space="preserve">not </w:t>
      </w:r>
      <w:r>
        <w:rPr>
          <w:rFonts w:ascii="Book Antiqua" w:hAnsi="Book Antiqua" w:cs="Arial"/>
        </w:rPr>
        <w:t xml:space="preserve">pursued before me by Mr </w:t>
      </w:r>
      <w:proofErr w:type="spellStart"/>
      <w:r>
        <w:rPr>
          <w:rFonts w:ascii="Book Antiqua" w:hAnsi="Book Antiqua" w:cs="Arial"/>
        </w:rPr>
        <w:t>O’Ryan</w:t>
      </w:r>
      <w:proofErr w:type="spellEnd"/>
      <w:r>
        <w:rPr>
          <w:rFonts w:ascii="Book Antiqua" w:hAnsi="Book Antiqua" w:cs="Arial"/>
        </w:rPr>
        <w:t xml:space="preserve">. That is because on the morning of the hearing the decision in </w:t>
      </w:r>
      <w:r w:rsidRPr="003C495E">
        <w:rPr>
          <w:rFonts w:ascii="Book Antiqua" w:hAnsi="Book Antiqua" w:cs="Arial"/>
          <w:u w:val="single"/>
        </w:rPr>
        <w:t>Mahmud</w:t>
      </w:r>
      <w:r>
        <w:rPr>
          <w:rFonts w:ascii="Book Antiqua" w:hAnsi="Book Antiqua" w:cs="Arial"/>
        </w:rPr>
        <w:t xml:space="preserve"> (section 85 of the Nationality, Immigration and Asylum Act 2002 – ‘new matters’) became available, and Mr </w:t>
      </w:r>
      <w:proofErr w:type="spellStart"/>
      <w:r>
        <w:rPr>
          <w:rFonts w:ascii="Book Antiqua" w:hAnsi="Book Antiqua" w:cs="Arial"/>
        </w:rPr>
        <w:t>O’Ryan</w:t>
      </w:r>
      <w:proofErr w:type="spellEnd"/>
      <w:r>
        <w:rPr>
          <w:rFonts w:ascii="Book Antiqua" w:hAnsi="Book Antiqua" w:cs="Arial"/>
        </w:rPr>
        <w:t xml:space="preserve"> decided to modify his submissions in light of that reported decision. The appeal was pursued on the following grounds:</w:t>
      </w:r>
    </w:p>
    <w:p w:rsidR="003C495E" w:rsidRDefault="003C495E" w:rsidP="006E6149">
      <w:pPr>
        <w:numPr>
          <w:ilvl w:val="0"/>
          <w:numId w:val="10"/>
        </w:numPr>
        <w:tabs>
          <w:tab w:val="left" w:pos="567"/>
        </w:tabs>
        <w:spacing w:before="120" w:after="120"/>
        <w:ind w:left="1701" w:right="1134" w:hanging="567"/>
        <w:jc w:val="both"/>
        <w:rPr>
          <w:rFonts w:ascii="Book Antiqua" w:hAnsi="Book Antiqua" w:cs="Arial"/>
        </w:rPr>
      </w:pPr>
      <w:r>
        <w:rPr>
          <w:rFonts w:ascii="Book Antiqua" w:hAnsi="Book Antiqua" w:cs="Arial"/>
        </w:rPr>
        <w:lastRenderedPageBreak/>
        <w:t>The Tribunal misdirected itself as to its own jurisdiction a</w:t>
      </w:r>
      <w:r w:rsidR="00D41A94">
        <w:rPr>
          <w:rFonts w:ascii="Book Antiqua" w:hAnsi="Book Antiqua" w:cs="Arial"/>
        </w:rPr>
        <w:t>nd ability to decide as a question</w:t>
      </w:r>
      <w:r>
        <w:rPr>
          <w:rFonts w:ascii="Book Antiqua" w:hAnsi="Book Antiqua" w:cs="Arial"/>
        </w:rPr>
        <w:t xml:space="preserve"> of fact whether the birth of the child is a ‘new matter’;</w:t>
      </w:r>
      <w:r w:rsidR="00D41A94">
        <w:rPr>
          <w:rFonts w:ascii="Book Antiqua" w:hAnsi="Book Antiqua" w:cs="Arial"/>
        </w:rPr>
        <w:t xml:space="preserve"> the birth was not a ‘new matter’ </w:t>
      </w:r>
      <w:r w:rsidR="00D41A94" w:rsidRPr="00D41A94">
        <w:rPr>
          <w:rFonts w:ascii="Book Antiqua" w:hAnsi="Book Antiqua" w:cs="Arial"/>
          <w:i/>
        </w:rPr>
        <w:t>because</w:t>
      </w:r>
      <w:r w:rsidR="00D41A94">
        <w:rPr>
          <w:rFonts w:ascii="Book Antiqua" w:hAnsi="Book Antiqua" w:cs="Arial"/>
        </w:rPr>
        <w:t xml:space="preserve"> it had not been considered by the Respondent.   It either was, or it wasn’t a new matter and that was for the Tribunal to decide. Had the Tribunal considered the facts in the round, Mr </w:t>
      </w:r>
      <w:proofErr w:type="spellStart"/>
      <w:r w:rsidR="00D41A94">
        <w:rPr>
          <w:rFonts w:ascii="Book Antiqua" w:hAnsi="Book Antiqua" w:cs="Arial"/>
        </w:rPr>
        <w:t>O’Ryan</w:t>
      </w:r>
      <w:proofErr w:type="spellEnd"/>
      <w:r w:rsidR="00D41A94">
        <w:rPr>
          <w:rFonts w:ascii="Book Antiqua" w:hAnsi="Book Antiqua" w:cs="Arial"/>
        </w:rPr>
        <w:t xml:space="preserve"> submits that the birth could properly be seen as a continuum of existing facts, given that the Appellant was pregnant at the date of the application and decision.</w:t>
      </w:r>
    </w:p>
    <w:p w:rsidR="003C495E" w:rsidRDefault="00D41A94" w:rsidP="006E6149">
      <w:pPr>
        <w:numPr>
          <w:ilvl w:val="0"/>
          <w:numId w:val="10"/>
        </w:numPr>
        <w:tabs>
          <w:tab w:val="left" w:pos="567"/>
        </w:tabs>
        <w:spacing w:before="120" w:after="120"/>
        <w:ind w:left="1701" w:right="1134" w:hanging="567"/>
        <w:jc w:val="both"/>
        <w:rPr>
          <w:rFonts w:ascii="Book Antiqua" w:hAnsi="Book Antiqua" w:cs="Arial"/>
        </w:rPr>
      </w:pPr>
      <w:r>
        <w:rPr>
          <w:rFonts w:ascii="Book Antiqua" w:hAnsi="Book Antiqua" w:cs="Arial"/>
        </w:rPr>
        <w:t xml:space="preserve">The ‘decision’ under appeal could be taken to be the ‘Respondent’s position’. Since the Respondent’s position – insofar as it related to the birth – was on the Tribunal’s finding unreasonable, and taken contrary to published policy, it was not a ‘lawful’ decision. In its consideration of the </w:t>
      </w:r>
      <w:proofErr w:type="spellStart"/>
      <w:r w:rsidRPr="00D41A94">
        <w:rPr>
          <w:rFonts w:ascii="Book Antiqua" w:hAnsi="Book Antiqua" w:cs="Arial"/>
          <w:i/>
        </w:rPr>
        <w:t>Razgar</w:t>
      </w:r>
      <w:proofErr w:type="spellEnd"/>
      <w:r>
        <w:rPr>
          <w:rFonts w:ascii="Book Antiqua" w:hAnsi="Book Antiqua" w:cs="Arial"/>
        </w:rPr>
        <w:t xml:space="preserve"> questions the Tribunal could therefore have stopped at the third question and allowed the appeal on that basis.</w:t>
      </w:r>
    </w:p>
    <w:p w:rsidR="003C495E" w:rsidRDefault="003C495E" w:rsidP="003C495E">
      <w:pPr>
        <w:tabs>
          <w:tab w:val="left" w:pos="567"/>
        </w:tabs>
        <w:ind w:left="567" w:right="567"/>
        <w:jc w:val="both"/>
        <w:rPr>
          <w:rFonts w:ascii="Book Antiqua" w:hAnsi="Book Antiqua" w:cs="Arial"/>
        </w:rPr>
      </w:pPr>
    </w:p>
    <w:p w:rsidR="006E6149" w:rsidRDefault="006E6149" w:rsidP="003C495E">
      <w:pPr>
        <w:tabs>
          <w:tab w:val="left" w:pos="567"/>
        </w:tabs>
        <w:ind w:left="567" w:right="567"/>
        <w:jc w:val="both"/>
        <w:rPr>
          <w:rFonts w:ascii="Book Antiqua" w:hAnsi="Book Antiqua" w:cs="Arial"/>
        </w:rPr>
      </w:pPr>
    </w:p>
    <w:p w:rsidR="003C495E" w:rsidRPr="003C495E" w:rsidRDefault="003C495E" w:rsidP="003C495E">
      <w:pPr>
        <w:tabs>
          <w:tab w:val="left" w:pos="567"/>
        </w:tabs>
        <w:ind w:left="567" w:right="567"/>
        <w:jc w:val="both"/>
        <w:rPr>
          <w:rFonts w:ascii="Book Antiqua" w:hAnsi="Book Antiqua" w:cs="Arial"/>
          <w:b/>
        </w:rPr>
      </w:pPr>
      <w:r w:rsidRPr="003C495E">
        <w:rPr>
          <w:rFonts w:ascii="Book Antiqua" w:hAnsi="Book Antiqua" w:cs="Arial"/>
          <w:b/>
        </w:rPr>
        <w:t>The Respondent’s Reply</w:t>
      </w:r>
    </w:p>
    <w:p w:rsidR="003C495E" w:rsidRDefault="003C495E" w:rsidP="003C495E">
      <w:pPr>
        <w:tabs>
          <w:tab w:val="left" w:pos="567"/>
        </w:tabs>
        <w:ind w:left="567" w:right="567"/>
        <w:jc w:val="both"/>
        <w:rPr>
          <w:rFonts w:ascii="Book Antiqua" w:hAnsi="Book Antiqua" w:cs="Arial"/>
        </w:rPr>
      </w:pPr>
    </w:p>
    <w:p w:rsidR="003C495E" w:rsidRDefault="003C495E" w:rsidP="001A3315">
      <w:pPr>
        <w:numPr>
          <w:ilvl w:val="0"/>
          <w:numId w:val="1"/>
        </w:numPr>
        <w:tabs>
          <w:tab w:val="left" w:pos="567"/>
        </w:tabs>
        <w:ind w:left="567" w:right="567"/>
        <w:jc w:val="both"/>
        <w:rPr>
          <w:rFonts w:ascii="Book Antiqua" w:hAnsi="Book Antiqua" w:cs="Arial"/>
        </w:rPr>
      </w:pPr>
      <w:r>
        <w:rPr>
          <w:rFonts w:ascii="Book Antiqua" w:hAnsi="Book Antiqua" w:cs="Arial"/>
        </w:rPr>
        <w:t xml:space="preserve">Mr Harrison could </w:t>
      </w:r>
      <w:r w:rsidR="00D41A94">
        <w:rPr>
          <w:rFonts w:ascii="Book Antiqua" w:hAnsi="Book Antiqua" w:cs="Arial"/>
        </w:rPr>
        <w:t xml:space="preserve">do no other than agree that the Secretary of State had apparently failed to apply her own </w:t>
      </w:r>
      <w:r>
        <w:rPr>
          <w:rFonts w:ascii="Book Antiqua" w:hAnsi="Book Antiqua" w:cs="Arial"/>
        </w:rPr>
        <w:t>policy</w:t>
      </w:r>
      <w:r w:rsidR="00D41A94">
        <w:rPr>
          <w:rFonts w:ascii="Book Antiqua" w:hAnsi="Book Antiqua" w:cs="Arial"/>
        </w:rPr>
        <w:t xml:space="preserve"> in two respects. Sh</w:t>
      </w:r>
      <w:r>
        <w:rPr>
          <w:rFonts w:ascii="Book Antiqua" w:hAnsi="Book Antiqua" w:cs="Arial"/>
        </w:rPr>
        <w:t xml:space="preserve">e </w:t>
      </w:r>
      <w:r w:rsidR="00D41A94">
        <w:rPr>
          <w:rFonts w:ascii="Book Antiqua" w:hAnsi="Book Antiqua" w:cs="Arial"/>
        </w:rPr>
        <w:t>had failed</w:t>
      </w:r>
      <w:r>
        <w:rPr>
          <w:rFonts w:ascii="Book Antiqua" w:hAnsi="Book Antiqua" w:cs="Arial"/>
        </w:rPr>
        <w:t xml:space="preserve"> to consider the letters that had been served </w:t>
      </w:r>
      <w:r w:rsidR="00D41A94">
        <w:rPr>
          <w:rFonts w:ascii="Book Antiqua" w:hAnsi="Book Antiqua" w:cs="Arial"/>
        </w:rPr>
        <w:t xml:space="preserve">at least two months </w:t>
      </w:r>
      <w:r>
        <w:rPr>
          <w:rFonts w:ascii="Book Antiqua" w:hAnsi="Book Antiqua" w:cs="Arial"/>
        </w:rPr>
        <w:t>prior</w:t>
      </w:r>
      <w:r w:rsidR="00D41A94">
        <w:rPr>
          <w:rFonts w:ascii="Book Antiqua" w:hAnsi="Book Antiqua" w:cs="Arial"/>
        </w:rPr>
        <w:t xml:space="preserve"> to the hearing; it would further appear that Ms Alfred had failed to take instructions from S</w:t>
      </w:r>
      <w:r w:rsidR="004400B5">
        <w:rPr>
          <w:rFonts w:ascii="Book Antiqua" w:hAnsi="Book Antiqua" w:cs="Arial"/>
        </w:rPr>
        <w:t xml:space="preserve">enior Case Worker, or to have provided her reasons for refusing consent in writing.  Mr Harrison </w:t>
      </w:r>
      <w:r w:rsidR="00484362">
        <w:rPr>
          <w:rFonts w:ascii="Book Antiqua" w:hAnsi="Book Antiqua" w:cs="Arial"/>
        </w:rPr>
        <w:t>did however</w:t>
      </w:r>
      <w:r w:rsidR="004400B5">
        <w:rPr>
          <w:rFonts w:ascii="Book Antiqua" w:hAnsi="Book Antiqua" w:cs="Arial"/>
        </w:rPr>
        <w:t xml:space="preserve"> adopt the reasoning in </w:t>
      </w:r>
      <w:r w:rsidR="004400B5" w:rsidRPr="004400B5">
        <w:rPr>
          <w:rFonts w:ascii="Book Antiqua" w:hAnsi="Book Antiqua" w:cs="Arial"/>
          <w:u w:val="single"/>
        </w:rPr>
        <w:t>Mahmud</w:t>
      </w:r>
      <w:r w:rsidR="004400B5">
        <w:rPr>
          <w:rFonts w:ascii="Book Antiqua" w:hAnsi="Book Antiqua" w:cs="Arial"/>
        </w:rPr>
        <w:t xml:space="preserve"> </w:t>
      </w:r>
      <w:r w:rsidR="00484362">
        <w:rPr>
          <w:rFonts w:ascii="Book Antiqua" w:hAnsi="Book Antiqua" w:cs="Arial"/>
        </w:rPr>
        <w:t>[§31] to submit that</w:t>
      </w:r>
      <w:r w:rsidR="004400B5">
        <w:rPr>
          <w:rFonts w:ascii="Book Antiqua" w:hAnsi="Book Antiqua" w:cs="Arial"/>
        </w:rPr>
        <w:t xml:space="preserve"> the birth of a child</w:t>
      </w:r>
      <w:r w:rsidR="00484362">
        <w:rPr>
          <w:rFonts w:ascii="Book Antiqua" w:hAnsi="Book Antiqua" w:cs="Arial"/>
        </w:rPr>
        <w:t xml:space="preserve"> should be considered a ‘new matter’ and that any error would therefore be immaterial.</w:t>
      </w:r>
      <w:r w:rsidR="004400B5">
        <w:rPr>
          <w:rFonts w:ascii="Book Antiqua" w:hAnsi="Book Antiqua" w:cs="Arial"/>
        </w:rPr>
        <w:t xml:space="preserve">  </w:t>
      </w:r>
    </w:p>
    <w:p w:rsidR="004400B5" w:rsidRDefault="004400B5" w:rsidP="004400B5">
      <w:pPr>
        <w:tabs>
          <w:tab w:val="left" w:pos="567"/>
        </w:tabs>
        <w:ind w:left="567" w:right="567"/>
        <w:jc w:val="both"/>
        <w:rPr>
          <w:rFonts w:ascii="Book Antiqua" w:hAnsi="Book Antiqua" w:cs="Arial"/>
        </w:rPr>
      </w:pPr>
    </w:p>
    <w:p w:rsidR="006E6149" w:rsidRDefault="006E6149" w:rsidP="004400B5">
      <w:pPr>
        <w:tabs>
          <w:tab w:val="left" w:pos="567"/>
        </w:tabs>
        <w:ind w:left="567" w:right="567"/>
        <w:jc w:val="both"/>
        <w:rPr>
          <w:rFonts w:ascii="Book Antiqua" w:hAnsi="Book Antiqua" w:cs="Arial"/>
        </w:rPr>
      </w:pPr>
    </w:p>
    <w:p w:rsidR="009A3295" w:rsidRDefault="009A3295" w:rsidP="004400B5">
      <w:pPr>
        <w:tabs>
          <w:tab w:val="left" w:pos="567"/>
        </w:tabs>
        <w:ind w:left="567" w:right="567"/>
        <w:jc w:val="both"/>
        <w:rPr>
          <w:rFonts w:ascii="Book Antiqua" w:hAnsi="Book Antiqua" w:cs="Arial"/>
          <w:b/>
        </w:rPr>
      </w:pPr>
      <w:r>
        <w:rPr>
          <w:rFonts w:ascii="Book Antiqua" w:hAnsi="Book Antiqua" w:cs="Arial"/>
          <w:b/>
        </w:rPr>
        <w:t>Discussion and Findings</w:t>
      </w:r>
    </w:p>
    <w:p w:rsidR="009A3295" w:rsidRDefault="009A3295" w:rsidP="004400B5">
      <w:pPr>
        <w:tabs>
          <w:tab w:val="left" w:pos="567"/>
        </w:tabs>
        <w:ind w:left="567" w:right="567"/>
        <w:jc w:val="both"/>
        <w:rPr>
          <w:rFonts w:ascii="Book Antiqua" w:hAnsi="Book Antiqua" w:cs="Arial"/>
          <w:b/>
        </w:rPr>
      </w:pPr>
    </w:p>
    <w:p w:rsidR="009A3295" w:rsidRPr="002E48B4" w:rsidRDefault="009A3295" w:rsidP="004400B5">
      <w:pPr>
        <w:tabs>
          <w:tab w:val="left" w:pos="567"/>
        </w:tabs>
        <w:ind w:left="567" w:right="567"/>
        <w:jc w:val="both"/>
        <w:rPr>
          <w:rFonts w:ascii="Book Antiqua" w:hAnsi="Book Antiqua" w:cs="Arial"/>
          <w:i/>
        </w:rPr>
      </w:pPr>
      <w:r w:rsidRPr="002E48B4">
        <w:rPr>
          <w:rFonts w:ascii="Book Antiqua" w:hAnsi="Book Antiqua" w:cs="Arial"/>
          <w:i/>
        </w:rPr>
        <w:t>A New Matter?</w:t>
      </w:r>
    </w:p>
    <w:p w:rsidR="004400B5" w:rsidRDefault="004400B5" w:rsidP="004400B5">
      <w:pPr>
        <w:tabs>
          <w:tab w:val="left" w:pos="567"/>
        </w:tabs>
        <w:ind w:left="567" w:right="567"/>
        <w:jc w:val="both"/>
        <w:rPr>
          <w:rFonts w:ascii="Book Antiqua" w:hAnsi="Book Antiqua" w:cs="Arial"/>
        </w:rPr>
      </w:pPr>
    </w:p>
    <w:p w:rsidR="002E48B4" w:rsidRPr="002E48B4" w:rsidRDefault="00E61C02" w:rsidP="002E48B4">
      <w:pPr>
        <w:numPr>
          <w:ilvl w:val="0"/>
          <w:numId w:val="1"/>
        </w:numPr>
        <w:tabs>
          <w:tab w:val="left" w:pos="567"/>
        </w:tabs>
        <w:ind w:left="567" w:right="567"/>
        <w:jc w:val="both"/>
        <w:rPr>
          <w:rFonts w:ascii="Book Antiqua" w:hAnsi="Book Antiqua" w:cs="Arial"/>
        </w:rPr>
      </w:pPr>
      <w:r>
        <w:rPr>
          <w:rFonts w:ascii="Book Antiqua" w:hAnsi="Book Antiqua" w:cs="Arial"/>
        </w:rPr>
        <w:t>The relevant part of section 85</w:t>
      </w:r>
      <w:r w:rsidR="002E48B4" w:rsidRPr="002E48B4">
        <w:rPr>
          <w:rFonts w:ascii="Book Antiqua" w:hAnsi="Book Antiqua" w:cs="Arial"/>
        </w:rPr>
        <w:t xml:space="preserve"> of the NIAA 2002</w:t>
      </w:r>
      <w:r>
        <w:rPr>
          <w:rFonts w:ascii="Book Antiqua" w:hAnsi="Book Antiqua" w:cs="Arial"/>
        </w:rPr>
        <w:t>,</w:t>
      </w:r>
      <w:r w:rsidR="002E48B4" w:rsidRPr="002E48B4">
        <w:rPr>
          <w:rFonts w:ascii="Book Antiqua" w:hAnsi="Book Antiqua" w:cs="Arial"/>
        </w:rPr>
        <w:t xml:space="preserve"> as amended by s15 of the Immigration Act </w:t>
      </w:r>
      <w:r w:rsidR="006E6149" w:rsidRPr="002E48B4">
        <w:rPr>
          <w:rFonts w:ascii="Book Antiqua" w:hAnsi="Book Antiqua" w:cs="Arial"/>
        </w:rPr>
        <w:t>2014</w:t>
      </w:r>
      <w:r w:rsidR="006E6149">
        <w:rPr>
          <w:rFonts w:ascii="Book Antiqua" w:hAnsi="Book Antiqua" w:cs="Arial"/>
        </w:rPr>
        <w:t xml:space="preserve">, </w:t>
      </w:r>
      <w:r w:rsidR="006E6149" w:rsidRPr="002E48B4">
        <w:rPr>
          <w:rFonts w:ascii="Book Antiqua" w:hAnsi="Book Antiqua" w:cs="Arial"/>
        </w:rPr>
        <w:t>reads</w:t>
      </w:r>
      <w:r w:rsidR="002E48B4" w:rsidRPr="002E48B4">
        <w:rPr>
          <w:rFonts w:ascii="Book Antiqua" w:hAnsi="Book Antiqua" w:cs="Arial"/>
        </w:rPr>
        <w:t xml:space="preserve">: </w:t>
      </w:r>
    </w:p>
    <w:p w:rsidR="002E48B4" w:rsidRDefault="002E48B4" w:rsidP="002E48B4">
      <w:pPr>
        <w:tabs>
          <w:tab w:val="left" w:pos="567"/>
        </w:tabs>
        <w:ind w:left="567" w:right="567"/>
        <w:jc w:val="both"/>
        <w:rPr>
          <w:rFonts w:ascii="Book Antiqua" w:hAnsi="Book Antiqua" w:cs="Arial"/>
        </w:rPr>
      </w:pPr>
    </w:p>
    <w:p w:rsidR="002E48B4" w:rsidRPr="00A576D3" w:rsidRDefault="00E61C02" w:rsidP="002E48B4">
      <w:pPr>
        <w:shd w:val="clear" w:color="auto" w:fill="FFFFFF"/>
        <w:spacing w:after="120" w:line="360" w:lineRule="atLeast"/>
        <w:ind w:left="1134" w:right="1134"/>
        <w:rPr>
          <w:rFonts w:ascii="Book Antiqua" w:eastAsia="Times New Roman" w:hAnsi="Book Antiqua" w:cs="Arial"/>
          <w:b/>
          <w:color w:val="000000"/>
          <w:sz w:val="20"/>
          <w:szCs w:val="20"/>
          <w:lang w:val="en"/>
        </w:rPr>
      </w:pPr>
      <w:r w:rsidRPr="008E0E87">
        <w:rPr>
          <w:rFonts w:ascii="Book Antiqua" w:eastAsia="Times New Roman" w:hAnsi="Book Antiqua" w:cs="Arial"/>
          <w:b/>
          <w:color w:val="000000"/>
          <w:sz w:val="20"/>
          <w:szCs w:val="20"/>
          <w:lang w:val="en"/>
        </w:rPr>
        <w:t xml:space="preserve"> </w:t>
      </w:r>
      <w:r w:rsidR="002E48B4" w:rsidRPr="008E0E87">
        <w:rPr>
          <w:rFonts w:ascii="Book Antiqua" w:eastAsia="Times New Roman" w:hAnsi="Book Antiqua" w:cs="Arial"/>
          <w:b/>
          <w:color w:val="000000"/>
          <w:sz w:val="20"/>
          <w:szCs w:val="20"/>
          <w:lang w:val="en"/>
        </w:rPr>
        <w:t>“(5) But the Tribunal must not consider a new matter unless the Secretary of State has given the Tribunal consent to do so.</w:t>
      </w:r>
    </w:p>
    <w:p w:rsidR="002E48B4" w:rsidRPr="00A576D3" w:rsidRDefault="002E48B4" w:rsidP="002E48B4">
      <w:pPr>
        <w:shd w:val="clear" w:color="auto" w:fill="FFFFFF"/>
        <w:spacing w:after="120" w:line="360" w:lineRule="atLeast"/>
        <w:ind w:left="1134" w:right="1134"/>
        <w:rPr>
          <w:rFonts w:ascii="Book Antiqua" w:eastAsia="Times New Roman" w:hAnsi="Book Antiqua" w:cs="Arial"/>
          <w:b/>
          <w:color w:val="000000"/>
          <w:sz w:val="20"/>
          <w:szCs w:val="20"/>
          <w:lang w:val="en"/>
        </w:rPr>
      </w:pPr>
      <w:r w:rsidRPr="008E0E87">
        <w:rPr>
          <w:rFonts w:ascii="Book Antiqua" w:eastAsia="Times New Roman" w:hAnsi="Book Antiqua" w:cs="Arial"/>
          <w:b/>
          <w:color w:val="000000"/>
          <w:sz w:val="20"/>
          <w:szCs w:val="20"/>
          <w:lang w:val="en"/>
        </w:rPr>
        <w:t>(6) A matter is a “new matter” if—</w:t>
      </w:r>
    </w:p>
    <w:p w:rsidR="002E48B4" w:rsidRPr="00A576D3" w:rsidRDefault="002E48B4" w:rsidP="002E48B4">
      <w:pPr>
        <w:shd w:val="clear" w:color="auto" w:fill="FFFFFF"/>
        <w:spacing w:after="120" w:line="360" w:lineRule="atLeast"/>
        <w:ind w:left="1134" w:right="1134"/>
        <w:rPr>
          <w:rFonts w:ascii="Book Antiqua" w:eastAsia="Times New Roman" w:hAnsi="Book Antiqua" w:cs="Arial"/>
          <w:b/>
          <w:color w:val="000000"/>
          <w:sz w:val="20"/>
          <w:szCs w:val="20"/>
          <w:lang w:val="en"/>
        </w:rPr>
      </w:pPr>
      <w:r w:rsidRPr="008E0E87">
        <w:rPr>
          <w:rFonts w:ascii="Book Antiqua" w:eastAsia="Times New Roman" w:hAnsi="Book Antiqua" w:cs="Arial"/>
          <w:b/>
          <w:color w:val="000000"/>
          <w:sz w:val="20"/>
          <w:szCs w:val="20"/>
          <w:lang w:val="en"/>
        </w:rPr>
        <w:t>(a) it constitutes a ground of appeal of a kind listed in section 84, and</w:t>
      </w:r>
    </w:p>
    <w:p w:rsidR="002E48B4" w:rsidRPr="00A576D3" w:rsidRDefault="002E48B4" w:rsidP="002E48B4">
      <w:pPr>
        <w:shd w:val="clear" w:color="auto" w:fill="FFFFFF"/>
        <w:spacing w:after="120" w:line="360" w:lineRule="atLeast"/>
        <w:ind w:left="1134" w:right="1134"/>
        <w:rPr>
          <w:rFonts w:ascii="Book Antiqua" w:eastAsia="Times New Roman" w:hAnsi="Book Antiqua" w:cs="Arial"/>
          <w:b/>
          <w:color w:val="000000"/>
          <w:sz w:val="20"/>
          <w:szCs w:val="20"/>
          <w:lang w:val="en"/>
        </w:rPr>
      </w:pPr>
      <w:r w:rsidRPr="008E0E87">
        <w:rPr>
          <w:rFonts w:ascii="Book Antiqua" w:eastAsia="Times New Roman" w:hAnsi="Book Antiqua" w:cs="Arial"/>
          <w:b/>
          <w:color w:val="000000"/>
          <w:sz w:val="20"/>
          <w:szCs w:val="20"/>
          <w:lang w:val="en"/>
        </w:rPr>
        <w:t>(b) the Secretary of State has not previously considered the matter in the context of—</w:t>
      </w:r>
    </w:p>
    <w:p w:rsidR="002E48B4" w:rsidRPr="00A576D3" w:rsidRDefault="002E48B4" w:rsidP="002E48B4">
      <w:pPr>
        <w:shd w:val="clear" w:color="auto" w:fill="FFFFFF"/>
        <w:spacing w:after="120" w:line="360" w:lineRule="atLeast"/>
        <w:ind w:left="1134" w:right="1134"/>
        <w:rPr>
          <w:rFonts w:ascii="Book Antiqua" w:eastAsia="Times New Roman" w:hAnsi="Book Antiqua" w:cs="Arial"/>
          <w:b/>
          <w:color w:val="000000"/>
          <w:sz w:val="20"/>
          <w:szCs w:val="20"/>
          <w:lang w:val="en"/>
        </w:rPr>
      </w:pPr>
      <w:r w:rsidRPr="008E0E87">
        <w:rPr>
          <w:rFonts w:ascii="Book Antiqua" w:eastAsia="Times New Roman" w:hAnsi="Book Antiqua" w:cs="Arial"/>
          <w:b/>
          <w:color w:val="000000"/>
          <w:sz w:val="20"/>
          <w:szCs w:val="20"/>
          <w:lang w:val="en"/>
        </w:rPr>
        <w:lastRenderedPageBreak/>
        <w:t>(i) the decision mentioned in section 82(1), or</w:t>
      </w:r>
    </w:p>
    <w:p w:rsidR="002E48B4" w:rsidRPr="00A576D3" w:rsidRDefault="002E48B4" w:rsidP="002E48B4">
      <w:pPr>
        <w:shd w:val="clear" w:color="auto" w:fill="FFFFFF"/>
        <w:spacing w:after="120" w:line="360" w:lineRule="atLeast"/>
        <w:ind w:left="1134" w:right="1134"/>
        <w:rPr>
          <w:rFonts w:ascii="Book Antiqua" w:eastAsia="Times New Roman" w:hAnsi="Book Antiqua" w:cs="Arial"/>
          <w:b/>
          <w:color w:val="000000"/>
          <w:sz w:val="20"/>
          <w:szCs w:val="20"/>
          <w:lang w:val="en"/>
        </w:rPr>
      </w:pPr>
      <w:r w:rsidRPr="008E0E87">
        <w:rPr>
          <w:rFonts w:ascii="Book Antiqua" w:eastAsia="Times New Roman" w:hAnsi="Book Antiqua" w:cs="Arial"/>
          <w:b/>
          <w:color w:val="000000"/>
          <w:sz w:val="20"/>
          <w:szCs w:val="20"/>
          <w:lang w:val="en"/>
        </w:rPr>
        <w:t>(ii) a statement made by the appellant under section 120.”</w:t>
      </w:r>
    </w:p>
    <w:p w:rsidR="002E48B4" w:rsidRDefault="002E48B4" w:rsidP="002E48B4">
      <w:pPr>
        <w:tabs>
          <w:tab w:val="left" w:pos="567"/>
        </w:tabs>
        <w:ind w:left="567" w:right="567"/>
        <w:jc w:val="both"/>
        <w:rPr>
          <w:rFonts w:ascii="Book Antiqua" w:hAnsi="Book Antiqua" w:cs="Arial"/>
        </w:rPr>
      </w:pPr>
    </w:p>
    <w:p w:rsidR="004400B5" w:rsidRDefault="007F09CD" w:rsidP="001A3315">
      <w:pPr>
        <w:numPr>
          <w:ilvl w:val="0"/>
          <w:numId w:val="1"/>
        </w:numPr>
        <w:tabs>
          <w:tab w:val="left" w:pos="567"/>
        </w:tabs>
        <w:ind w:left="567" w:right="567"/>
        <w:jc w:val="both"/>
        <w:rPr>
          <w:rFonts w:ascii="Book Antiqua" w:hAnsi="Book Antiqua" w:cs="Arial"/>
        </w:rPr>
      </w:pPr>
      <w:r>
        <w:rPr>
          <w:rFonts w:ascii="Book Antiqua" w:hAnsi="Book Antiqua" w:cs="Arial"/>
        </w:rPr>
        <w:t>I</w:t>
      </w:r>
      <w:r w:rsidR="002E48B4">
        <w:rPr>
          <w:rFonts w:ascii="Book Antiqua" w:hAnsi="Book Antiqua" w:cs="Arial"/>
        </w:rPr>
        <w:t xml:space="preserve">n </w:t>
      </w:r>
      <w:r w:rsidR="002E48B4" w:rsidRPr="002E48B4">
        <w:rPr>
          <w:rFonts w:ascii="Book Antiqua" w:hAnsi="Book Antiqua" w:cs="Arial"/>
          <w:u w:val="single"/>
        </w:rPr>
        <w:t>Mahmud</w:t>
      </w:r>
      <w:r w:rsidR="002E48B4">
        <w:rPr>
          <w:rFonts w:ascii="Book Antiqua" w:hAnsi="Book Antiqua" w:cs="Arial"/>
        </w:rPr>
        <w:t xml:space="preserve"> the Upper Tribunal was asked to consider </w:t>
      </w:r>
      <w:r w:rsidR="00CD0A5F">
        <w:rPr>
          <w:rFonts w:ascii="Book Antiqua" w:hAnsi="Book Antiqua" w:cs="Arial"/>
        </w:rPr>
        <w:t>the application of this new provision.  Rejecting the contention for the applicant that a ‘new matter’ simply meant a new basis of appeal (</w:t>
      </w:r>
      <w:r w:rsidR="006E6149">
        <w:rPr>
          <w:rFonts w:ascii="Book Antiqua" w:hAnsi="Book Antiqua" w:cs="Arial"/>
        </w:rPr>
        <w:t>i.e.</w:t>
      </w:r>
      <w:r w:rsidR="00CD0A5F">
        <w:rPr>
          <w:rFonts w:ascii="Book Antiqua" w:hAnsi="Book Antiqua" w:cs="Arial"/>
        </w:rPr>
        <w:t xml:space="preserve"> </w:t>
      </w:r>
      <w:proofErr w:type="gramStart"/>
      <w:r w:rsidR="00CD0A5F">
        <w:rPr>
          <w:rFonts w:ascii="Book Antiqua" w:hAnsi="Book Antiqua" w:cs="Arial"/>
        </w:rPr>
        <w:t>a human rights</w:t>
      </w:r>
      <w:proofErr w:type="gramEnd"/>
      <w:r w:rsidR="00CD0A5F">
        <w:rPr>
          <w:rFonts w:ascii="Book Antiqua" w:hAnsi="Book Antiqua" w:cs="Arial"/>
        </w:rPr>
        <w:t xml:space="preserve"> as opposed to an asylum ground) the Tribunal held:</w:t>
      </w:r>
    </w:p>
    <w:p w:rsidR="00CD0A5F" w:rsidRPr="00CD0A5F" w:rsidRDefault="00CD0A5F" w:rsidP="00CD0A5F">
      <w:pPr>
        <w:spacing w:before="240"/>
        <w:ind w:left="1134" w:right="1134"/>
        <w:jc w:val="both"/>
        <w:rPr>
          <w:rFonts w:ascii="Book Antiqua" w:hAnsi="Book Antiqua"/>
        </w:rPr>
      </w:pPr>
      <w:r w:rsidRPr="00CD0A5F">
        <w:rPr>
          <w:rFonts w:ascii="Book Antiqua" w:hAnsi="Book Antiqua"/>
        </w:rPr>
        <w:t>A ‘new matter’ is a matter which constitutes a ground of appeal of a kind listed in section 84, as required by section 85(6)(a) of the 2002 Act.  Constituting a ground of appeal means that it must contain a matter which could raise or establish a listed ground of appeal.  A matter is the factual substance of a claim.  A ground of appeal is the legal basis on which the facts in any given matter could form the basis of a challenge to the decision under appeal. </w:t>
      </w:r>
    </w:p>
    <w:p w:rsidR="00CD0A5F" w:rsidRPr="00CD0A5F" w:rsidRDefault="00CD0A5F" w:rsidP="00CD0A5F">
      <w:pPr>
        <w:spacing w:before="240"/>
        <w:ind w:left="1134" w:right="1134"/>
        <w:jc w:val="both"/>
        <w:rPr>
          <w:rFonts w:ascii="Book Antiqua" w:hAnsi="Book Antiqua"/>
        </w:rPr>
      </w:pPr>
      <w:r w:rsidRPr="00CD0A5F">
        <w:rPr>
          <w:rFonts w:ascii="Book Antiqua" w:hAnsi="Book Antiqua"/>
        </w:rPr>
        <w:t>In practice, a new matter is a factual matrix which has not previously been considered by the Secretary of State in the context of the decision in section 82(1) or a statement made by the appellant under section 120.  This requires the matter to be factually distinct from that previously raised by an appellant, as opposed to further or better evidence of an existing matter.  The assessment will always be fact sensitive.</w:t>
      </w:r>
    </w:p>
    <w:p w:rsidR="00CD0A5F" w:rsidRDefault="00CD0A5F" w:rsidP="00CD0A5F">
      <w:pPr>
        <w:tabs>
          <w:tab w:val="left" w:pos="567"/>
        </w:tabs>
        <w:ind w:left="567" w:right="567"/>
        <w:jc w:val="both"/>
        <w:rPr>
          <w:rFonts w:ascii="Book Antiqua" w:hAnsi="Book Antiqua" w:cs="Arial"/>
        </w:rPr>
      </w:pPr>
    </w:p>
    <w:p w:rsidR="00CD0A5F" w:rsidRPr="00324FC8" w:rsidRDefault="00CD0A5F" w:rsidP="0006645C">
      <w:pPr>
        <w:numPr>
          <w:ilvl w:val="0"/>
          <w:numId w:val="1"/>
        </w:numPr>
        <w:tabs>
          <w:tab w:val="left" w:pos="567"/>
        </w:tabs>
        <w:ind w:left="567" w:right="567"/>
        <w:jc w:val="both"/>
        <w:rPr>
          <w:rFonts w:ascii="Book Antiqua" w:hAnsi="Book Antiqua" w:cs="Arial"/>
        </w:rPr>
      </w:pPr>
      <w:r w:rsidRPr="00324FC8">
        <w:rPr>
          <w:rFonts w:ascii="Book Antiqua" w:hAnsi="Book Antiqua" w:cs="Arial"/>
        </w:rPr>
        <w:t>Importantly the Tribunal clarified the practical consequence</w:t>
      </w:r>
      <w:r w:rsidR="00AC5D98">
        <w:rPr>
          <w:rFonts w:ascii="Book Antiqua" w:hAnsi="Book Antiqua" w:cs="Arial"/>
        </w:rPr>
        <w:t>s of the scheme. At paragraph 42</w:t>
      </w:r>
      <w:r w:rsidRPr="00324FC8">
        <w:rPr>
          <w:rFonts w:ascii="Book Antiqua" w:hAnsi="Book Antiqua" w:cs="Arial"/>
        </w:rPr>
        <w:t xml:space="preserve"> the Tribunal record the Respondent’s concession that</w:t>
      </w:r>
      <w:r w:rsidR="00324FC8" w:rsidRPr="00324FC8">
        <w:rPr>
          <w:rFonts w:ascii="Book Antiqua" w:hAnsi="Book Antiqua" w:cs="Arial"/>
        </w:rPr>
        <w:t xml:space="preserve"> it is not</w:t>
      </w:r>
      <w:r w:rsidRPr="00324FC8">
        <w:rPr>
          <w:rFonts w:ascii="Book Antiqua" w:hAnsi="Book Antiqua" w:cs="Arial"/>
        </w:rPr>
        <w:t xml:space="preserve"> </w:t>
      </w:r>
      <w:r w:rsidRPr="00324FC8">
        <w:rPr>
          <w:rFonts w:ascii="Book Antiqua" w:hAnsi="Book Antiqua" w:cs="Arial"/>
          <w:i/>
        </w:rPr>
        <w:t>her</w:t>
      </w:r>
      <w:r w:rsidRPr="00324FC8">
        <w:rPr>
          <w:rFonts w:ascii="Book Antiqua" w:hAnsi="Book Antiqua" w:cs="Arial"/>
        </w:rPr>
        <w:t xml:space="preserve"> view </w:t>
      </w:r>
      <w:r w:rsidR="00324FC8" w:rsidRPr="00324FC8">
        <w:rPr>
          <w:rFonts w:ascii="Book Antiqua" w:hAnsi="Book Antiqua" w:cs="Arial"/>
        </w:rPr>
        <w:t xml:space="preserve">that is </w:t>
      </w:r>
      <w:r w:rsidRPr="00324FC8">
        <w:rPr>
          <w:rFonts w:ascii="Book Antiqua" w:hAnsi="Book Antiqua" w:cs="Arial"/>
        </w:rPr>
        <w:t xml:space="preserve">determinative as to what or what does not constitute a new matter. Whether something is </w:t>
      </w:r>
      <w:r w:rsidR="00324FC8" w:rsidRPr="00324FC8">
        <w:rPr>
          <w:rFonts w:ascii="Book Antiqua" w:hAnsi="Book Antiqua" w:cs="Arial"/>
        </w:rPr>
        <w:t xml:space="preserve">a new matter goes to the jurisdiction of the First-tier Tribunal in the appeal and the First-tier Tribunal must therefore determine the answer to the question posed at s84 (6)(a) for itself: does the issue “constitute a ground of appeal”, or as the </w:t>
      </w:r>
      <w:r w:rsidR="00324FC8" w:rsidRPr="00324FC8">
        <w:rPr>
          <w:rFonts w:ascii="Book Antiqua" w:hAnsi="Book Antiqua" w:cs="Arial"/>
          <w:u w:val="single"/>
        </w:rPr>
        <w:t>Mahmud</w:t>
      </w:r>
      <w:r w:rsidR="00324FC8" w:rsidRPr="00324FC8">
        <w:rPr>
          <w:rFonts w:ascii="Book Antiqua" w:hAnsi="Book Antiqua" w:cs="Arial"/>
        </w:rPr>
        <w:t xml:space="preserve"> has it, does the issue ‘constitute a new factual subs</w:t>
      </w:r>
      <w:r w:rsidR="00FE6E2B">
        <w:rPr>
          <w:rFonts w:ascii="Book Antiqua" w:hAnsi="Book Antiqua" w:cs="Arial"/>
        </w:rPr>
        <w:t>tance of claim’. That is a fact-</w:t>
      </w:r>
      <w:r w:rsidR="00324FC8" w:rsidRPr="00324FC8">
        <w:rPr>
          <w:rFonts w:ascii="Book Antiqua" w:hAnsi="Book Antiqua" w:cs="Arial"/>
        </w:rPr>
        <w:t xml:space="preserve">sensitive exercise. It is also, it would appear, for the Tribunal to consider whether the second limb, at s84 (6)(b) </w:t>
      </w:r>
      <w:r w:rsidR="00324FC8">
        <w:rPr>
          <w:rFonts w:ascii="Book Antiqua" w:hAnsi="Book Antiqua" w:cs="Arial"/>
        </w:rPr>
        <w:t>has been met: is this a matter that the Secretary of State has not yet considered?   It is only once these two stages have been completed, and answered in the affirmative by the Tribunal, that the question of the Secretary of State’s consent would arise.</w:t>
      </w:r>
    </w:p>
    <w:p w:rsidR="00324FC8" w:rsidRDefault="00324FC8" w:rsidP="00324FC8">
      <w:pPr>
        <w:tabs>
          <w:tab w:val="left" w:pos="567"/>
        </w:tabs>
        <w:ind w:left="567" w:right="567"/>
        <w:jc w:val="both"/>
        <w:rPr>
          <w:rFonts w:ascii="Book Antiqua" w:hAnsi="Book Antiqua" w:cs="Arial"/>
        </w:rPr>
      </w:pPr>
    </w:p>
    <w:p w:rsidR="00324FC8" w:rsidRDefault="00324FC8" w:rsidP="00324FC8">
      <w:pPr>
        <w:numPr>
          <w:ilvl w:val="0"/>
          <w:numId w:val="1"/>
        </w:numPr>
        <w:tabs>
          <w:tab w:val="left" w:pos="567"/>
        </w:tabs>
        <w:ind w:left="567" w:right="567"/>
        <w:jc w:val="both"/>
        <w:rPr>
          <w:rFonts w:ascii="Book Antiqua" w:hAnsi="Book Antiqua" w:cs="Arial"/>
        </w:rPr>
      </w:pPr>
      <w:r>
        <w:rPr>
          <w:rFonts w:ascii="Book Antiqua" w:hAnsi="Book Antiqua" w:cs="Arial"/>
        </w:rPr>
        <w:t>In this case the First-tier Tribunal directed itself thus: “</w:t>
      </w:r>
      <w:r w:rsidRPr="00324FC8">
        <w:rPr>
          <w:rFonts w:ascii="Book Antiqua" w:hAnsi="Book Antiqua" w:cs="Arial"/>
        </w:rPr>
        <w:t xml:space="preserve">I find this is a new matter </w:t>
      </w:r>
      <w:r w:rsidRPr="00324FC8">
        <w:rPr>
          <w:rFonts w:ascii="Book Antiqua" w:hAnsi="Book Antiqua" w:cs="Arial"/>
          <w:i/>
        </w:rPr>
        <w:t>as</w:t>
      </w:r>
      <w:r w:rsidRPr="00324FC8">
        <w:rPr>
          <w:rFonts w:ascii="Book Antiqua" w:hAnsi="Book Antiqua" w:cs="Arial"/>
        </w:rPr>
        <w:t xml:space="preserve"> it has not been considered by the primary decision maker</w:t>
      </w:r>
      <w:r>
        <w:rPr>
          <w:rFonts w:ascii="Book Antiqua" w:hAnsi="Book Antiqua" w:cs="Arial"/>
        </w:rPr>
        <w:t xml:space="preserve">”. As Mr </w:t>
      </w:r>
      <w:proofErr w:type="spellStart"/>
      <w:r>
        <w:rPr>
          <w:rFonts w:ascii="Book Antiqua" w:hAnsi="Book Antiqua" w:cs="Arial"/>
        </w:rPr>
        <w:t>O’</w:t>
      </w:r>
      <w:r w:rsidR="00AC5D98">
        <w:rPr>
          <w:rFonts w:ascii="Book Antiqua" w:hAnsi="Book Antiqua" w:cs="Arial"/>
        </w:rPr>
        <w:t>Ryan</w:t>
      </w:r>
      <w:proofErr w:type="spellEnd"/>
      <w:r w:rsidR="00AC5D98">
        <w:rPr>
          <w:rFonts w:ascii="Book Antiqua" w:hAnsi="Book Antiqua" w:cs="Arial"/>
        </w:rPr>
        <w:t xml:space="preserve"> correctly submi</w:t>
      </w:r>
      <w:r>
        <w:rPr>
          <w:rFonts w:ascii="Book Antiqua" w:hAnsi="Book Antiqua" w:cs="Arial"/>
        </w:rPr>
        <w:t>t</w:t>
      </w:r>
      <w:r w:rsidR="00AC5D98">
        <w:rPr>
          <w:rFonts w:ascii="Book Antiqua" w:hAnsi="Book Antiqua" w:cs="Arial"/>
        </w:rPr>
        <w:t>s</w:t>
      </w:r>
      <w:r>
        <w:rPr>
          <w:rFonts w:ascii="Book Antiqua" w:hAnsi="Book Antiqua" w:cs="Arial"/>
        </w:rPr>
        <w:t>, what the Tribunal has done here is use the answer to s84(6)(b) (whether it has been considered) to deal with the question posed by s84(6)(a)</w:t>
      </w:r>
      <w:r w:rsidR="00A7748B">
        <w:rPr>
          <w:rFonts w:ascii="Book Antiqua" w:hAnsi="Book Antiqua" w:cs="Arial"/>
        </w:rPr>
        <w:t xml:space="preserve"> (whether it is a new matter of fact).</w:t>
      </w:r>
      <w:r w:rsidR="00AC5D98">
        <w:rPr>
          <w:rFonts w:ascii="Book Antiqua" w:hAnsi="Book Antiqua" w:cs="Arial"/>
        </w:rPr>
        <w:t xml:space="preserve">   The answer to one did not provide the answer to the other.   I am satisfied that the Tribunal was required to decide for itself whether the birth of the child was a new matter and to that extent, the decision is flawed for legal misdirection.</w:t>
      </w:r>
    </w:p>
    <w:p w:rsidR="00A7748B" w:rsidRDefault="00A7748B" w:rsidP="00A7748B">
      <w:pPr>
        <w:pStyle w:val="ListParagraph"/>
        <w:rPr>
          <w:rFonts w:ascii="Book Antiqua" w:hAnsi="Book Antiqua" w:cs="Arial"/>
        </w:rPr>
      </w:pPr>
    </w:p>
    <w:p w:rsidR="00A7748B" w:rsidRDefault="00AC5D98" w:rsidP="00AC5D98">
      <w:pPr>
        <w:numPr>
          <w:ilvl w:val="0"/>
          <w:numId w:val="1"/>
        </w:numPr>
        <w:tabs>
          <w:tab w:val="left" w:pos="567"/>
        </w:tabs>
        <w:ind w:left="567" w:right="567"/>
        <w:jc w:val="both"/>
        <w:rPr>
          <w:rFonts w:ascii="Book Antiqua" w:hAnsi="Book Antiqua" w:cs="Arial"/>
        </w:rPr>
      </w:pPr>
      <w:r>
        <w:rPr>
          <w:rFonts w:ascii="Book Antiqua" w:hAnsi="Book Antiqua" w:cs="Arial"/>
        </w:rPr>
        <w:t xml:space="preserve">Is such an error material? Mr Harrison points out that the Tribunal in </w:t>
      </w:r>
      <w:r w:rsidRPr="00AC5D98">
        <w:rPr>
          <w:rFonts w:ascii="Book Antiqua" w:hAnsi="Book Antiqua" w:cs="Arial"/>
          <w:u w:val="single"/>
        </w:rPr>
        <w:t>Mahmud</w:t>
      </w:r>
      <w:r>
        <w:rPr>
          <w:rFonts w:ascii="Book Antiqua" w:hAnsi="Book Antiqua" w:cs="Arial"/>
        </w:rPr>
        <w:t xml:space="preserve"> specifically gives the example of the birth of a child as something that will likely be a new matter [at 31]</w:t>
      </w:r>
      <w:r w:rsidRPr="00AC5D98">
        <w:rPr>
          <w:rFonts w:ascii="Book Antiqua" w:hAnsi="Book Antiqua" w:cs="Arial"/>
        </w:rPr>
        <w:t>:</w:t>
      </w:r>
    </w:p>
    <w:p w:rsidR="00AC5D98" w:rsidRDefault="00AC5D98" w:rsidP="00AC5D98">
      <w:pPr>
        <w:spacing w:before="240"/>
        <w:ind w:left="1134" w:right="1134"/>
        <w:jc w:val="both"/>
        <w:rPr>
          <w:rFonts w:ascii="Book Antiqua" w:hAnsi="Book Antiqua" w:cs="Arial"/>
        </w:rPr>
      </w:pPr>
      <w:r>
        <w:rPr>
          <w:rFonts w:ascii="Book Antiqua" w:hAnsi="Book Antiqua" w:cs="Arial"/>
        </w:rPr>
        <w:t>“the matter [must be] be factually distinct from that previously raised by an appellant, as opposed to further or better evidence of an existing matter.  The assessment will always be fact sensitive.  By way of example, evidence that a couple had married since the decision is likely to be new evidence but not a new matter where the relationship had previously been relied upon and considered by the Secretary of State.  Conversely, evidence that a couple had had a child since the decision is likely to be a new matter as it adds an additional distinct new family relationship (with consequential requirements to consider the best interests of the child under section 55 of the Borders, Citizenship and Immigration Act 2009) which itself could separately raise or establish a ground of appeal under Article 8 that removal would be contrary to section 6 of the Human Rights Act”.</w:t>
      </w:r>
    </w:p>
    <w:p w:rsidR="00AC5D98" w:rsidRDefault="00AC5D98" w:rsidP="00AC5D98">
      <w:pPr>
        <w:tabs>
          <w:tab w:val="left" w:pos="567"/>
        </w:tabs>
        <w:ind w:left="567" w:right="567"/>
        <w:jc w:val="both"/>
        <w:rPr>
          <w:rFonts w:ascii="Book Antiqua" w:hAnsi="Book Antiqua" w:cs="Arial"/>
        </w:rPr>
      </w:pPr>
    </w:p>
    <w:p w:rsidR="00324FC8" w:rsidRDefault="00AC5D98" w:rsidP="001A3315">
      <w:pPr>
        <w:numPr>
          <w:ilvl w:val="0"/>
          <w:numId w:val="1"/>
        </w:numPr>
        <w:tabs>
          <w:tab w:val="left" w:pos="567"/>
        </w:tabs>
        <w:ind w:left="567" w:right="567"/>
        <w:jc w:val="both"/>
        <w:rPr>
          <w:rFonts w:ascii="Book Antiqua" w:hAnsi="Book Antiqua" w:cs="Arial"/>
        </w:rPr>
      </w:pPr>
      <w:r>
        <w:rPr>
          <w:rFonts w:ascii="Book Antiqua" w:hAnsi="Book Antiqua" w:cs="Arial"/>
        </w:rPr>
        <w:t>This guidance echoes that provided to caseworkers by the Respondent in her policy paper ‘Rights of Appeal’ version 6.0.</w:t>
      </w:r>
      <w:r w:rsidR="003A2FEA">
        <w:rPr>
          <w:rFonts w:ascii="Book Antiqua" w:hAnsi="Book Antiqua" w:cs="Arial"/>
        </w:rPr>
        <w:t xml:space="preserve">  </w:t>
      </w:r>
      <w:r w:rsidR="005D3A52">
        <w:rPr>
          <w:rFonts w:ascii="Book Antiqua" w:hAnsi="Book Antiqua" w:cs="Arial"/>
        </w:rPr>
        <w:t xml:space="preserve">This gave support to the contention that the birth of a new child – a new relationship – was factually distinct from the rest of the Article 8 claim. </w:t>
      </w:r>
    </w:p>
    <w:p w:rsidR="005D3A52" w:rsidRDefault="005D3A52" w:rsidP="005D3A52">
      <w:pPr>
        <w:tabs>
          <w:tab w:val="left" w:pos="567"/>
        </w:tabs>
        <w:ind w:left="567" w:right="567"/>
        <w:jc w:val="both"/>
        <w:rPr>
          <w:rFonts w:ascii="Book Antiqua" w:hAnsi="Book Antiqua" w:cs="Arial"/>
        </w:rPr>
      </w:pPr>
    </w:p>
    <w:p w:rsidR="005D3A52" w:rsidRPr="00734314" w:rsidRDefault="005D3A52" w:rsidP="0006645C">
      <w:pPr>
        <w:numPr>
          <w:ilvl w:val="0"/>
          <w:numId w:val="1"/>
        </w:numPr>
        <w:tabs>
          <w:tab w:val="left" w:pos="567"/>
        </w:tabs>
        <w:ind w:left="567" w:right="567"/>
        <w:jc w:val="both"/>
        <w:rPr>
          <w:rFonts w:ascii="Book Antiqua" w:hAnsi="Book Antiqua" w:cs="Arial"/>
        </w:rPr>
      </w:pPr>
      <w:r w:rsidRPr="00734314">
        <w:rPr>
          <w:rFonts w:ascii="Book Antiqua" w:hAnsi="Book Antiqua" w:cs="Arial"/>
        </w:rPr>
        <w:t xml:space="preserve">I have taken that guidance into account, and I see no reason to disagree with the reasoning in </w:t>
      </w:r>
      <w:r w:rsidRPr="00734314">
        <w:rPr>
          <w:rFonts w:ascii="Book Antiqua" w:hAnsi="Book Antiqua" w:cs="Arial"/>
          <w:u w:val="single"/>
        </w:rPr>
        <w:t>Mahmud</w:t>
      </w:r>
      <w:r w:rsidRPr="00734314">
        <w:rPr>
          <w:rFonts w:ascii="Book Antiqua" w:hAnsi="Book Antiqua" w:cs="Arial"/>
        </w:rPr>
        <w:t xml:space="preserve">. I </w:t>
      </w:r>
      <w:r w:rsidR="00484362" w:rsidRPr="00734314">
        <w:rPr>
          <w:rFonts w:ascii="Book Antiqua" w:hAnsi="Book Antiqua" w:cs="Arial"/>
        </w:rPr>
        <w:t xml:space="preserve">note however that the Tribunal accepted the possibility that the birth of a child would not constitute a new matter: </w:t>
      </w:r>
      <w:r w:rsidR="00734314" w:rsidRPr="00734314">
        <w:rPr>
          <w:rFonts w:ascii="Book Antiqua" w:hAnsi="Book Antiqua" w:cs="Arial"/>
        </w:rPr>
        <w:t xml:space="preserve">“evidence that a couple had had a child since the decision is </w:t>
      </w:r>
      <w:r w:rsidR="00734314" w:rsidRPr="00734314">
        <w:rPr>
          <w:rFonts w:ascii="Book Antiqua" w:hAnsi="Book Antiqua" w:cs="Arial"/>
          <w:i/>
        </w:rPr>
        <w:t>likely</w:t>
      </w:r>
      <w:r w:rsidR="00734314" w:rsidRPr="00734314">
        <w:rPr>
          <w:rFonts w:ascii="Book Antiqua" w:hAnsi="Book Antiqua" w:cs="Arial"/>
        </w:rPr>
        <w:t xml:space="preserve"> to be a new matter”. </w:t>
      </w:r>
      <w:r w:rsidR="00734314">
        <w:rPr>
          <w:rFonts w:ascii="Book Antiqua" w:hAnsi="Book Antiqua" w:cs="Arial"/>
        </w:rPr>
        <w:t xml:space="preserve">In this instance I </w:t>
      </w:r>
      <w:r w:rsidRPr="00734314">
        <w:rPr>
          <w:rFonts w:ascii="Book Antiqua" w:hAnsi="Book Antiqua" w:cs="Arial"/>
        </w:rPr>
        <w:t xml:space="preserve">am prepared to accept Mr </w:t>
      </w:r>
      <w:proofErr w:type="spellStart"/>
      <w:r w:rsidRPr="00734314">
        <w:rPr>
          <w:rFonts w:ascii="Book Antiqua" w:hAnsi="Book Antiqua" w:cs="Arial"/>
        </w:rPr>
        <w:t>O’Ryan’s</w:t>
      </w:r>
      <w:proofErr w:type="spellEnd"/>
      <w:r w:rsidRPr="00734314">
        <w:rPr>
          <w:rFonts w:ascii="Book Antiqua" w:hAnsi="Book Antiqua" w:cs="Arial"/>
        </w:rPr>
        <w:t xml:space="preserve"> submission that this case can be disti</w:t>
      </w:r>
      <w:r w:rsidR="00484362" w:rsidRPr="00734314">
        <w:rPr>
          <w:rFonts w:ascii="Book Antiqua" w:hAnsi="Book Antiqua" w:cs="Arial"/>
        </w:rPr>
        <w:t>nguished</w:t>
      </w:r>
      <w:r w:rsidR="00FE6E2B">
        <w:rPr>
          <w:rFonts w:ascii="Book Antiqua" w:hAnsi="Book Antiqua" w:cs="Arial"/>
        </w:rPr>
        <w:t xml:space="preserve"> from the norm</w:t>
      </w:r>
      <w:r w:rsidR="00484362" w:rsidRPr="00734314">
        <w:rPr>
          <w:rFonts w:ascii="Book Antiqua" w:hAnsi="Book Antiqua" w:cs="Arial"/>
        </w:rPr>
        <w:t>.</w:t>
      </w:r>
    </w:p>
    <w:p w:rsidR="005D3A52" w:rsidRDefault="005D3A52" w:rsidP="005D3A52">
      <w:pPr>
        <w:pStyle w:val="ListParagraph"/>
        <w:rPr>
          <w:rFonts w:ascii="Book Antiqua" w:hAnsi="Book Antiqua" w:cs="Arial"/>
        </w:rPr>
      </w:pPr>
    </w:p>
    <w:p w:rsidR="00734314" w:rsidRDefault="00734314" w:rsidP="005D3A52">
      <w:pPr>
        <w:numPr>
          <w:ilvl w:val="0"/>
          <w:numId w:val="1"/>
        </w:numPr>
        <w:tabs>
          <w:tab w:val="left" w:pos="567"/>
        </w:tabs>
        <w:ind w:left="567" w:right="567"/>
        <w:jc w:val="both"/>
        <w:rPr>
          <w:rFonts w:ascii="Book Antiqua" w:hAnsi="Book Antiqua" w:cs="Arial"/>
        </w:rPr>
      </w:pPr>
      <w:r>
        <w:rPr>
          <w:rFonts w:ascii="Book Antiqua" w:hAnsi="Book Antiqua" w:cs="Arial"/>
        </w:rPr>
        <w:t>I</w:t>
      </w:r>
      <w:r w:rsidR="005D3A52">
        <w:rPr>
          <w:rFonts w:ascii="Book Antiqua" w:hAnsi="Book Antiqua" w:cs="Arial"/>
        </w:rPr>
        <w:t xml:space="preserve">t is not the case that the Respondent was completely taken unaware </w:t>
      </w:r>
      <w:r w:rsidR="00222451">
        <w:rPr>
          <w:rFonts w:ascii="Book Antiqua" w:hAnsi="Book Antiqua" w:cs="Arial"/>
        </w:rPr>
        <w:t>by</w:t>
      </w:r>
      <w:r w:rsidR="00FE6E2B">
        <w:rPr>
          <w:rFonts w:ascii="Book Antiqua" w:hAnsi="Book Antiqua" w:cs="Arial"/>
        </w:rPr>
        <w:t xml:space="preserve"> the</w:t>
      </w:r>
      <w:r w:rsidR="005D3A52">
        <w:rPr>
          <w:rFonts w:ascii="Book Antiqua" w:hAnsi="Book Antiqua" w:cs="Arial"/>
        </w:rPr>
        <w:t xml:space="preserve"> factual development. As Mr Foster had explained to the First-tier Tribunal</w:t>
      </w:r>
      <w:r w:rsidR="00222451">
        <w:rPr>
          <w:rFonts w:ascii="Book Antiqua" w:hAnsi="Book Antiqua" w:cs="Arial"/>
        </w:rPr>
        <w:t>,</w:t>
      </w:r>
      <w:r w:rsidR="005D3A52">
        <w:rPr>
          <w:rFonts w:ascii="Book Antiqua" w:hAnsi="Book Antiqua" w:cs="Arial"/>
        </w:rPr>
        <w:t xml:space="preserve"> it had been made very clear at the date of application that the Appellant was pregnant. There is an allusion to the pregnancy at the p</w:t>
      </w:r>
      <w:r w:rsidR="005D3A52" w:rsidRPr="005D3A52">
        <w:rPr>
          <w:rFonts w:ascii="Book Antiqua" w:hAnsi="Book Antiqua" w:cs="Arial"/>
        </w:rPr>
        <w:t>age 3 of the refusal letter</w:t>
      </w:r>
      <w:r w:rsidR="005D3A52">
        <w:rPr>
          <w:rFonts w:ascii="Book Antiqua" w:hAnsi="Book Antiqua" w:cs="Arial"/>
        </w:rPr>
        <w:t xml:space="preserve"> where the decision-maker writes</w:t>
      </w:r>
      <w:r w:rsidR="005D3A52" w:rsidRPr="005D3A52">
        <w:rPr>
          <w:rFonts w:ascii="Book Antiqua" w:hAnsi="Book Antiqua" w:cs="Arial"/>
        </w:rPr>
        <w:t xml:space="preserve">: “you have not raised anything that would lead us to believe you have a child in the UK </w:t>
      </w:r>
      <w:r w:rsidR="005D3A52" w:rsidRPr="005D3A52">
        <w:rPr>
          <w:rFonts w:ascii="Book Antiqua" w:hAnsi="Book Antiqua" w:cs="Arial"/>
          <w:i/>
        </w:rPr>
        <w:t>that has been born</w:t>
      </w:r>
      <w:r w:rsidR="005D3A52" w:rsidRPr="005D3A52">
        <w:rPr>
          <w:rFonts w:ascii="Book Antiqua" w:hAnsi="Book Antiqua" w:cs="Arial"/>
        </w:rPr>
        <w:t xml:space="preserve"> and so do not meet the requirements of paragraph EX.1 (a) of Appendix FM” (my emphasis).</w:t>
      </w:r>
      <w:r w:rsidR="005D3A52">
        <w:rPr>
          <w:rFonts w:ascii="Book Antiqua" w:hAnsi="Book Antiqua" w:cs="Arial"/>
        </w:rPr>
        <w:t xml:space="preserve">  </w:t>
      </w:r>
      <w:r>
        <w:rPr>
          <w:rFonts w:ascii="Book Antiqua" w:hAnsi="Book Antiqua" w:cs="Arial"/>
        </w:rPr>
        <w:t xml:space="preserve">The pregnancy, and therefore the nature of this family unit, was at the centre of the Appellant’s case from the </w:t>
      </w:r>
      <w:r w:rsidR="006E6149">
        <w:rPr>
          <w:rFonts w:ascii="Book Antiqua" w:hAnsi="Book Antiqua" w:cs="Arial"/>
        </w:rPr>
        <w:t>outset, as</w:t>
      </w:r>
      <w:r>
        <w:rPr>
          <w:rFonts w:ascii="Book Antiqua" w:hAnsi="Book Antiqua" w:cs="Arial"/>
        </w:rPr>
        <w:t xml:space="preserve"> can be seen from the ante-natal notes and medical correspondence contained in the Respondent’s bundle. </w:t>
      </w:r>
      <w:r w:rsidR="005D3A52">
        <w:rPr>
          <w:rFonts w:ascii="Book Antiqua" w:hAnsi="Book Antiqua" w:cs="Arial"/>
        </w:rPr>
        <w:t>When Mr Foster supported the Appellant in her application to remain here with him he did not j</w:t>
      </w:r>
      <w:r w:rsidR="00B74908">
        <w:rPr>
          <w:rFonts w:ascii="Book Antiqua" w:hAnsi="Book Antiqua" w:cs="Arial"/>
        </w:rPr>
        <w:t>ust do so because she was his partner</w:t>
      </w:r>
      <w:r w:rsidR="005D3A52">
        <w:rPr>
          <w:rFonts w:ascii="Book Antiqua" w:hAnsi="Book Antiqua" w:cs="Arial"/>
        </w:rPr>
        <w:t>: she was his preg</w:t>
      </w:r>
      <w:r w:rsidR="00B74908">
        <w:rPr>
          <w:rFonts w:ascii="Book Antiqua" w:hAnsi="Book Antiqua" w:cs="Arial"/>
        </w:rPr>
        <w:t>nant partner</w:t>
      </w:r>
      <w:r w:rsidR="005D3A52">
        <w:rPr>
          <w:rFonts w:ascii="Book Antiqua" w:hAnsi="Book Antiqua" w:cs="Arial"/>
        </w:rPr>
        <w:t xml:space="preserve">.  Whilst there is no scope within Article 8 </w:t>
      </w:r>
      <w:r w:rsidR="00222451">
        <w:rPr>
          <w:rFonts w:ascii="Book Antiqua" w:hAnsi="Book Antiqua" w:cs="Arial"/>
        </w:rPr>
        <w:t>to recognise family life with an</w:t>
      </w:r>
      <w:r w:rsidR="00484362">
        <w:rPr>
          <w:rFonts w:ascii="Book Antiqua" w:hAnsi="Book Antiqua" w:cs="Arial"/>
        </w:rPr>
        <w:t xml:space="preserve"> unborn child, I find this factual matrix to be</w:t>
      </w:r>
      <w:r w:rsidR="00222451">
        <w:rPr>
          <w:rFonts w:ascii="Book Antiqua" w:hAnsi="Book Antiqua" w:cs="Arial"/>
        </w:rPr>
        <w:t xml:space="preserve"> more nuanced than that considered in </w:t>
      </w:r>
      <w:r w:rsidR="00222451" w:rsidRPr="00222451">
        <w:rPr>
          <w:rFonts w:ascii="Book Antiqua" w:hAnsi="Book Antiqua" w:cs="Arial"/>
          <w:u w:val="single"/>
        </w:rPr>
        <w:t>Mahmud</w:t>
      </w:r>
      <w:r w:rsidR="00222451">
        <w:rPr>
          <w:rFonts w:ascii="Book Antiqua" w:hAnsi="Book Antiqua" w:cs="Arial"/>
        </w:rPr>
        <w:t>.</w:t>
      </w:r>
      <w:r>
        <w:rPr>
          <w:rFonts w:ascii="Book Antiqua" w:hAnsi="Book Antiqua" w:cs="Arial"/>
        </w:rPr>
        <w:t xml:space="preserve">  Where </w:t>
      </w:r>
      <w:r>
        <w:rPr>
          <w:rFonts w:ascii="Book Antiqua" w:hAnsi="Book Antiqua" w:cs="Arial"/>
        </w:rPr>
        <w:lastRenderedPageBreak/>
        <w:t xml:space="preserve">the Respondent has been aware of the pregnancy all along, I find the birth to be </w:t>
      </w:r>
      <w:r w:rsidR="00222451">
        <w:rPr>
          <w:rFonts w:ascii="Book Antiqua" w:hAnsi="Book Antiqua" w:cs="Arial"/>
        </w:rPr>
        <w:t>evidence of an existing matter.</w:t>
      </w:r>
      <w:r>
        <w:rPr>
          <w:rFonts w:ascii="Book Antiqua" w:hAnsi="Book Antiqua" w:cs="Arial"/>
        </w:rPr>
        <w:t xml:space="preserve">  </w:t>
      </w:r>
    </w:p>
    <w:p w:rsidR="00734314" w:rsidRDefault="00734314" w:rsidP="00734314">
      <w:pPr>
        <w:tabs>
          <w:tab w:val="left" w:pos="567"/>
        </w:tabs>
        <w:ind w:left="567" w:right="567"/>
        <w:jc w:val="both"/>
        <w:rPr>
          <w:rFonts w:ascii="Book Antiqua" w:hAnsi="Book Antiqua" w:cs="Arial"/>
        </w:rPr>
      </w:pPr>
    </w:p>
    <w:p w:rsidR="00B86589" w:rsidRPr="00B74908" w:rsidRDefault="00734314" w:rsidP="0006645C">
      <w:pPr>
        <w:numPr>
          <w:ilvl w:val="0"/>
          <w:numId w:val="1"/>
        </w:numPr>
        <w:tabs>
          <w:tab w:val="left" w:pos="567"/>
        </w:tabs>
        <w:ind w:left="567" w:right="567"/>
        <w:jc w:val="both"/>
        <w:rPr>
          <w:rFonts w:ascii="Book Antiqua" w:hAnsi="Book Antiqua" w:cs="Arial"/>
        </w:rPr>
      </w:pPr>
      <w:r w:rsidRPr="00B74908">
        <w:rPr>
          <w:rFonts w:ascii="Book Antiqua" w:hAnsi="Book Antiqua" w:cs="Arial"/>
        </w:rPr>
        <w:t>The point of this statutory provision is, presumably, to prevent the Respondent being ambushed by new issues that she has not a chance to cons</w:t>
      </w:r>
      <w:r w:rsidR="00E52081">
        <w:rPr>
          <w:rFonts w:ascii="Book Antiqua" w:hAnsi="Book Antiqua" w:cs="Arial"/>
        </w:rPr>
        <w:t>ider (I discount the suggestion, made by some,</w:t>
      </w:r>
      <w:r w:rsidRPr="00B74908">
        <w:rPr>
          <w:rFonts w:ascii="Book Antiqua" w:hAnsi="Book Antiqua" w:cs="Arial"/>
        </w:rPr>
        <w:t xml:space="preserve"> that its intention was to generate income</w:t>
      </w:r>
      <w:r w:rsidR="00E52081">
        <w:rPr>
          <w:rFonts w:ascii="Book Antiqua" w:hAnsi="Book Antiqua" w:cs="Arial"/>
        </w:rPr>
        <w:t xml:space="preserve"> for the Home Office</w:t>
      </w:r>
      <w:r w:rsidRPr="00B74908">
        <w:rPr>
          <w:rFonts w:ascii="Book Antiqua" w:hAnsi="Book Antiqua" w:cs="Arial"/>
        </w:rPr>
        <w:t xml:space="preserve"> by encouraging multiple paid applications). Since any caseworker, or HOPO, who picked up this file at any point between </w:t>
      </w:r>
      <w:r w:rsidR="00B74908" w:rsidRPr="00B74908">
        <w:rPr>
          <w:rFonts w:ascii="Book Antiqua" w:hAnsi="Book Antiqua" w:cs="Arial"/>
        </w:rPr>
        <w:t>December 2015 (when the medical records were submitted) and January 2017 (the hearing)</w:t>
      </w:r>
      <w:r w:rsidRPr="00B74908">
        <w:rPr>
          <w:rFonts w:ascii="Book Antiqua" w:hAnsi="Book Antiqua" w:cs="Arial"/>
        </w:rPr>
        <w:t xml:space="preserve"> </w:t>
      </w:r>
      <w:r w:rsidR="00B74908" w:rsidRPr="00B74908">
        <w:rPr>
          <w:rFonts w:ascii="Book Antiqua" w:hAnsi="Book Antiqua" w:cs="Arial"/>
        </w:rPr>
        <w:t>would have been aware of the pregnancy (then baby) I find it very difficult to see why Ms Alfred considered that she was unable to deal with the issue.  I note in particular that her assertion that she wanted to request DNA testing has been completely abandoned since the First-tier Tribunal hearing. There is no question that this is a genuine and</w:t>
      </w:r>
      <w:r w:rsidR="00B74908">
        <w:rPr>
          <w:rFonts w:ascii="Book Antiqua" w:hAnsi="Book Antiqua" w:cs="Arial"/>
        </w:rPr>
        <w:t xml:space="preserve"> subsisting relationship. </w:t>
      </w:r>
      <w:r w:rsidR="00B74908" w:rsidRPr="00B74908">
        <w:rPr>
          <w:rFonts w:ascii="Book Antiqua" w:hAnsi="Book Antiqua" w:cs="Arial"/>
        </w:rPr>
        <w:t>Mr Harrison expressly declined to challenge the claimed paternity</w:t>
      </w:r>
      <w:r w:rsidR="00B74908">
        <w:rPr>
          <w:rFonts w:ascii="Book Antiqua" w:hAnsi="Book Antiqua" w:cs="Arial"/>
        </w:rPr>
        <w:t>: a sensible concession given that the child has now been issued with a British passport on the basis of her father’s nationality.</w:t>
      </w:r>
    </w:p>
    <w:p w:rsidR="00B74908" w:rsidRDefault="00B74908" w:rsidP="00B74908">
      <w:pPr>
        <w:pStyle w:val="ListParagraph"/>
        <w:rPr>
          <w:rFonts w:ascii="Book Antiqua" w:hAnsi="Book Antiqua" w:cs="Arial"/>
        </w:rPr>
      </w:pPr>
    </w:p>
    <w:p w:rsidR="00B74908" w:rsidRDefault="00B74908" w:rsidP="005D3A52">
      <w:pPr>
        <w:numPr>
          <w:ilvl w:val="0"/>
          <w:numId w:val="1"/>
        </w:numPr>
        <w:tabs>
          <w:tab w:val="left" w:pos="567"/>
        </w:tabs>
        <w:ind w:left="567" w:right="567"/>
        <w:jc w:val="both"/>
        <w:rPr>
          <w:rFonts w:ascii="Book Antiqua" w:hAnsi="Book Antiqua" w:cs="Arial"/>
        </w:rPr>
      </w:pPr>
      <w:r>
        <w:rPr>
          <w:rFonts w:ascii="Book Antiqua" w:hAnsi="Book Antiqua" w:cs="Arial"/>
        </w:rPr>
        <w:t>I am satisfied that the First-tier Tribunal misdirected itself as to its own power to consider whether this was a new matter. It was for the Tribunal to conduct its own assessment. I am satisfied that the birth of the child was not, on these pa</w:t>
      </w:r>
      <w:r w:rsidR="00E52081">
        <w:rPr>
          <w:rFonts w:ascii="Book Antiqua" w:hAnsi="Book Antiqua" w:cs="Arial"/>
        </w:rPr>
        <w:t>rticu</w:t>
      </w:r>
      <w:r w:rsidR="00FE6E2B">
        <w:rPr>
          <w:rFonts w:ascii="Book Antiqua" w:hAnsi="Book Antiqua" w:cs="Arial"/>
        </w:rPr>
        <w:t>lar facts, a ‘new matter’, and</w:t>
      </w:r>
      <w:r w:rsidR="00E52081">
        <w:rPr>
          <w:rFonts w:ascii="Book Antiqua" w:hAnsi="Book Antiqua" w:cs="Arial"/>
        </w:rPr>
        <w:t xml:space="preserve"> the test in s</w:t>
      </w:r>
      <w:r w:rsidR="00E61C02">
        <w:rPr>
          <w:rFonts w:ascii="Book Antiqua" w:hAnsi="Book Antiqua" w:cs="Arial"/>
        </w:rPr>
        <w:t xml:space="preserve">.85(6)(a) was not met. </w:t>
      </w:r>
    </w:p>
    <w:p w:rsidR="00B74908" w:rsidRDefault="00B74908" w:rsidP="00B74908">
      <w:pPr>
        <w:pStyle w:val="ListParagraph"/>
        <w:rPr>
          <w:rFonts w:ascii="Book Antiqua" w:hAnsi="Book Antiqua" w:cs="Arial"/>
        </w:rPr>
      </w:pPr>
    </w:p>
    <w:p w:rsidR="00B74908" w:rsidRDefault="00B74908" w:rsidP="00B74908">
      <w:pPr>
        <w:tabs>
          <w:tab w:val="left" w:pos="567"/>
        </w:tabs>
        <w:ind w:left="567" w:right="567"/>
        <w:jc w:val="both"/>
        <w:rPr>
          <w:rFonts w:ascii="Book Antiqua" w:hAnsi="Book Antiqua" w:cs="Arial"/>
        </w:rPr>
      </w:pPr>
    </w:p>
    <w:p w:rsidR="00B74908" w:rsidRPr="00B74908" w:rsidRDefault="00B74908" w:rsidP="00B74908">
      <w:pPr>
        <w:tabs>
          <w:tab w:val="left" w:pos="567"/>
        </w:tabs>
        <w:ind w:left="567" w:right="567"/>
        <w:jc w:val="both"/>
        <w:rPr>
          <w:rFonts w:ascii="Book Antiqua" w:hAnsi="Book Antiqua" w:cs="Arial"/>
          <w:i/>
        </w:rPr>
      </w:pPr>
      <w:proofErr w:type="spellStart"/>
      <w:r w:rsidRPr="00B74908">
        <w:rPr>
          <w:rFonts w:ascii="Book Antiqua" w:hAnsi="Book Antiqua" w:cs="Arial"/>
          <w:i/>
        </w:rPr>
        <w:t>Razgar</w:t>
      </w:r>
      <w:proofErr w:type="spellEnd"/>
      <w:r w:rsidRPr="00B74908">
        <w:rPr>
          <w:rFonts w:ascii="Book Antiqua" w:hAnsi="Book Antiqua" w:cs="Arial"/>
          <w:i/>
        </w:rPr>
        <w:t xml:space="preserve"> </w:t>
      </w:r>
    </w:p>
    <w:p w:rsidR="00B74908" w:rsidRDefault="00B74908" w:rsidP="00B74908">
      <w:pPr>
        <w:pStyle w:val="ListParagraph"/>
        <w:rPr>
          <w:rFonts w:ascii="Book Antiqua" w:hAnsi="Book Antiqua" w:cs="Arial"/>
        </w:rPr>
      </w:pPr>
    </w:p>
    <w:p w:rsidR="00E61C02" w:rsidRDefault="00E61C02" w:rsidP="00E61C02">
      <w:pPr>
        <w:numPr>
          <w:ilvl w:val="0"/>
          <w:numId w:val="1"/>
        </w:numPr>
        <w:tabs>
          <w:tab w:val="left" w:pos="567"/>
        </w:tabs>
        <w:ind w:left="567" w:right="567"/>
        <w:jc w:val="both"/>
        <w:rPr>
          <w:rFonts w:ascii="Book Antiqua" w:hAnsi="Book Antiqua" w:cs="Arial"/>
        </w:rPr>
      </w:pPr>
      <w:r w:rsidRPr="00E61C02">
        <w:rPr>
          <w:rFonts w:ascii="Book Antiqua" w:hAnsi="Book Antiqua" w:cs="Arial"/>
          <w:u w:val="single"/>
        </w:rPr>
        <w:t>R (</w:t>
      </w:r>
      <w:proofErr w:type="spellStart"/>
      <w:r w:rsidRPr="00E61C02">
        <w:rPr>
          <w:rFonts w:ascii="Book Antiqua" w:hAnsi="Book Antiqua" w:cs="Arial"/>
          <w:u w:val="single"/>
        </w:rPr>
        <w:t>Razgar</w:t>
      </w:r>
      <w:proofErr w:type="spellEnd"/>
      <w:r w:rsidRPr="00E61C02">
        <w:rPr>
          <w:rFonts w:ascii="Book Antiqua" w:hAnsi="Book Antiqua" w:cs="Arial"/>
          <w:u w:val="single"/>
        </w:rPr>
        <w:t>) v Secretary of State for the Home Department</w:t>
      </w:r>
      <w:r w:rsidRPr="00E61C02">
        <w:rPr>
          <w:rFonts w:ascii="Book Antiqua" w:hAnsi="Book Antiqua" w:cs="Arial"/>
        </w:rPr>
        <w:t xml:space="preserve"> [2004] UKHL 27</w:t>
      </w:r>
      <w:r>
        <w:rPr>
          <w:rFonts w:ascii="Book Antiqua" w:hAnsi="Book Antiqua" w:cs="Arial"/>
        </w:rPr>
        <w:t xml:space="preserve"> remains the leading authority for the appli</w:t>
      </w:r>
      <w:r w:rsidR="00595F76">
        <w:rPr>
          <w:rFonts w:ascii="Book Antiqua" w:hAnsi="Book Antiqua" w:cs="Arial"/>
        </w:rPr>
        <w:t>cation of A</w:t>
      </w:r>
      <w:r>
        <w:rPr>
          <w:rFonts w:ascii="Book Antiqua" w:hAnsi="Book Antiqua" w:cs="Arial"/>
        </w:rPr>
        <w:t>rticle 8 ECHR in the context of our domestic jurisprudence on the control of migration. At paragraph 17 Lord Bingh</w:t>
      </w:r>
      <w:r w:rsidR="00595F76">
        <w:rPr>
          <w:rFonts w:ascii="Book Antiqua" w:hAnsi="Book Antiqua" w:cs="Arial"/>
        </w:rPr>
        <w:t>am sets out the series of questions that a decision-maker must consider (in that instance in a removal case):</w:t>
      </w:r>
    </w:p>
    <w:p w:rsidR="00E61C02" w:rsidRPr="00E61C02" w:rsidRDefault="00E61C02" w:rsidP="00E61C02">
      <w:pPr>
        <w:tabs>
          <w:tab w:val="left" w:pos="567"/>
        </w:tabs>
        <w:ind w:left="567" w:right="567"/>
        <w:jc w:val="both"/>
        <w:rPr>
          <w:rFonts w:ascii="Book Antiqua" w:hAnsi="Book Antiqua" w:cs="Arial"/>
        </w:rPr>
      </w:pPr>
    </w:p>
    <w:p w:rsidR="00E61C02" w:rsidRPr="00595F76" w:rsidRDefault="00E61C02" w:rsidP="00595F76">
      <w:pPr>
        <w:spacing w:after="240"/>
        <w:ind w:left="1701" w:right="1191" w:hanging="567"/>
        <w:jc w:val="both"/>
        <w:rPr>
          <w:rFonts w:ascii="Book Antiqua" w:hAnsi="Book Antiqua" w:cs="Arial"/>
          <w:sz w:val="20"/>
          <w:szCs w:val="20"/>
        </w:rPr>
      </w:pPr>
      <w:r w:rsidRPr="00595F76">
        <w:rPr>
          <w:rFonts w:ascii="Book Antiqua" w:hAnsi="Book Antiqua" w:cs="Arial"/>
          <w:sz w:val="20"/>
          <w:szCs w:val="20"/>
        </w:rPr>
        <w:t>“(1)</w:t>
      </w:r>
      <w:r w:rsidRPr="00595F76">
        <w:rPr>
          <w:rFonts w:ascii="Book Antiqua" w:hAnsi="Book Antiqua" w:cs="Arial"/>
          <w:sz w:val="20"/>
          <w:szCs w:val="20"/>
        </w:rPr>
        <w:tab/>
        <w:t>Will the proposed removal be an interference by a public authority with the exercise of the applicant’s right to respect for his private or (as the case may be) family life?</w:t>
      </w:r>
    </w:p>
    <w:p w:rsidR="00E61C02" w:rsidRPr="00595F76" w:rsidRDefault="00E61C02" w:rsidP="00595F76">
      <w:pPr>
        <w:spacing w:after="240"/>
        <w:ind w:left="1701" w:right="1191" w:hanging="567"/>
        <w:jc w:val="both"/>
        <w:rPr>
          <w:rFonts w:ascii="Book Antiqua" w:hAnsi="Book Antiqua" w:cs="Arial"/>
          <w:sz w:val="20"/>
          <w:szCs w:val="20"/>
        </w:rPr>
      </w:pPr>
      <w:r w:rsidRPr="00595F76">
        <w:rPr>
          <w:rFonts w:ascii="Book Antiqua" w:hAnsi="Book Antiqua" w:cs="Arial"/>
          <w:sz w:val="20"/>
          <w:szCs w:val="20"/>
        </w:rPr>
        <w:t xml:space="preserve">  (2)</w:t>
      </w:r>
      <w:r w:rsidRPr="00595F76">
        <w:rPr>
          <w:rFonts w:ascii="Book Antiqua" w:hAnsi="Book Antiqua" w:cs="Arial"/>
          <w:sz w:val="20"/>
          <w:szCs w:val="20"/>
        </w:rPr>
        <w:tab/>
        <w:t>If so, will such interference have consequences of such gravity as potentially to engage the operation of Article 8?</w:t>
      </w:r>
    </w:p>
    <w:p w:rsidR="00E61C02" w:rsidRPr="00595F76" w:rsidRDefault="00E61C02" w:rsidP="00595F76">
      <w:pPr>
        <w:spacing w:after="240"/>
        <w:ind w:left="1701" w:right="1191" w:hanging="567"/>
        <w:jc w:val="both"/>
        <w:rPr>
          <w:rFonts w:ascii="Book Antiqua" w:hAnsi="Book Antiqua" w:cs="Arial"/>
          <w:sz w:val="20"/>
          <w:szCs w:val="20"/>
        </w:rPr>
      </w:pPr>
      <w:r w:rsidRPr="00595F76">
        <w:rPr>
          <w:rFonts w:ascii="Book Antiqua" w:hAnsi="Book Antiqua" w:cs="Arial"/>
          <w:sz w:val="20"/>
          <w:szCs w:val="20"/>
        </w:rPr>
        <w:t xml:space="preserve">  (3)</w:t>
      </w:r>
      <w:r w:rsidRPr="00595F76">
        <w:rPr>
          <w:rFonts w:ascii="Book Antiqua" w:hAnsi="Book Antiqua" w:cs="Arial"/>
          <w:sz w:val="20"/>
          <w:szCs w:val="20"/>
        </w:rPr>
        <w:tab/>
        <w:t>If so, is such interference in accordance with the law?</w:t>
      </w:r>
    </w:p>
    <w:p w:rsidR="00E61C02" w:rsidRPr="00595F76" w:rsidRDefault="00E61C02" w:rsidP="00595F76">
      <w:pPr>
        <w:spacing w:after="240"/>
        <w:ind w:left="1701" w:right="1191" w:hanging="567"/>
        <w:jc w:val="both"/>
        <w:rPr>
          <w:rFonts w:ascii="Book Antiqua" w:hAnsi="Book Antiqua" w:cs="Arial"/>
          <w:sz w:val="20"/>
          <w:szCs w:val="20"/>
        </w:rPr>
      </w:pPr>
      <w:r w:rsidRPr="00595F76">
        <w:rPr>
          <w:rFonts w:ascii="Book Antiqua" w:hAnsi="Book Antiqua" w:cs="Arial"/>
          <w:sz w:val="20"/>
          <w:szCs w:val="20"/>
        </w:rPr>
        <w:t xml:space="preserve">  (4)</w:t>
      </w:r>
      <w:r w:rsidRPr="00595F76">
        <w:rPr>
          <w:rFonts w:ascii="Book Antiqua" w:hAnsi="Book Antiqua" w:cs="Arial"/>
          <w:sz w:val="20"/>
          <w:szCs w:val="20"/>
        </w:rPr>
        <w:tab/>
        <w:t>If so, is such interference necessary in a democratic society in the interests of national security, public safety or the economic well-being of the country, for the prevention of disorder or crime, for the protection of health or morals, or for the protection of the rights and freedom of others?</w:t>
      </w:r>
    </w:p>
    <w:p w:rsidR="00E61C02" w:rsidRPr="00595F76" w:rsidRDefault="00E61C02" w:rsidP="00595F76">
      <w:pPr>
        <w:spacing w:after="240"/>
        <w:ind w:left="1701" w:right="1191" w:hanging="567"/>
        <w:jc w:val="both"/>
        <w:rPr>
          <w:rFonts w:ascii="Book Antiqua" w:hAnsi="Book Antiqua" w:cs="Arial"/>
          <w:sz w:val="20"/>
          <w:szCs w:val="20"/>
        </w:rPr>
      </w:pPr>
      <w:r w:rsidRPr="00595F76">
        <w:rPr>
          <w:rFonts w:ascii="Book Antiqua" w:hAnsi="Book Antiqua" w:cs="Arial"/>
          <w:sz w:val="20"/>
          <w:szCs w:val="20"/>
        </w:rPr>
        <w:t xml:space="preserve">  (5)</w:t>
      </w:r>
      <w:r w:rsidRPr="00595F76">
        <w:rPr>
          <w:rFonts w:ascii="Book Antiqua" w:hAnsi="Book Antiqua" w:cs="Arial"/>
          <w:sz w:val="20"/>
          <w:szCs w:val="20"/>
        </w:rPr>
        <w:tab/>
        <w:t>If so, is such interference proportionate to the legitimate public end sought to be achieved?”</w:t>
      </w:r>
    </w:p>
    <w:p w:rsidR="001523AB" w:rsidRDefault="00595F76" w:rsidP="005D3A52">
      <w:pPr>
        <w:numPr>
          <w:ilvl w:val="0"/>
          <w:numId w:val="1"/>
        </w:numPr>
        <w:tabs>
          <w:tab w:val="left" w:pos="567"/>
        </w:tabs>
        <w:ind w:left="567" w:right="567"/>
        <w:jc w:val="both"/>
        <w:rPr>
          <w:rFonts w:ascii="Book Antiqua" w:hAnsi="Book Antiqua" w:cs="Arial"/>
        </w:rPr>
      </w:pPr>
      <w:r>
        <w:rPr>
          <w:rFonts w:ascii="Book Antiqua" w:hAnsi="Book Antiqua" w:cs="Arial"/>
        </w:rPr>
        <w:lastRenderedPageBreak/>
        <w:t>In the instant case t</w:t>
      </w:r>
      <w:r w:rsidR="00E61C02">
        <w:rPr>
          <w:rFonts w:ascii="Book Antiqua" w:hAnsi="Book Antiqua" w:cs="Arial"/>
        </w:rPr>
        <w:t xml:space="preserve">he First-tier Tribunal accepted that there was a family life, and </w:t>
      </w:r>
      <w:r>
        <w:rPr>
          <w:rFonts w:ascii="Book Antiqua" w:hAnsi="Book Antiqua" w:cs="Arial"/>
        </w:rPr>
        <w:t>that</w:t>
      </w:r>
      <w:r w:rsidR="00E61C02">
        <w:rPr>
          <w:rFonts w:ascii="Book Antiqua" w:hAnsi="Book Antiqua" w:cs="Arial"/>
        </w:rPr>
        <w:t xml:space="preserve"> the refusal to grant the Appellant leave would interfere with it. </w:t>
      </w:r>
      <w:r w:rsidR="001523AB">
        <w:rPr>
          <w:rFonts w:ascii="Book Antiqua" w:hAnsi="Book Antiqua" w:cs="Arial"/>
        </w:rPr>
        <w:t xml:space="preserve"> What then of the third stage in the enquiry? Mr Harrison had accepted that the </w:t>
      </w:r>
      <w:r w:rsidR="001523AB" w:rsidRPr="001523AB">
        <w:rPr>
          <w:rFonts w:ascii="Book Antiqua" w:hAnsi="Book Antiqua" w:cs="Arial"/>
          <w:i/>
        </w:rPr>
        <w:t>prima facie</w:t>
      </w:r>
      <w:r w:rsidR="001523AB">
        <w:rPr>
          <w:rFonts w:ascii="Book Antiqua" w:hAnsi="Book Antiqua" w:cs="Arial"/>
        </w:rPr>
        <w:t xml:space="preserve"> the </w:t>
      </w:r>
      <w:proofErr w:type="gramStart"/>
      <w:r w:rsidR="001523AB">
        <w:rPr>
          <w:rFonts w:ascii="Book Antiqua" w:hAnsi="Book Antiqua" w:cs="Arial"/>
        </w:rPr>
        <w:t>decision making</w:t>
      </w:r>
      <w:proofErr w:type="gramEnd"/>
      <w:r w:rsidR="001523AB">
        <w:rPr>
          <w:rFonts w:ascii="Book Antiqua" w:hAnsi="Book Antiqua" w:cs="Arial"/>
        </w:rPr>
        <w:t xml:space="preserve"> process had not accorded with published Home Office policy and to that extent it could be said to be “not in accordance with the law”: </w:t>
      </w:r>
      <w:r w:rsidR="001523AB" w:rsidRPr="00BF6331">
        <w:rPr>
          <w:rFonts w:ascii="Book Antiqua" w:hAnsi="Book Antiqua" w:cs="Arial"/>
          <w:u w:val="single"/>
        </w:rPr>
        <w:t>DS (Abdi)</w:t>
      </w:r>
      <w:r w:rsidR="001523AB">
        <w:rPr>
          <w:rFonts w:ascii="Book Antiqua" w:hAnsi="Book Antiqua" w:cs="Arial"/>
        </w:rPr>
        <w:t xml:space="preserve"> v Secretary of State for the Home Department [1996] </w:t>
      </w:r>
      <w:r w:rsidR="00BF6331">
        <w:rPr>
          <w:rFonts w:ascii="Book Antiqua" w:hAnsi="Book Antiqua" w:cs="Arial"/>
        </w:rPr>
        <w:t xml:space="preserve">Imm AR 148.  Mr </w:t>
      </w:r>
      <w:proofErr w:type="spellStart"/>
      <w:r w:rsidR="00BF6331">
        <w:rPr>
          <w:rFonts w:ascii="Book Antiqua" w:hAnsi="Book Antiqua" w:cs="Arial"/>
        </w:rPr>
        <w:t>O’Ryan</w:t>
      </w:r>
      <w:proofErr w:type="spellEnd"/>
      <w:r w:rsidR="00BF6331">
        <w:rPr>
          <w:rFonts w:ascii="Book Antiqua" w:hAnsi="Book Antiqua" w:cs="Arial"/>
        </w:rPr>
        <w:t xml:space="preserve"> submitted that in those circumstances the decision, insofar as it turned on Article 8 ‘outside of the rules’ had to be allowed on that basis.</w:t>
      </w:r>
    </w:p>
    <w:p w:rsidR="00BF6331" w:rsidRDefault="00BF6331" w:rsidP="00BF6331">
      <w:pPr>
        <w:tabs>
          <w:tab w:val="left" w:pos="567"/>
        </w:tabs>
        <w:ind w:left="567" w:right="567"/>
        <w:jc w:val="both"/>
        <w:rPr>
          <w:rFonts w:ascii="Book Antiqua" w:hAnsi="Book Antiqua" w:cs="Arial"/>
        </w:rPr>
      </w:pPr>
      <w:r>
        <w:rPr>
          <w:rFonts w:ascii="Book Antiqua" w:hAnsi="Book Antiqua" w:cs="Arial"/>
        </w:rPr>
        <w:t xml:space="preserve"> </w:t>
      </w:r>
    </w:p>
    <w:p w:rsidR="00BE6926" w:rsidRPr="00F60553" w:rsidRDefault="00BF6331" w:rsidP="004675B1">
      <w:pPr>
        <w:numPr>
          <w:ilvl w:val="0"/>
          <w:numId w:val="1"/>
        </w:numPr>
        <w:tabs>
          <w:tab w:val="left" w:pos="567"/>
        </w:tabs>
        <w:ind w:left="567" w:right="567"/>
        <w:jc w:val="both"/>
        <w:rPr>
          <w:rFonts w:ascii="Book Antiqua" w:hAnsi="Book Antiqua" w:cs="Arial"/>
        </w:rPr>
      </w:pPr>
      <w:r>
        <w:rPr>
          <w:rFonts w:ascii="Book Antiqua" w:hAnsi="Book Antiqua" w:cs="Arial"/>
        </w:rPr>
        <w:t xml:space="preserve">Attractive as that argument might be, it faces one insuperable obstacle: the change, since </w:t>
      </w:r>
      <w:r w:rsidRPr="00BF6331">
        <w:rPr>
          <w:rFonts w:ascii="Book Antiqua" w:hAnsi="Book Antiqua" w:cs="Arial"/>
          <w:u w:val="single"/>
        </w:rPr>
        <w:t>Abdi</w:t>
      </w:r>
      <w:r>
        <w:rPr>
          <w:rFonts w:ascii="Book Antiqua" w:hAnsi="Book Antiqua" w:cs="Arial"/>
        </w:rPr>
        <w:t>, of the in the statutory framework relating to</w:t>
      </w:r>
      <w:r w:rsidR="004675B1">
        <w:rPr>
          <w:rFonts w:ascii="Book Antiqua" w:hAnsi="Book Antiqua" w:cs="Arial"/>
        </w:rPr>
        <w:t xml:space="preserve"> appeals. As the Upper Tribunal noted in </w:t>
      </w:r>
      <w:r w:rsidR="004675B1" w:rsidRPr="004675B1">
        <w:rPr>
          <w:rFonts w:ascii="Book Antiqua" w:hAnsi="Book Antiqua"/>
          <w:iCs/>
          <w:u w:val="single"/>
        </w:rPr>
        <w:t>Greenwood No. 2 (para 398 considered</w:t>
      </w:r>
      <w:r w:rsidR="004675B1" w:rsidRPr="004675B1">
        <w:rPr>
          <w:rFonts w:ascii="Book Antiqua" w:hAnsi="Book Antiqua"/>
          <w:iCs/>
        </w:rPr>
        <w:t>) [2015] UKUT 00629 (IAC)</w:t>
      </w:r>
      <w:r w:rsidR="004675B1">
        <w:rPr>
          <w:rFonts w:ascii="Book Antiqua" w:hAnsi="Book Antiqua"/>
          <w:iCs/>
        </w:rPr>
        <w:t xml:space="preserve">, the previous appellate scheme had allowed the First-tier Tribunal, upon consideration of an appeal, to dismiss it, allow it on the grounds that the discretion had been exercised wrongly by the Secretary of State, or to allow it to the extent that the decision was “not in accordance with the law”, in which case the matter would be remitted to the Secretary of State so that a lawful decision could be made. </w:t>
      </w:r>
      <w:r w:rsidR="00BE6926">
        <w:rPr>
          <w:rFonts w:ascii="Book Antiqua" w:hAnsi="Book Antiqua"/>
          <w:iCs/>
        </w:rPr>
        <w:t xml:space="preserve">Part V of the Nationality, Immigration and Asylum Act 2002, as amended by s19 of the Immigration Act </w:t>
      </w:r>
      <w:r w:rsidR="00827CAB">
        <w:rPr>
          <w:rFonts w:ascii="Book Antiqua" w:hAnsi="Book Antiqua"/>
          <w:iCs/>
        </w:rPr>
        <w:t>2014, no</w:t>
      </w:r>
      <w:r w:rsidR="004675B1">
        <w:rPr>
          <w:rFonts w:ascii="Book Antiqua" w:hAnsi="Book Antiqua"/>
          <w:iCs/>
        </w:rPr>
        <w:t xml:space="preserve"> longer provides for such an alternative.</w:t>
      </w:r>
      <w:r w:rsidR="00BE6926">
        <w:rPr>
          <w:rFonts w:ascii="Book Antiqua" w:hAnsi="Book Antiqua"/>
          <w:iCs/>
        </w:rPr>
        <w:t xml:space="preserve">  Today the rights of appeal under s82, and the grounds of appeal under s84, limit the jurisdiction of the Tribunal to consideration of whether the decision under appeal would breach the UKs obligations under the Refugee Convention, the Qualification Directive or the European Convention on Human Rights. </w:t>
      </w:r>
      <w:r w:rsidR="00F60553">
        <w:rPr>
          <w:rFonts w:ascii="Book Antiqua" w:hAnsi="Book Antiqua"/>
          <w:iCs/>
        </w:rPr>
        <w:t xml:space="preserve">  In respect of the latter the Tribunal is concerned specifically with whether the decision is unlawful under section 6 of the Human Rights Act 1998: s84(2).</w:t>
      </w:r>
    </w:p>
    <w:p w:rsidR="00F60553" w:rsidRPr="00F60553" w:rsidRDefault="00F60553" w:rsidP="00F60553">
      <w:pPr>
        <w:tabs>
          <w:tab w:val="left" w:pos="567"/>
        </w:tabs>
        <w:ind w:left="567" w:right="567"/>
        <w:jc w:val="both"/>
        <w:rPr>
          <w:rFonts w:ascii="Book Antiqua" w:hAnsi="Book Antiqua" w:cs="Arial"/>
        </w:rPr>
      </w:pPr>
    </w:p>
    <w:p w:rsidR="001C179E" w:rsidRPr="001C179E" w:rsidRDefault="00BE6926" w:rsidP="001C179E">
      <w:pPr>
        <w:numPr>
          <w:ilvl w:val="0"/>
          <w:numId w:val="1"/>
        </w:numPr>
        <w:tabs>
          <w:tab w:val="left" w:pos="567"/>
        </w:tabs>
        <w:ind w:left="567" w:right="567"/>
        <w:jc w:val="both"/>
        <w:rPr>
          <w:rFonts w:ascii="Book Antiqua" w:hAnsi="Book Antiqua" w:cs="Arial"/>
        </w:rPr>
      </w:pPr>
      <w:r>
        <w:rPr>
          <w:rFonts w:ascii="Book Antiqua" w:hAnsi="Book Antiqua"/>
          <w:iCs/>
        </w:rPr>
        <w:t xml:space="preserve">Mr Justice Lane </w:t>
      </w:r>
      <w:r w:rsidR="001C179E">
        <w:rPr>
          <w:rFonts w:ascii="Book Antiqua" w:hAnsi="Book Antiqua"/>
          <w:iCs/>
        </w:rPr>
        <w:t xml:space="preserve">and Upper Tribunal Judge McWilliam </w:t>
      </w:r>
      <w:r>
        <w:rPr>
          <w:rFonts w:ascii="Book Antiqua" w:hAnsi="Book Antiqua"/>
          <w:iCs/>
        </w:rPr>
        <w:t>recently considered the formulation “in accordance with the law” in the context of</w:t>
      </w:r>
      <w:r w:rsidR="00D73A01">
        <w:rPr>
          <w:rFonts w:ascii="Book Antiqua" w:hAnsi="Book Antiqua"/>
          <w:iCs/>
        </w:rPr>
        <w:t xml:space="preserve"> an appeal brought on</w:t>
      </w:r>
      <w:r w:rsidR="00FE6E2B">
        <w:rPr>
          <w:rFonts w:ascii="Book Antiqua" w:hAnsi="Book Antiqua"/>
          <w:iCs/>
        </w:rPr>
        <w:t xml:space="preserve"> new</w:t>
      </w:r>
      <w:r w:rsidR="00D73A01">
        <w:rPr>
          <w:rFonts w:ascii="Book Antiqua" w:hAnsi="Book Antiqua"/>
          <w:iCs/>
        </w:rPr>
        <w:t xml:space="preserve"> s84(2) grounds </w:t>
      </w:r>
      <w:r>
        <w:rPr>
          <w:rFonts w:ascii="Book Antiqua" w:hAnsi="Book Antiqua"/>
          <w:iCs/>
        </w:rPr>
        <w:t xml:space="preserve">in </w:t>
      </w:r>
      <w:r w:rsidR="001C179E" w:rsidRPr="001C179E">
        <w:rPr>
          <w:rFonts w:ascii="Book Antiqua" w:hAnsi="Book Antiqua" w:cs="Arial"/>
          <w:color w:val="000000"/>
          <w:u w:val="single"/>
        </w:rPr>
        <w:t>Charles (human rights appeal: scope</w:t>
      </w:r>
      <w:r w:rsidR="001C179E" w:rsidRPr="001C179E">
        <w:rPr>
          <w:rFonts w:ascii="Book Antiqua" w:hAnsi="Book Antiqua" w:cs="Arial"/>
          <w:color w:val="000000"/>
        </w:rPr>
        <w:t>) [2018] UKUT 00089 (IAC)</w:t>
      </w:r>
      <w:r w:rsidR="001C179E">
        <w:rPr>
          <w:rFonts w:ascii="Book Antiqua" w:hAnsi="Book Antiqua" w:cs="Arial"/>
          <w:color w:val="000000"/>
        </w:rPr>
        <w:t xml:space="preserve">. The Presidential panel there specifically disapprove the approach taken in </w:t>
      </w:r>
      <w:r w:rsidR="001C179E" w:rsidRPr="00D73A01">
        <w:rPr>
          <w:rFonts w:ascii="Book Antiqua" w:hAnsi="Book Antiqua" w:cs="Arial"/>
          <w:color w:val="000000"/>
          <w:u w:val="single"/>
        </w:rPr>
        <w:t>Greenwood</w:t>
      </w:r>
      <w:r w:rsidR="00D73A01">
        <w:rPr>
          <w:rFonts w:ascii="Book Antiqua" w:hAnsi="Book Antiqua" w:cs="Arial"/>
          <w:color w:val="000000"/>
        </w:rPr>
        <w:t xml:space="preserve"> and find:</w:t>
      </w:r>
    </w:p>
    <w:p w:rsidR="00D73A01" w:rsidRDefault="00D73A01" w:rsidP="00D73A01">
      <w:pPr>
        <w:pStyle w:val="ListParagraph"/>
        <w:ind w:left="0"/>
        <w:rPr>
          <w:rFonts w:ascii="Book Antiqua" w:hAnsi="Book Antiqua" w:cs="Arial"/>
        </w:rPr>
      </w:pPr>
    </w:p>
    <w:p w:rsidR="00D73A01" w:rsidRDefault="00D73A01" w:rsidP="00D73A01">
      <w:pPr>
        <w:spacing w:after="240"/>
        <w:ind w:left="1134" w:right="1077"/>
        <w:jc w:val="both"/>
        <w:rPr>
          <w:rFonts w:ascii="Book Antiqua" w:hAnsi="Book Antiqua" w:cs="Arial"/>
          <w:sz w:val="20"/>
          <w:szCs w:val="20"/>
        </w:rPr>
      </w:pPr>
      <w:r w:rsidRPr="00D73A01">
        <w:rPr>
          <w:rFonts w:ascii="Book Antiqua" w:hAnsi="Book Antiqua" w:cs="Arial"/>
          <w:sz w:val="20"/>
          <w:szCs w:val="20"/>
        </w:rPr>
        <w:t xml:space="preserve">“46. The correct approach to adopt in a human rights appeal under section 82(1)(b) is as follows.  As section 84(2) makes clear, and as is reflected in the present notice of decision, served in compliance with the Immigration (Notices) Regulations 2003, the decision being appealed is the decision to refuse the claimant’s human rights claim.  Section 84(2) provides that the only ground upon which that decision can be challenged is that “the decision is unlawful under section 6 of the Human Rights Act 1998”.  Section 6(1) of the 1998 Act provides that it “is unlawful for a public authority to act in a way which is incompatible with the Convention rights”.  </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47. </w:t>
      </w:r>
      <w:r w:rsidRPr="00D73A01">
        <w:rPr>
          <w:rFonts w:ascii="Book Antiqua" w:hAnsi="Book Antiqua" w:cs="Arial"/>
          <w:sz w:val="20"/>
          <w:szCs w:val="20"/>
        </w:rPr>
        <w:t>The definition of “human rights claim” in section 113(1) of the 2002 Act involves the making of a claim by a person that to remove him or her from or to require him or her to leave the United Kingdom would be unlawful under section 6.</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48. </w:t>
      </w:r>
      <w:r w:rsidRPr="00D73A01">
        <w:rPr>
          <w:rFonts w:ascii="Book Antiqua" w:hAnsi="Book Antiqua" w:cs="Arial"/>
          <w:sz w:val="20"/>
          <w:szCs w:val="20"/>
        </w:rPr>
        <w:t xml:space="preserve">The task, therefore, for the Tribunal, in a human rights appeal is to decide whether such removal or requirement would violate any of the provisions of the ECHR.  In </w:t>
      </w:r>
      <w:r w:rsidRPr="00D73A01">
        <w:rPr>
          <w:rFonts w:ascii="Book Antiqua" w:hAnsi="Book Antiqua" w:cs="Arial"/>
          <w:sz w:val="20"/>
          <w:szCs w:val="20"/>
        </w:rPr>
        <w:lastRenderedPageBreak/>
        <w:t xml:space="preserve">many such cases, including the present, the issue is whether the hypothetical removal or requirement to leave would be contrary to Article 8 (private and family life).  </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49. </w:t>
      </w:r>
      <w:r w:rsidRPr="00D73A01">
        <w:rPr>
          <w:rFonts w:ascii="Book Antiqua" w:hAnsi="Book Antiqua" w:cs="Arial"/>
          <w:sz w:val="20"/>
          <w:szCs w:val="20"/>
        </w:rPr>
        <w:t xml:space="preserve">In such a paradigm human rights appeal, therefore, we do not consider that paragraph 21 of the decision in </w:t>
      </w:r>
      <w:r w:rsidRPr="00D73A01">
        <w:rPr>
          <w:rFonts w:ascii="Book Antiqua" w:hAnsi="Book Antiqua" w:cs="Arial"/>
          <w:sz w:val="20"/>
          <w:szCs w:val="20"/>
          <w:u w:val="single"/>
        </w:rPr>
        <w:t>Greenwood No 2</w:t>
      </w:r>
      <w:r w:rsidRPr="00D73A01">
        <w:rPr>
          <w:rFonts w:ascii="Book Antiqua" w:hAnsi="Book Antiqua" w:cs="Arial"/>
          <w:sz w:val="20"/>
          <w:szCs w:val="20"/>
        </w:rPr>
        <w:t>, including its sub-paragraphs (a) and (b), has any purchase.  If the decision to refuse the human rights claim would violate section 6 of the 1998 Act, the Tribunal must so find.  In such a paradigm case, we see no purpose in the Tribunal making any statement to the effect that “a lawful decision remains to be made by the Secretary of State”.  It would certainly be wrong to conclude that, having allowed the appeal, the appellant’s human rights claim remains outstanding, in the sense that the Secretary of State must make a fresh decision on that claim.  The actual position will be that the Secretary of State, faced with the allowing of the appeal by the Tribunal, will decide whether and, if so, what leave to enter or remain she should give to the appellant.  Any deportation decision or decision under section 10 of the 1999 Act that the Secretary of State may have made in respect of the appellant will fall away.  Again, we see no need for the Tribunal to make any e</w:t>
      </w:r>
      <w:r>
        <w:rPr>
          <w:rFonts w:ascii="Book Antiqua" w:hAnsi="Book Antiqua" w:cs="Arial"/>
          <w:sz w:val="20"/>
          <w:szCs w:val="20"/>
        </w:rPr>
        <w:t>xpress statement to that effect.</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50. </w:t>
      </w:r>
      <w:r w:rsidRPr="00D73A01">
        <w:rPr>
          <w:rFonts w:ascii="Book Antiqua" w:hAnsi="Book Antiqua" w:cs="Arial"/>
          <w:sz w:val="20"/>
          <w:szCs w:val="20"/>
        </w:rPr>
        <w:t>What we have just said applies in the paradigm case where there is no discrete reason why any planned removal by the Secretary of State would be unlawful.  In other words, but for the Tribunal’s finding that removal would constitute a disproportionate interference with Article 8 rights, the Secretary of State would</w:t>
      </w:r>
      <w:r>
        <w:rPr>
          <w:rFonts w:ascii="Book Antiqua" w:hAnsi="Book Antiqua" w:cs="Arial"/>
          <w:sz w:val="20"/>
          <w:szCs w:val="20"/>
        </w:rPr>
        <w:t xml:space="preserve"> have had the power to remove. </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51. </w:t>
      </w:r>
      <w:r w:rsidRPr="00D73A01">
        <w:rPr>
          <w:rFonts w:ascii="Book Antiqua" w:hAnsi="Book Antiqua" w:cs="Arial"/>
          <w:sz w:val="20"/>
          <w:szCs w:val="20"/>
        </w:rPr>
        <w:t xml:space="preserve">In the present case, as we have seen, that was not the position.  Judge Malone found as a fact that the claimant was more likely than not that to have arrived in the United Kingdom before 1 January 1973.  Accordingly, the claimant was entitled to the benefit afforded by section 7 of the 1971 Act and was thus exempt from </w:t>
      </w:r>
      <w:r>
        <w:rPr>
          <w:rFonts w:ascii="Book Antiqua" w:hAnsi="Book Antiqua" w:cs="Arial"/>
          <w:sz w:val="20"/>
          <w:szCs w:val="20"/>
        </w:rPr>
        <w:t>deportation.</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52. </w:t>
      </w:r>
      <w:r w:rsidRPr="00D73A01">
        <w:rPr>
          <w:rFonts w:ascii="Book Antiqua" w:hAnsi="Book Antiqua" w:cs="Arial"/>
          <w:sz w:val="20"/>
          <w:szCs w:val="20"/>
        </w:rPr>
        <w:t>The appeal before the judge was, however, a human rights appeal.  As we have seen, the sole ground of challenge to the decision to refuse the human rights claim is that the refusal is unlawful under section 6 of the 1998 Act.</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53. </w:t>
      </w:r>
      <w:r w:rsidRPr="00D73A01">
        <w:rPr>
          <w:rFonts w:ascii="Book Antiqua" w:hAnsi="Book Antiqua" w:cs="Arial"/>
          <w:sz w:val="20"/>
          <w:szCs w:val="20"/>
        </w:rPr>
        <w:t xml:space="preserve">In the circumstances, Judge Malone was, we find, wrong in law to purport to allow the appeal on the freestanding basis that the decisions to make the deportation order, and to refuse to revoke it, were in each case unlawful.  To repeat, neither of those decisions was the decision under appeal.  The judge was therefore compelled to treat the section 7 issue as going to the determination of the sole ground of appeal; namely, whether refusal of the claim would violate the United Kingdom’s obligations under the ECHR, by reference to Article 8.  </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54. </w:t>
      </w:r>
      <w:r w:rsidRPr="00D73A01">
        <w:rPr>
          <w:rFonts w:ascii="Book Antiqua" w:hAnsi="Book Antiqua" w:cs="Arial"/>
          <w:sz w:val="20"/>
          <w:szCs w:val="20"/>
        </w:rPr>
        <w:t xml:space="preserve">At this point, it is necessary to focus on the wording of Article </w:t>
      </w:r>
      <w:proofErr w:type="gramStart"/>
      <w:r w:rsidRPr="00D73A01">
        <w:rPr>
          <w:rFonts w:ascii="Book Antiqua" w:hAnsi="Book Antiqua" w:cs="Arial"/>
          <w:sz w:val="20"/>
          <w:szCs w:val="20"/>
        </w:rPr>
        <w:t>8:-</w:t>
      </w:r>
      <w:proofErr w:type="gramEnd"/>
    </w:p>
    <w:p w:rsidR="00D73A01" w:rsidRPr="00D73A01" w:rsidRDefault="00D73A01" w:rsidP="00D73A01">
      <w:pPr>
        <w:spacing w:after="240"/>
        <w:ind w:left="1440" w:right="1077"/>
        <w:jc w:val="both"/>
        <w:rPr>
          <w:rFonts w:ascii="Book Antiqua" w:hAnsi="Book Antiqua" w:cs="Arial"/>
          <w:sz w:val="20"/>
          <w:szCs w:val="20"/>
        </w:rPr>
      </w:pPr>
      <w:r w:rsidRPr="00D73A01">
        <w:rPr>
          <w:rFonts w:ascii="Book Antiqua" w:hAnsi="Book Antiqua" w:cs="Arial"/>
          <w:sz w:val="20"/>
          <w:szCs w:val="20"/>
        </w:rPr>
        <w:t>“(1)</w:t>
      </w:r>
      <w:r w:rsidRPr="00D73A01">
        <w:rPr>
          <w:rFonts w:ascii="Book Antiqua" w:hAnsi="Book Antiqua" w:cs="Arial"/>
          <w:sz w:val="20"/>
          <w:szCs w:val="20"/>
        </w:rPr>
        <w:tab/>
        <w:t>Everyone has the right to respect for his private and family life, his home and his correspondence.</w:t>
      </w:r>
    </w:p>
    <w:p w:rsidR="00D73A01" w:rsidRPr="00D73A01" w:rsidRDefault="00D73A01" w:rsidP="00D73A01">
      <w:pPr>
        <w:spacing w:after="240"/>
        <w:ind w:left="1443" w:right="1077"/>
        <w:jc w:val="both"/>
        <w:rPr>
          <w:rFonts w:ascii="Book Antiqua" w:hAnsi="Book Antiqua" w:cs="Arial"/>
          <w:sz w:val="20"/>
          <w:szCs w:val="20"/>
        </w:rPr>
      </w:pPr>
      <w:r w:rsidRPr="00D73A01">
        <w:rPr>
          <w:rFonts w:ascii="Book Antiqua" w:hAnsi="Book Antiqua" w:cs="Arial"/>
          <w:sz w:val="20"/>
          <w:szCs w:val="20"/>
        </w:rPr>
        <w:t>(2)</w:t>
      </w:r>
      <w:r w:rsidRPr="00D73A01">
        <w:rPr>
          <w:rFonts w:ascii="Book Antiqua" w:hAnsi="Book Antiqua" w:cs="Arial"/>
          <w:sz w:val="20"/>
          <w:szCs w:val="20"/>
        </w:rPr>
        <w:tab/>
        <w:t>There should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lastRenderedPageBreak/>
        <w:t>55.</w:t>
      </w:r>
      <w:r w:rsidRPr="00D73A01">
        <w:rPr>
          <w:rFonts w:ascii="Book Antiqua" w:hAnsi="Book Antiqua" w:cs="Arial"/>
          <w:sz w:val="20"/>
          <w:szCs w:val="20"/>
        </w:rPr>
        <w:t>As can be seen from paragraph 11 above, the so-called “</w:t>
      </w:r>
      <w:proofErr w:type="spellStart"/>
      <w:r w:rsidRPr="00D73A01">
        <w:rPr>
          <w:rFonts w:ascii="Book Antiqua" w:hAnsi="Book Antiqua" w:cs="Arial"/>
          <w:i/>
          <w:sz w:val="20"/>
          <w:szCs w:val="20"/>
        </w:rPr>
        <w:t>Razgar</w:t>
      </w:r>
      <w:proofErr w:type="spellEnd"/>
      <w:r w:rsidRPr="00D73A01">
        <w:rPr>
          <w:rFonts w:ascii="Book Antiqua" w:hAnsi="Book Antiqua" w:cs="Arial"/>
          <w:sz w:val="20"/>
          <w:szCs w:val="20"/>
        </w:rPr>
        <w:t xml:space="preserve"> questions” of Lord Bingham at paragraph 17 of the opinions of the House of Lords in [2004] UKHL 27 are designed to enable judicial fact-finders to navigate the wording of Article 8(1) and where appropriate Article 8(2), to the extent that the facts of the case so require.</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56. </w:t>
      </w:r>
      <w:r w:rsidRPr="00D73A01">
        <w:rPr>
          <w:rFonts w:ascii="Book Antiqua" w:hAnsi="Book Antiqua" w:cs="Arial"/>
          <w:sz w:val="20"/>
          <w:szCs w:val="20"/>
        </w:rPr>
        <w:t xml:space="preserve">Questions (1) and (2), if each answered positively, take the judicial fact-finder into the realm of Article 8(2).  Questions (3) to (5) engage sequentially with the requirements of that part of the Article.  </w:t>
      </w:r>
    </w:p>
    <w:p w:rsid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57. </w:t>
      </w:r>
      <w:r w:rsidRPr="00D73A01">
        <w:rPr>
          <w:rFonts w:ascii="Book Antiqua" w:hAnsi="Book Antiqua" w:cs="Arial"/>
          <w:sz w:val="20"/>
          <w:szCs w:val="20"/>
        </w:rPr>
        <w:t xml:space="preserve">In the present case, as Judge Malone in effect found at paragraph 37 – and as is in any event manifest – the claimant enjoyed the protection of Article 8.  The issue, therefore, was whether the Secretary of State could demonstrate that a positive answer fell to be given to each of </w:t>
      </w:r>
      <w:proofErr w:type="spellStart"/>
      <w:r w:rsidRPr="00D73A01">
        <w:rPr>
          <w:rFonts w:ascii="Book Antiqua" w:hAnsi="Book Antiqua" w:cs="Arial"/>
          <w:i/>
          <w:sz w:val="20"/>
          <w:szCs w:val="20"/>
        </w:rPr>
        <w:t>Razgar</w:t>
      </w:r>
      <w:proofErr w:type="spellEnd"/>
      <w:r w:rsidRPr="00D73A01">
        <w:rPr>
          <w:rFonts w:ascii="Book Antiqua" w:hAnsi="Book Antiqua" w:cs="Arial"/>
          <w:i/>
          <w:sz w:val="20"/>
          <w:szCs w:val="20"/>
        </w:rPr>
        <w:t xml:space="preserve"> </w:t>
      </w:r>
      <w:r w:rsidRPr="00D73A01">
        <w:rPr>
          <w:rFonts w:ascii="Book Antiqua" w:hAnsi="Book Antiqua" w:cs="Arial"/>
          <w:sz w:val="20"/>
          <w:szCs w:val="20"/>
        </w:rPr>
        <w:t xml:space="preserve">questions (3) to (5).  </w:t>
      </w:r>
    </w:p>
    <w:p w:rsidR="004675B1" w:rsidRPr="00D73A01" w:rsidRDefault="00D73A01" w:rsidP="00D73A01">
      <w:pPr>
        <w:numPr>
          <w:ilvl w:val="0"/>
          <w:numId w:val="1"/>
        </w:numPr>
        <w:tabs>
          <w:tab w:val="left" w:pos="567"/>
        </w:tabs>
        <w:ind w:left="567" w:right="567"/>
        <w:jc w:val="both"/>
        <w:rPr>
          <w:rFonts w:ascii="Book Antiqua" w:hAnsi="Book Antiqua" w:cs="Arial"/>
        </w:rPr>
      </w:pPr>
      <w:r>
        <w:rPr>
          <w:rFonts w:ascii="Book Antiqua" w:hAnsi="Book Antiqua" w:cs="Arial"/>
        </w:rPr>
        <w:t>Importantly, for my consideration of this appeal, the Tribunal</w:t>
      </w:r>
      <w:r w:rsidRPr="00D73A01">
        <w:rPr>
          <w:rFonts w:ascii="Book Antiqua" w:hAnsi="Book Antiqua" w:cs="Arial"/>
        </w:rPr>
        <w:t xml:space="preserve"> go on:</w:t>
      </w:r>
    </w:p>
    <w:p w:rsidR="001523AB" w:rsidRDefault="001523AB" w:rsidP="001523AB">
      <w:pPr>
        <w:tabs>
          <w:tab w:val="left" w:pos="567"/>
        </w:tabs>
        <w:ind w:left="567" w:right="567"/>
        <w:jc w:val="both"/>
        <w:rPr>
          <w:rFonts w:ascii="Book Antiqua" w:hAnsi="Book Antiqua" w:cs="Arial"/>
        </w:rPr>
      </w:pPr>
    </w:p>
    <w:p w:rsidR="00D73A01" w:rsidRPr="00D73A01" w:rsidRDefault="00D73A01" w:rsidP="00D73A01">
      <w:pPr>
        <w:spacing w:after="240"/>
        <w:ind w:left="1134" w:right="1077"/>
        <w:jc w:val="both"/>
        <w:rPr>
          <w:rFonts w:ascii="Book Antiqua" w:hAnsi="Book Antiqua" w:cs="Arial"/>
          <w:sz w:val="20"/>
          <w:szCs w:val="20"/>
        </w:rPr>
      </w:pPr>
      <w:r>
        <w:rPr>
          <w:rFonts w:ascii="Book Antiqua" w:hAnsi="Book Antiqua" w:cs="Arial"/>
          <w:sz w:val="20"/>
          <w:szCs w:val="20"/>
        </w:rPr>
        <w:t xml:space="preserve">58. </w:t>
      </w:r>
      <w:r w:rsidRPr="00D73A01">
        <w:rPr>
          <w:rFonts w:ascii="Book Antiqua" w:hAnsi="Book Antiqua" w:cs="Arial"/>
          <w:sz w:val="20"/>
          <w:szCs w:val="20"/>
        </w:rPr>
        <w:t xml:space="preserve">So far as concerns the requirement addressed in question (3), that the interference be “in accordance with the law”, both Strasbourg and domestic authority suggests that the question is whether the proposed interference (here, deportation) has a proper basis in domestic law, including whether that law is accessible to the person concerned and foreseeable as to its effects (see </w:t>
      </w:r>
      <w:proofErr w:type="spellStart"/>
      <w:r w:rsidRPr="00D73A01">
        <w:rPr>
          <w:rFonts w:ascii="Book Antiqua" w:hAnsi="Book Antiqua" w:cs="Arial"/>
          <w:sz w:val="20"/>
          <w:szCs w:val="20"/>
        </w:rPr>
        <w:t>eg</w:t>
      </w:r>
      <w:proofErr w:type="spellEnd"/>
      <w:r w:rsidRPr="00D73A01">
        <w:rPr>
          <w:rFonts w:ascii="Book Antiqua" w:hAnsi="Book Antiqua" w:cs="Arial"/>
          <w:sz w:val="20"/>
          <w:szCs w:val="20"/>
        </w:rPr>
        <w:t xml:space="preserve"> </w:t>
      </w:r>
      <w:r w:rsidRPr="00D73A01">
        <w:rPr>
          <w:rFonts w:ascii="Book Antiqua" w:hAnsi="Book Antiqua" w:cs="Arial"/>
          <w:sz w:val="20"/>
          <w:szCs w:val="20"/>
          <w:u w:val="single"/>
        </w:rPr>
        <w:t>AB v Her Majesty’s Advocate</w:t>
      </w:r>
      <w:r w:rsidRPr="00D73A01">
        <w:rPr>
          <w:rFonts w:ascii="Book Antiqua" w:hAnsi="Book Antiqua" w:cs="Arial"/>
          <w:sz w:val="20"/>
          <w:szCs w:val="20"/>
        </w:rPr>
        <w:t xml:space="preserve"> [2017] UKSC 25, paragraph 25).  In the present case, the law of deportation under the 1971 Act, read with the UK Borders Act 2007 in the case of foreign criminals, satisfies these requirements.</w:t>
      </w:r>
      <w:r>
        <w:rPr>
          <w:rFonts w:ascii="Book Antiqua" w:hAnsi="Book Antiqua" w:cs="Arial"/>
        </w:rPr>
        <w:t xml:space="preserve">  </w:t>
      </w:r>
    </w:p>
    <w:p w:rsidR="001523AB" w:rsidRDefault="004F19FE" w:rsidP="005D3A52">
      <w:pPr>
        <w:numPr>
          <w:ilvl w:val="0"/>
          <w:numId w:val="1"/>
        </w:numPr>
        <w:tabs>
          <w:tab w:val="left" w:pos="567"/>
        </w:tabs>
        <w:ind w:left="567" w:right="567"/>
        <w:jc w:val="both"/>
        <w:rPr>
          <w:rFonts w:ascii="Book Antiqua" w:hAnsi="Book Antiqua" w:cs="Arial"/>
        </w:rPr>
      </w:pPr>
      <w:r>
        <w:rPr>
          <w:rFonts w:ascii="Book Antiqua" w:hAnsi="Book Antiqua" w:cs="Arial"/>
        </w:rPr>
        <w:t xml:space="preserve">The question before the First-tier Tribunal in this case was whether the decision to refuse to grant the Appellant leave was unlawful under s6 of the Human Rights Act 1998. Applying </w:t>
      </w:r>
      <w:r w:rsidRPr="00084F24">
        <w:rPr>
          <w:rFonts w:ascii="Book Antiqua" w:hAnsi="Book Antiqua" w:cs="Arial"/>
          <w:u w:val="single"/>
        </w:rPr>
        <w:t>Charles</w:t>
      </w:r>
      <w:r>
        <w:rPr>
          <w:rFonts w:ascii="Book Antiqua" w:hAnsi="Book Antiqua" w:cs="Arial"/>
        </w:rPr>
        <w:t xml:space="preserve"> that </w:t>
      </w:r>
      <w:r w:rsidR="005F3C8B">
        <w:rPr>
          <w:rFonts w:ascii="Book Antiqua" w:hAnsi="Book Antiqua" w:cs="Arial"/>
        </w:rPr>
        <w:t>could not be done by simply identifying where the Se</w:t>
      </w:r>
      <w:r w:rsidR="00084F24">
        <w:rPr>
          <w:rFonts w:ascii="Book Antiqua" w:hAnsi="Book Antiqua" w:cs="Arial"/>
        </w:rPr>
        <w:t>cretary of State had erred in applying her own policy.</w:t>
      </w:r>
      <w:r w:rsidR="00D87322">
        <w:rPr>
          <w:rFonts w:ascii="Book Antiqua" w:hAnsi="Book Antiqua" w:cs="Arial"/>
        </w:rPr>
        <w:t xml:space="preserve">   There was therefore no error in the First-tier Tribunal not deciding to allow the appeal on the grounds that the decision was “not in accordance with the law”.</w:t>
      </w:r>
    </w:p>
    <w:p w:rsidR="00D87322" w:rsidRDefault="00D87322" w:rsidP="00D87322">
      <w:pPr>
        <w:tabs>
          <w:tab w:val="left" w:pos="567"/>
        </w:tabs>
        <w:ind w:left="567" w:right="567"/>
        <w:jc w:val="both"/>
        <w:rPr>
          <w:rFonts w:ascii="Book Antiqua" w:hAnsi="Book Antiqua" w:cs="Arial"/>
        </w:rPr>
      </w:pPr>
    </w:p>
    <w:p w:rsidR="00D87322" w:rsidRDefault="00D87322" w:rsidP="00D87322">
      <w:pPr>
        <w:tabs>
          <w:tab w:val="left" w:pos="567"/>
        </w:tabs>
        <w:ind w:left="567" w:right="567"/>
        <w:jc w:val="both"/>
        <w:rPr>
          <w:rFonts w:ascii="Book Antiqua" w:hAnsi="Book Antiqua" w:cs="Arial"/>
        </w:rPr>
      </w:pPr>
    </w:p>
    <w:p w:rsidR="00D87322" w:rsidRPr="00D87322" w:rsidRDefault="00D87322" w:rsidP="00D87322">
      <w:pPr>
        <w:tabs>
          <w:tab w:val="left" w:pos="567"/>
        </w:tabs>
        <w:ind w:left="567" w:right="567"/>
        <w:jc w:val="both"/>
        <w:rPr>
          <w:rFonts w:ascii="Book Antiqua" w:hAnsi="Book Antiqua" w:cs="Arial"/>
          <w:b/>
        </w:rPr>
      </w:pPr>
      <w:r w:rsidRPr="00D87322">
        <w:rPr>
          <w:rFonts w:ascii="Book Antiqua" w:hAnsi="Book Antiqua" w:cs="Arial"/>
          <w:b/>
        </w:rPr>
        <w:t>Disposal</w:t>
      </w:r>
    </w:p>
    <w:p w:rsidR="00D87322" w:rsidRDefault="00D87322" w:rsidP="00D87322">
      <w:pPr>
        <w:tabs>
          <w:tab w:val="left" w:pos="567"/>
        </w:tabs>
        <w:ind w:left="567" w:right="567"/>
        <w:jc w:val="both"/>
        <w:rPr>
          <w:rFonts w:ascii="Book Antiqua" w:hAnsi="Book Antiqua" w:cs="Arial"/>
        </w:rPr>
      </w:pPr>
    </w:p>
    <w:p w:rsidR="00F600D2" w:rsidRDefault="00D87322" w:rsidP="00F600D2">
      <w:pPr>
        <w:numPr>
          <w:ilvl w:val="0"/>
          <w:numId w:val="1"/>
        </w:numPr>
        <w:tabs>
          <w:tab w:val="left" w:pos="567"/>
        </w:tabs>
        <w:ind w:left="567" w:right="567"/>
        <w:jc w:val="both"/>
        <w:rPr>
          <w:rFonts w:ascii="Book Antiqua" w:hAnsi="Book Antiqua" w:cs="Arial"/>
        </w:rPr>
      </w:pPr>
      <w:r>
        <w:rPr>
          <w:rFonts w:ascii="Book Antiqua" w:hAnsi="Book Antiqua" w:cs="Arial"/>
        </w:rPr>
        <w:t xml:space="preserve">I have found that in the particular and unusual circumstances of this case the fact that the Appellant had given birth between the application being made and the appeal being heard in the First-tier Tribunal did not constitute a ‘new matter’ under s85(6)(a).   It was, as suggested by Mr </w:t>
      </w:r>
      <w:proofErr w:type="spellStart"/>
      <w:r>
        <w:rPr>
          <w:rFonts w:ascii="Book Antiqua" w:hAnsi="Book Antiqua" w:cs="Arial"/>
        </w:rPr>
        <w:t>O’</w:t>
      </w:r>
      <w:r w:rsidR="00F600D2">
        <w:rPr>
          <w:rFonts w:ascii="Book Antiqua" w:hAnsi="Book Antiqua" w:cs="Arial"/>
        </w:rPr>
        <w:t>Ryan</w:t>
      </w:r>
      <w:proofErr w:type="spellEnd"/>
      <w:r w:rsidR="00F600D2">
        <w:rPr>
          <w:rFonts w:ascii="Book Antiqua" w:hAnsi="Book Antiqua" w:cs="Arial"/>
        </w:rPr>
        <w:t xml:space="preserve">, a development of the same facts, which should have been considered when assessing the grounds of appeal under s84(2).  </w:t>
      </w:r>
    </w:p>
    <w:p w:rsidR="00F600D2" w:rsidRDefault="00F600D2" w:rsidP="00F600D2">
      <w:pPr>
        <w:tabs>
          <w:tab w:val="left" w:pos="567"/>
        </w:tabs>
        <w:ind w:left="567" w:right="567"/>
        <w:jc w:val="both"/>
        <w:rPr>
          <w:rFonts w:ascii="Book Antiqua" w:hAnsi="Book Antiqua" w:cs="Arial"/>
        </w:rPr>
      </w:pPr>
    </w:p>
    <w:p w:rsidR="00F600D2" w:rsidRDefault="00F600D2" w:rsidP="00F600D2">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appeal before the First-tier Tribunal was an in-country human rights appeal and as such the relevant date for its enquiry was the date of hearing, so too in the remaking. </w:t>
      </w:r>
    </w:p>
    <w:p w:rsidR="00F600D2" w:rsidRDefault="00F600D2" w:rsidP="00F600D2">
      <w:pPr>
        <w:pStyle w:val="ListParagraph"/>
        <w:rPr>
          <w:rFonts w:ascii="Book Antiqua" w:hAnsi="Book Antiqua" w:cs="Arial"/>
        </w:rPr>
      </w:pPr>
    </w:p>
    <w:p w:rsidR="0023044B" w:rsidRDefault="00F600D2" w:rsidP="0023044B">
      <w:pPr>
        <w:numPr>
          <w:ilvl w:val="0"/>
          <w:numId w:val="1"/>
        </w:numPr>
        <w:tabs>
          <w:tab w:val="left" w:pos="567"/>
        </w:tabs>
        <w:ind w:left="567" w:right="567"/>
        <w:jc w:val="both"/>
        <w:rPr>
          <w:rFonts w:ascii="Book Antiqua" w:hAnsi="Book Antiqua" w:cs="Arial"/>
        </w:rPr>
      </w:pPr>
      <w:r w:rsidRPr="00FE6E2B">
        <w:rPr>
          <w:rFonts w:ascii="Book Antiqua" w:hAnsi="Book Antiqua" w:cs="Arial"/>
        </w:rPr>
        <w:t>At the date that I remake this decision the Appellant is the mother of a British child who is now just over two years old.  That</w:t>
      </w:r>
      <w:r w:rsidR="00C75D28" w:rsidRPr="00FE6E2B">
        <w:rPr>
          <w:rFonts w:ascii="Book Antiqua" w:hAnsi="Book Antiqua" w:cs="Arial"/>
        </w:rPr>
        <w:t xml:space="preserve"> child lives with father and mother in the family home</w:t>
      </w:r>
      <w:r w:rsidR="00FE6E2B" w:rsidRPr="00FE6E2B">
        <w:rPr>
          <w:rFonts w:ascii="Book Antiqua" w:hAnsi="Book Antiqua" w:cs="Arial"/>
        </w:rPr>
        <w:t>. I fi</w:t>
      </w:r>
      <w:r w:rsidR="001C3A1B">
        <w:rPr>
          <w:rFonts w:ascii="Book Antiqua" w:hAnsi="Book Antiqua" w:cs="Arial"/>
        </w:rPr>
        <w:t>nd that if the A</w:t>
      </w:r>
      <w:r w:rsidR="00FE6E2B" w:rsidRPr="00FE6E2B">
        <w:rPr>
          <w:rFonts w:ascii="Book Antiqua" w:hAnsi="Book Antiqua" w:cs="Arial"/>
        </w:rPr>
        <w:t xml:space="preserve">ppellant were to be removed, the child, at her young age, would have to go with her, thus depriving the child of a normal </w:t>
      </w:r>
      <w:r w:rsidR="00FE6E2B" w:rsidRPr="00FE6E2B">
        <w:rPr>
          <w:rFonts w:ascii="Book Antiqua" w:hAnsi="Book Antiqua" w:cs="Arial"/>
        </w:rPr>
        <w:lastRenderedPageBreak/>
        <w:t>relationship with her father, and the benefits of her nationality.</w:t>
      </w:r>
      <w:r w:rsidR="001C3A1B">
        <w:rPr>
          <w:rFonts w:ascii="Book Antiqua" w:hAnsi="Book Antiqua" w:cs="Arial"/>
        </w:rPr>
        <w:t xml:space="preserve"> Whatever the circumstances she might face in </w:t>
      </w:r>
      <w:r w:rsidR="00827CAB">
        <w:rPr>
          <w:rFonts w:ascii="Book Antiqua" w:hAnsi="Book Antiqua" w:cs="Arial"/>
        </w:rPr>
        <w:t>Uganda, that</w:t>
      </w:r>
      <w:r w:rsidR="001C3A1B">
        <w:rPr>
          <w:rFonts w:ascii="Book Antiqua" w:hAnsi="Book Antiqua" w:cs="Arial"/>
        </w:rPr>
        <w:t xml:space="preserve"> in itself would be strongly contrary to her best interests. I have taken into account the public interest factors set out at s117</w:t>
      </w:r>
      <w:proofErr w:type="gramStart"/>
      <w:r w:rsidR="001C3A1B">
        <w:rPr>
          <w:rFonts w:ascii="Book Antiqua" w:hAnsi="Book Antiqua" w:cs="Arial"/>
        </w:rPr>
        <w:t>B(</w:t>
      </w:r>
      <w:proofErr w:type="gramEnd"/>
      <w:r w:rsidR="001C3A1B">
        <w:rPr>
          <w:rFonts w:ascii="Book Antiqua" w:hAnsi="Book Antiqua" w:cs="Arial"/>
        </w:rPr>
        <w:t>1)-(5) of the NIAA 2002. I recognise the public interest in maintaining immigration control and the adverse weight to be attached to the fact that the Appellant is a long term overstayer. I note that she speaks English and is financially supported by her partner. I must also have regard to s117</w:t>
      </w:r>
      <w:proofErr w:type="gramStart"/>
      <w:r w:rsidR="001C3A1B">
        <w:rPr>
          <w:rFonts w:ascii="Book Antiqua" w:hAnsi="Book Antiqua" w:cs="Arial"/>
        </w:rPr>
        <w:t>B(</w:t>
      </w:r>
      <w:proofErr w:type="gramEnd"/>
      <w:r w:rsidR="001C3A1B">
        <w:rPr>
          <w:rFonts w:ascii="Book Antiqua" w:hAnsi="Book Antiqua" w:cs="Arial"/>
        </w:rPr>
        <w:t xml:space="preserve">6). The consequence of the Appellant’s removal is that her child would have to be removed with her. I find that in </w:t>
      </w:r>
      <w:r w:rsidR="001C3A1B" w:rsidRPr="001C3A1B">
        <w:rPr>
          <w:rFonts w:ascii="Book Antiqua" w:hAnsi="Book Antiqua" w:cs="Arial"/>
        </w:rPr>
        <w:t>the absence of any strong countervailing factors pertaining to the Appellant (</w:t>
      </w:r>
      <w:r w:rsidR="00827CAB" w:rsidRPr="001C3A1B">
        <w:rPr>
          <w:rFonts w:ascii="Book Antiqua" w:hAnsi="Book Antiqua" w:cs="Arial"/>
        </w:rPr>
        <w:t>i.e.</w:t>
      </w:r>
      <w:r w:rsidR="001C3A1B" w:rsidRPr="001C3A1B">
        <w:rPr>
          <w:rFonts w:ascii="Book Antiqua" w:hAnsi="Book Antiqua" w:cs="Arial"/>
        </w:rPr>
        <w:t xml:space="preserve"> criminality etc) it would not be reasonable</w:t>
      </w:r>
      <w:r w:rsidR="001C3A1B">
        <w:rPr>
          <w:rFonts w:ascii="Book Antiqua" w:hAnsi="Book Antiqua" w:cs="Arial"/>
        </w:rPr>
        <w:t xml:space="preserve"> to expect this child to leave the UK and in those circumstances, the Appellant’s appeal must be allowed on Article 8 grounds</w:t>
      </w:r>
      <w:r w:rsidR="001C3A1B" w:rsidRPr="001C3A1B">
        <w:rPr>
          <w:rFonts w:ascii="Book Antiqua" w:hAnsi="Book Antiqua" w:cs="Arial"/>
        </w:rPr>
        <w:t>.</w:t>
      </w:r>
      <w:r w:rsidR="001C3A1B">
        <w:rPr>
          <w:rFonts w:ascii="Book Antiqua" w:hAnsi="Book Antiqua" w:cs="Arial"/>
        </w:rPr>
        <w:t xml:space="preserve">  I note for the sake of completeness that my conclusion accords with the Respondent’s published guidance to caseworkers on such matters. At page </w:t>
      </w:r>
      <w:r w:rsidR="0023044B">
        <w:rPr>
          <w:rFonts w:ascii="Book Antiqua" w:hAnsi="Book Antiqua" w:cs="Arial"/>
        </w:rPr>
        <w:t xml:space="preserve">78 of </w:t>
      </w:r>
      <w:r w:rsidR="001C3A1B" w:rsidRPr="0023044B">
        <w:rPr>
          <w:rFonts w:ascii="Book Antiqua" w:hAnsi="Book Antiqua" w:cs="Arial"/>
        </w:rPr>
        <w:t>Family Migrat</w:t>
      </w:r>
      <w:r w:rsidR="0023044B" w:rsidRPr="0023044B">
        <w:rPr>
          <w:rFonts w:ascii="Book Antiqua" w:hAnsi="Book Antiqua" w:cs="Arial"/>
        </w:rPr>
        <w:t xml:space="preserve">ion:  Appendix FM Section 1.0b </w:t>
      </w:r>
      <w:r w:rsidR="001C3A1B" w:rsidRPr="0023044B">
        <w:rPr>
          <w:rFonts w:ascii="Book Antiqua" w:hAnsi="Book Antiqua" w:cs="Arial"/>
          <w:i/>
        </w:rPr>
        <w:t>Family Life (as a Partner or Parent) and Private Life: 10-Year Routes</w:t>
      </w:r>
      <w:r w:rsidR="0023044B">
        <w:rPr>
          <w:rFonts w:ascii="Book Antiqua" w:hAnsi="Book Antiqua" w:cs="Arial"/>
        </w:rPr>
        <w:t xml:space="preserve"> the following statement is made:</w:t>
      </w:r>
    </w:p>
    <w:p w:rsidR="0023044B" w:rsidRDefault="0023044B" w:rsidP="0023044B">
      <w:pPr>
        <w:tabs>
          <w:tab w:val="left" w:pos="567"/>
        </w:tabs>
        <w:ind w:left="567" w:right="567"/>
        <w:jc w:val="both"/>
        <w:rPr>
          <w:rFonts w:ascii="Book Antiqua" w:hAnsi="Book Antiqua" w:cs="Arial"/>
        </w:rPr>
      </w:pPr>
    </w:p>
    <w:p w:rsidR="00F600D2" w:rsidRPr="0023044B" w:rsidRDefault="0023044B" w:rsidP="0023044B">
      <w:pPr>
        <w:tabs>
          <w:tab w:val="left" w:pos="567"/>
        </w:tabs>
        <w:ind w:left="1134" w:right="1134"/>
        <w:jc w:val="both"/>
        <w:rPr>
          <w:rFonts w:ascii="Book Antiqua" w:hAnsi="Book Antiqua" w:cs="Arial"/>
        </w:rPr>
      </w:pPr>
      <w:r>
        <w:rPr>
          <w:rFonts w:ascii="Book Antiqua" w:hAnsi="Book Antiqua" w:cs="Arial"/>
        </w:rPr>
        <w:t>“</w:t>
      </w:r>
      <w:r w:rsidR="00FE6E2B" w:rsidRPr="0023044B">
        <w:rPr>
          <w:rFonts w:ascii="Book Antiqua" w:hAnsi="Book Antiqua" w:cs="Arial"/>
        </w:rPr>
        <w:t>Where the child is a British citizen, it will not be reasonable to expect them to leave the UK with the applicant parent or primary carer facing removal. Accordingly, where this means that the child would have to leave the UK because, in practice, the child will not, or is not likely to, continue to live in the UK with another parent or primary carer, EX.</w:t>
      </w:r>
      <w:proofErr w:type="gramStart"/>
      <w:r w:rsidR="00FE6E2B" w:rsidRPr="0023044B">
        <w:rPr>
          <w:rFonts w:ascii="Book Antiqua" w:hAnsi="Book Antiqua" w:cs="Arial"/>
        </w:rPr>
        <w:t>1.(</w:t>
      </w:r>
      <w:proofErr w:type="gramEnd"/>
      <w:r w:rsidR="00FE6E2B" w:rsidRPr="0023044B">
        <w:rPr>
          <w:rFonts w:ascii="Book Antiqua" w:hAnsi="Book Antiqua" w:cs="Arial"/>
        </w:rPr>
        <w:t>a) is likely to apply</w:t>
      </w:r>
      <w:r>
        <w:rPr>
          <w:rFonts w:ascii="Book Antiqua" w:hAnsi="Book Antiqua" w:cs="Arial"/>
        </w:rPr>
        <w:t>”</w:t>
      </w:r>
      <w:r w:rsidR="00FE6E2B" w:rsidRPr="0023044B">
        <w:rPr>
          <w:rFonts w:ascii="Book Antiqua" w:hAnsi="Book Antiqua" w:cs="Arial"/>
        </w:rPr>
        <w:t xml:space="preserve">.  </w:t>
      </w:r>
      <w:r w:rsidR="00C75D28" w:rsidRPr="0023044B">
        <w:rPr>
          <w:rFonts w:ascii="Book Antiqua" w:hAnsi="Book Antiqua" w:cs="Arial"/>
          <w:highlight w:val="green"/>
        </w:rPr>
        <w:t xml:space="preserve"> </w:t>
      </w:r>
    </w:p>
    <w:p w:rsidR="00AE3E6E" w:rsidRDefault="00AE3E6E" w:rsidP="00901F4F">
      <w:pPr>
        <w:tabs>
          <w:tab w:val="left" w:pos="567"/>
        </w:tabs>
        <w:ind w:left="567" w:right="567"/>
        <w:jc w:val="both"/>
        <w:rPr>
          <w:rFonts w:ascii="Book Antiqua" w:hAnsi="Book Antiqua" w:cs="Arial"/>
        </w:rPr>
      </w:pPr>
    </w:p>
    <w:p w:rsidR="006B0D66" w:rsidRDefault="006B0D66" w:rsidP="006B0D66">
      <w:pPr>
        <w:tabs>
          <w:tab w:val="left" w:pos="567"/>
        </w:tabs>
        <w:ind w:left="567" w:right="567"/>
        <w:jc w:val="both"/>
        <w:rPr>
          <w:rFonts w:ascii="Book Antiqua" w:hAnsi="Book Antiqua" w:cs="Arial"/>
        </w:rPr>
      </w:pPr>
    </w:p>
    <w:p w:rsidR="006B0D66" w:rsidRPr="00214115" w:rsidRDefault="006B0D66" w:rsidP="006B0D66">
      <w:pPr>
        <w:tabs>
          <w:tab w:val="left" w:pos="567"/>
        </w:tabs>
        <w:ind w:left="567" w:right="567"/>
        <w:jc w:val="both"/>
        <w:rPr>
          <w:rFonts w:ascii="Book Antiqua" w:hAnsi="Book Antiqua" w:cs="Arial"/>
          <w:b/>
        </w:rPr>
      </w:pPr>
      <w:r w:rsidRPr="00214115">
        <w:rPr>
          <w:rFonts w:ascii="Book Antiqua" w:hAnsi="Book Antiqua" w:cs="Arial"/>
          <w:b/>
        </w:rPr>
        <w:t>Decision</w:t>
      </w:r>
    </w:p>
    <w:p w:rsidR="006B0D66" w:rsidRDefault="006B0D66" w:rsidP="006B0D66">
      <w:pPr>
        <w:pStyle w:val="ListParagraph"/>
        <w:rPr>
          <w:rFonts w:ascii="Book Antiqua" w:hAnsi="Book Antiqua" w:cs="Arial"/>
        </w:rPr>
      </w:pPr>
    </w:p>
    <w:p w:rsidR="00B932F5" w:rsidRDefault="006B0D66" w:rsidP="00BC3920">
      <w:pPr>
        <w:numPr>
          <w:ilvl w:val="0"/>
          <w:numId w:val="1"/>
        </w:numPr>
        <w:tabs>
          <w:tab w:val="left" w:pos="567"/>
        </w:tabs>
        <w:ind w:left="567" w:right="567"/>
        <w:jc w:val="both"/>
        <w:rPr>
          <w:rFonts w:ascii="Book Antiqua" w:hAnsi="Book Antiqua" w:cs="Arial"/>
        </w:rPr>
      </w:pPr>
      <w:r>
        <w:rPr>
          <w:rFonts w:ascii="Book Antiqua" w:hAnsi="Book Antiqua" w:cs="Arial"/>
        </w:rPr>
        <w:t xml:space="preserve">The decision of the First-tier Tribunal contains a material error of law and the decision is set aside. </w:t>
      </w:r>
    </w:p>
    <w:p w:rsidR="006B0D66" w:rsidRDefault="006B0D66" w:rsidP="006B0D66">
      <w:pPr>
        <w:tabs>
          <w:tab w:val="left" w:pos="567"/>
        </w:tabs>
        <w:ind w:right="567"/>
        <w:jc w:val="both"/>
        <w:rPr>
          <w:rFonts w:ascii="Book Antiqua" w:hAnsi="Book Antiqua" w:cs="Arial"/>
        </w:rPr>
      </w:pPr>
    </w:p>
    <w:p w:rsidR="006B0D66" w:rsidRDefault="006B0D66" w:rsidP="00BC3920">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CF63D5">
        <w:rPr>
          <w:rFonts w:ascii="Book Antiqua" w:hAnsi="Book Antiqua" w:cs="Arial"/>
        </w:rPr>
        <w:t>decision in the appeal is re-made as follows:</w:t>
      </w:r>
    </w:p>
    <w:p w:rsidR="00CF63D5" w:rsidRDefault="00CF63D5" w:rsidP="00CF63D5">
      <w:pPr>
        <w:pStyle w:val="ListParagraph"/>
        <w:rPr>
          <w:rFonts w:ascii="Book Antiqua" w:hAnsi="Book Antiqua" w:cs="Arial"/>
        </w:rPr>
      </w:pPr>
    </w:p>
    <w:p w:rsidR="00CF63D5" w:rsidRDefault="00CF63D5" w:rsidP="00C75D28">
      <w:pPr>
        <w:tabs>
          <w:tab w:val="left" w:pos="567"/>
        </w:tabs>
        <w:ind w:left="567" w:right="567"/>
        <w:jc w:val="both"/>
        <w:rPr>
          <w:rFonts w:ascii="Book Antiqua" w:hAnsi="Book Antiqua" w:cs="Arial"/>
        </w:rPr>
      </w:pPr>
      <w:r>
        <w:rPr>
          <w:rFonts w:ascii="Book Antiqua" w:hAnsi="Book Antiqua" w:cs="Arial"/>
        </w:rPr>
        <w:t>“The appeal is allowed on human rights grounds”.</w:t>
      </w:r>
    </w:p>
    <w:p w:rsidR="004A5488" w:rsidRDefault="004A5488" w:rsidP="004A5488">
      <w:pPr>
        <w:pStyle w:val="ListParagraph"/>
        <w:rPr>
          <w:rFonts w:ascii="Book Antiqua" w:hAnsi="Book Antiqua" w:cs="Arial"/>
        </w:rPr>
      </w:pPr>
    </w:p>
    <w:p w:rsidR="00122A22" w:rsidRPr="004A5488" w:rsidRDefault="00C75D28" w:rsidP="004A5488">
      <w:pPr>
        <w:numPr>
          <w:ilvl w:val="0"/>
          <w:numId w:val="1"/>
        </w:numPr>
        <w:tabs>
          <w:tab w:val="left" w:pos="567"/>
        </w:tabs>
        <w:ind w:left="567" w:right="567"/>
        <w:jc w:val="both"/>
        <w:rPr>
          <w:rFonts w:ascii="Book Antiqua" w:hAnsi="Book Antiqua" w:cs="Arial"/>
        </w:rPr>
      </w:pPr>
      <w:r>
        <w:rPr>
          <w:rFonts w:ascii="Book Antiqua" w:hAnsi="Book Antiqua" w:cs="Arial"/>
        </w:rPr>
        <w:t>There is no</w:t>
      </w:r>
      <w:r w:rsidR="004A5488">
        <w:rPr>
          <w:rFonts w:ascii="Book Antiqua" w:hAnsi="Book Antiqua" w:cs="Arial"/>
        </w:rPr>
        <w:t xml:space="preserve"> direction for anonymity.</w:t>
      </w:r>
    </w:p>
    <w:p w:rsidR="00050C6C" w:rsidRDefault="00050C6C" w:rsidP="00122A22">
      <w:pPr>
        <w:tabs>
          <w:tab w:val="left" w:pos="567"/>
        </w:tabs>
        <w:ind w:left="567" w:right="567"/>
        <w:jc w:val="both"/>
        <w:rPr>
          <w:rFonts w:ascii="Book Antiqua" w:hAnsi="Book Antiqua" w:cs="Arial"/>
        </w:rPr>
      </w:pPr>
    </w:p>
    <w:p w:rsidR="00050C6C" w:rsidRDefault="00050C6C" w:rsidP="00122A22">
      <w:pPr>
        <w:tabs>
          <w:tab w:val="left" w:pos="567"/>
        </w:tabs>
        <w:ind w:left="567" w:right="567"/>
        <w:jc w:val="both"/>
        <w:rPr>
          <w:rFonts w:ascii="Book Antiqua" w:hAnsi="Book Antiqua" w:cs="Arial"/>
        </w:rPr>
      </w:pPr>
    </w:p>
    <w:p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rsidR="00122A22" w:rsidRDefault="00C75D28" w:rsidP="00122A22">
      <w:pPr>
        <w:tabs>
          <w:tab w:val="left" w:pos="567"/>
        </w:tabs>
        <w:ind w:left="567" w:right="567"/>
        <w:jc w:val="right"/>
        <w:rPr>
          <w:rFonts w:ascii="Book Antiqua" w:hAnsi="Book Antiqua" w:cs="Arial"/>
        </w:rPr>
      </w:pPr>
      <w:r>
        <w:rPr>
          <w:rFonts w:ascii="Book Antiqua" w:hAnsi="Book Antiqua" w:cs="Arial"/>
        </w:rPr>
        <w:t>24</w:t>
      </w:r>
      <w:r w:rsidRPr="00C75D28">
        <w:rPr>
          <w:rFonts w:ascii="Book Antiqua" w:hAnsi="Book Antiqua" w:cs="Arial"/>
          <w:vertAlign w:val="superscript"/>
        </w:rPr>
        <w:t>th</w:t>
      </w:r>
      <w:r>
        <w:rPr>
          <w:rFonts w:ascii="Book Antiqua" w:hAnsi="Book Antiqua" w:cs="Arial"/>
        </w:rPr>
        <w:t xml:space="preserve"> April 2018</w:t>
      </w:r>
    </w:p>
    <w:p w:rsidR="00D219F1" w:rsidRPr="008C6613"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B7FB0">
        <w:rPr>
          <w:rFonts w:ascii="Book Antiqua" w:hAnsi="Book Antiqua" w:cs="Arial"/>
        </w:rPr>
        <w:t xml:space="preserve">           </w:t>
      </w:r>
      <w:r w:rsidR="00107DD5">
        <w:rPr>
          <w:rFonts w:ascii="Book Antiqua" w:hAnsi="Book Antiqua" w:cs="Arial"/>
        </w:rPr>
        <w:t xml:space="preserve">  </w:t>
      </w:r>
    </w:p>
    <w:sectPr w:rsidR="00D219F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1A8" w:rsidRDefault="003261A8">
      <w:r>
        <w:separator/>
      </w:r>
    </w:p>
  </w:endnote>
  <w:endnote w:type="continuationSeparator" w:id="0">
    <w:p w:rsidR="003261A8" w:rsidRDefault="0032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e Printer">
    <w:panose1 w:val="00000000000000000000"/>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521" w:rsidRPr="00593795" w:rsidRDefault="004F7521"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B0C46">
      <w:rPr>
        <w:rStyle w:val="PageNumber"/>
        <w:rFonts w:ascii="Arial" w:hAnsi="Arial" w:cs="Arial"/>
        <w:noProof/>
        <w:sz w:val="16"/>
        <w:szCs w:val="16"/>
      </w:rPr>
      <w:t>11</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521" w:rsidRPr="00090CF9" w:rsidRDefault="004F7521" w:rsidP="00256F9B">
    <w:pPr>
      <w:jc w:val="center"/>
      <w:rPr>
        <w:rFonts w:ascii="Arial" w:hAnsi="Arial" w:cs="Arial"/>
        <w:b/>
      </w:rPr>
    </w:pPr>
    <w:r w:rsidRPr="00090CF9">
      <w:rPr>
        <w:rFonts w:ascii="Arial" w:hAnsi="Arial" w:cs="Arial"/>
        <w:b/>
        <w:spacing w:val="-6"/>
      </w:rPr>
      <w:t>©</w:t>
    </w:r>
    <w:r w:rsidR="00B7490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1A8" w:rsidRDefault="003261A8">
      <w:r>
        <w:separator/>
      </w:r>
    </w:p>
  </w:footnote>
  <w:footnote w:type="continuationSeparator" w:id="0">
    <w:p w:rsidR="003261A8" w:rsidRDefault="00326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521" w:rsidRPr="00FE1BCE" w:rsidRDefault="00871179"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t>HU/01704/</w:t>
    </w:r>
    <w:r w:rsidR="006E6149">
      <w:rPr>
        <w:rFonts w:ascii="Book Antiqua" w:hAnsi="Book Antiqua" w:cs="Arial"/>
        <w:color w:val="000000"/>
        <w:sz w:val="20"/>
        <w:szCs w:val="20"/>
      </w:rPr>
      <w:t>20</w:t>
    </w:r>
    <w:r>
      <w:rPr>
        <w:rFonts w:ascii="Book Antiqua" w:hAnsi="Book Antiqua" w:cs="Arial"/>
        <w:color w:val="000000"/>
        <w:sz w:val="20"/>
        <w:szCs w:val="20"/>
      </w:rPr>
      <w:t>16</w:t>
    </w:r>
  </w:p>
  <w:p w:rsidR="004F7521" w:rsidRPr="00D25E1A" w:rsidRDefault="004F7521" w:rsidP="00FE1BCE">
    <w:pPr>
      <w:pStyle w:val="Header"/>
      <w:rPr>
        <w:rFonts w:ascii="Book Antiqua" w:hAnsi="Book Antiqua"/>
        <w:sz w:val="20"/>
        <w:szCs w:val="20"/>
      </w:rPr>
    </w:pPr>
  </w:p>
  <w:p w:rsidR="004F7521" w:rsidRPr="00850A1F" w:rsidRDefault="004F7521" w:rsidP="00850A1F">
    <w:pPr>
      <w:pStyle w:val="Header"/>
      <w:jc w:val="right"/>
      <w:rPr>
        <w:rFonts w:ascii="Book Antiqua" w:hAnsi="Book Antiqua"/>
        <w:sz w:val="16"/>
        <w:szCs w:val="16"/>
      </w:rPr>
    </w:pPr>
  </w:p>
  <w:p w:rsidR="004F7521" w:rsidRPr="003C5CE5" w:rsidRDefault="004F7521"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521" w:rsidRPr="00FE1BCE" w:rsidRDefault="004F7521"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4F7521" w:rsidRPr="00D25E1A" w:rsidRDefault="004F7521"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3C79"/>
    <w:multiLevelType w:val="hybridMultilevel"/>
    <w:tmpl w:val="8D00AEF2"/>
    <w:lvl w:ilvl="0" w:tplc="56883946">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0FBB32F9"/>
    <w:multiLevelType w:val="hybridMultilevel"/>
    <w:tmpl w:val="ACA4ABE4"/>
    <w:lvl w:ilvl="0" w:tplc="0BFC14E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0FF5555C"/>
    <w:multiLevelType w:val="hybridMultilevel"/>
    <w:tmpl w:val="D1E0FE54"/>
    <w:lvl w:ilvl="0" w:tplc="D3749386">
      <w:start w:val="1"/>
      <w:numFmt w:val="decimal"/>
      <w:lvlText w:val="%1."/>
      <w:lvlJc w:val="left"/>
      <w:pPr>
        <w:tabs>
          <w:tab w:val="num" w:pos="397"/>
        </w:tabs>
        <w:ind w:left="0" w:firstLine="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15:restartNumberingAfterBreak="0">
    <w:nsid w:val="1217399A"/>
    <w:multiLevelType w:val="hybridMultilevel"/>
    <w:tmpl w:val="2CE4863A"/>
    <w:lvl w:ilvl="0" w:tplc="C7E2E37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14245DCD"/>
    <w:multiLevelType w:val="hybridMultilevel"/>
    <w:tmpl w:val="B7D26DEC"/>
    <w:lvl w:ilvl="0" w:tplc="1C38F90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6AF67AD"/>
    <w:multiLevelType w:val="hybridMultilevel"/>
    <w:tmpl w:val="44A2849E"/>
    <w:lvl w:ilvl="0" w:tplc="FB187C12">
      <w:start w:val="1"/>
      <w:numFmt w:val="decimal"/>
      <w:lvlText w:val="%1."/>
      <w:lvlJc w:val="left"/>
      <w:pPr>
        <w:tabs>
          <w:tab w:val="num" w:pos="567"/>
        </w:tabs>
        <w:ind w:left="567" w:hanging="567"/>
      </w:pPr>
      <w:rPr>
        <w:rFonts w:cs="Line Printer"/>
        <w:strike w:val="0"/>
        <w:dstrike w:val="0"/>
        <w:color w:val="auto"/>
        <w:u w:val="none"/>
        <w:effect w:val="none"/>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88B6A84"/>
    <w:multiLevelType w:val="hybridMultilevel"/>
    <w:tmpl w:val="3B7C7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8A4314F"/>
    <w:multiLevelType w:val="hybridMultilevel"/>
    <w:tmpl w:val="A40868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 w15:restartNumberingAfterBreak="0">
    <w:nsid w:val="391B75A1"/>
    <w:multiLevelType w:val="hybridMultilevel"/>
    <w:tmpl w:val="DF1606F8"/>
    <w:lvl w:ilvl="0" w:tplc="D234BB6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54CD058E"/>
    <w:multiLevelType w:val="hybridMultilevel"/>
    <w:tmpl w:val="EC9CDAE0"/>
    <w:lvl w:ilvl="0" w:tplc="784EDAF0">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55B719A1"/>
    <w:multiLevelType w:val="multilevel"/>
    <w:tmpl w:val="B7748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 w15:restartNumberingAfterBreak="0">
    <w:nsid w:val="76D061B6"/>
    <w:multiLevelType w:val="hybridMultilevel"/>
    <w:tmpl w:val="EB9E8F42"/>
    <w:lvl w:ilvl="0" w:tplc="540E14F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num w:numId="1">
    <w:abstractNumId w:val="6"/>
  </w:num>
  <w:num w:numId="2">
    <w:abstractNumId w:val="3"/>
  </w:num>
  <w:num w:numId="3">
    <w:abstractNumId w:val="4"/>
  </w:num>
  <w:num w:numId="4">
    <w:abstractNumId w:val="1"/>
  </w:num>
  <w:num w:numId="5">
    <w:abstractNumId w:val="9"/>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3"/>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CC84882-F481-41C6-B859-900D597BAD4E}"/>
    <w:docVar w:name="dgnword-drafile" w:val="C:\Users\User\AppData\Local\Temp\draB88D.tmp"/>
    <w:docVar w:name="dgnword-eventsink" w:val="555629952"/>
  </w:docVars>
  <w:rsids>
    <w:rsidRoot w:val="00503887"/>
    <w:rsid w:val="000001D8"/>
    <w:rsid w:val="00002895"/>
    <w:rsid w:val="00002B9F"/>
    <w:rsid w:val="000047C3"/>
    <w:rsid w:val="00010DD4"/>
    <w:rsid w:val="00010F16"/>
    <w:rsid w:val="0001157F"/>
    <w:rsid w:val="000157D8"/>
    <w:rsid w:val="0001581F"/>
    <w:rsid w:val="0001755E"/>
    <w:rsid w:val="000303CD"/>
    <w:rsid w:val="000306E4"/>
    <w:rsid w:val="00030A29"/>
    <w:rsid w:val="0003454D"/>
    <w:rsid w:val="000359E1"/>
    <w:rsid w:val="000367D1"/>
    <w:rsid w:val="00050C6C"/>
    <w:rsid w:val="0005475F"/>
    <w:rsid w:val="000573C1"/>
    <w:rsid w:val="000603B5"/>
    <w:rsid w:val="00061DAB"/>
    <w:rsid w:val="00062428"/>
    <w:rsid w:val="00062F11"/>
    <w:rsid w:val="00063897"/>
    <w:rsid w:val="0006645C"/>
    <w:rsid w:val="000703D5"/>
    <w:rsid w:val="000724F8"/>
    <w:rsid w:val="00074353"/>
    <w:rsid w:val="00080881"/>
    <w:rsid w:val="0008143E"/>
    <w:rsid w:val="000826B0"/>
    <w:rsid w:val="000828AC"/>
    <w:rsid w:val="000840CD"/>
    <w:rsid w:val="00084DDB"/>
    <w:rsid w:val="00084F24"/>
    <w:rsid w:val="00085742"/>
    <w:rsid w:val="00090CF9"/>
    <w:rsid w:val="0009125E"/>
    <w:rsid w:val="00092824"/>
    <w:rsid w:val="00093882"/>
    <w:rsid w:val="00094C92"/>
    <w:rsid w:val="00095218"/>
    <w:rsid w:val="0009524D"/>
    <w:rsid w:val="00095273"/>
    <w:rsid w:val="000A0053"/>
    <w:rsid w:val="000A2F80"/>
    <w:rsid w:val="000A4723"/>
    <w:rsid w:val="000A48CD"/>
    <w:rsid w:val="000B62F5"/>
    <w:rsid w:val="000C2A47"/>
    <w:rsid w:val="000C4611"/>
    <w:rsid w:val="000D20BA"/>
    <w:rsid w:val="000D62B3"/>
    <w:rsid w:val="000E1274"/>
    <w:rsid w:val="000E2DE4"/>
    <w:rsid w:val="000E7891"/>
    <w:rsid w:val="000F53DF"/>
    <w:rsid w:val="001072D3"/>
    <w:rsid w:val="00107AFB"/>
    <w:rsid w:val="00107DD5"/>
    <w:rsid w:val="0011297E"/>
    <w:rsid w:val="00114635"/>
    <w:rsid w:val="00114FC1"/>
    <w:rsid w:val="00115B62"/>
    <w:rsid w:val="00120ACC"/>
    <w:rsid w:val="00121965"/>
    <w:rsid w:val="00122A22"/>
    <w:rsid w:val="001257BB"/>
    <w:rsid w:val="00125F39"/>
    <w:rsid w:val="001343F7"/>
    <w:rsid w:val="001352E9"/>
    <w:rsid w:val="0013542E"/>
    <w:rsid w:val="00137136"/>
    <w:rsid w:val="0014600B"/>
    <w:rsid w:val="0014612C"/>
    <w:rsid w:val="00150306"/>
    <w:rsid w:val="00150B50"/>
    <w:rsid w:val="001515D9"/>
    <w:rsid w:val="001523AB"/>
    <w:rsid w:val="001526BE"/>
    <w:rsid w:val="0015608C"/>
    <w:rsid w:val="0015610E"/>
    <w:rsid w:val="00156874"/>
    <w:rsid w:val="001737E8"/>
    <w:rsid w:val="00176367"/>
    <w:rsid w:val="00177C8F"/>
    <w:rsid w:val="0018031B"/>
    <w:rsid w:val="001835EF"/>
    <w:rsid w:val="00187C19"/>
    <w:rsid w:val="001909B6"/>
    <w:rsid w:val="0019206C"/>
    <w:rsid w:val="0019638F"/>
    <w:rsid w:val="001A3315"/>
    <w:rsid w:val="001A4307"/>
    <w:rsid w:val="001B026B"/>
    <w:rsid w:val="001B23AA"/>
    <w:rsid w:val="001B7FB0"/>
    <w:rsid w:val="001C061B"/>
    <w:rsid w:val="001C179E"/>
    <w:rsid w:val="001C1BBC"/>
    <w:rsid w:val="001C3A1B"/>
    <w:rsid w:val="001D0A72"/>
    <w:rsid w:val="001D60A6"/>
    <w:rsid w:val="001E0004"/>
    <w:rsid w:val="001E2BF6"/>
    <w:rsid w:val="001E4A2B"/>
    <w:rsid w:val="001E66D3"/>
    <w:rsid w:val="001F0771"/>
    <w:rsid w:val="001F2745"/>
    <w:rsid w:val="001F2D22"/>
    <w:rsid w:val="001F46A7"/>
    <w:rsid w:val="00200B97"/>
    <w:rsid w:val="00202103"/>
    <w:rsid w:val="00204D7F"/>
    <w:rsid w:val="00210B61"/>
    <w:rsid w:val="0021355E"/>
    <w:rsid w:val="00214115"/>
    <w:rsid w:val="0021520B"/>
    <w:rsid w:val="00222451"/>
    <w:rsid w:val="0023044B"/>
    <w:rsid w:val="00230487"/>
    <w:rsid w:val="00231CBE"/>
    <w:rsid w:val="00233926"/>
    <w:rsid w:val="0023493B"/>
    <w:rsid w:val="00237E82"/>
    <w:rsid w:val="002438F7"/>
    <w:rsid w:val="0024659B"/>
    <w:rsid w:val="0025455C"/>
    <w:rsid w:val="00254594"/>
    <w:rsid w:val="00256188"/>
    <w:rsid w:val="00256F9B"/>
    <w:rsid w:val="00262055"/>
    <w:rsid w:val="002621B2"/>
    <w:rsid w:val="0026298A"/>
    <w:rsid w:val="002641D7"/>
    <w:rsid w:val="002648D3"/>
    <w:rsid w:val="00265B9A"/>
    <w:rsid w:val="00266A8E"/>
    <w:rsid w:val="00270B84"/>
    <w:rsid w:val="0027154A"/>
    <w:rsid w:val="00271A15"/>
    <w:rsid w:val="002816B5"/>
    <w:rsid w:val="00283D0F"/>
    <w:rsid w:val="002901CA"/>
    <w:rsid w:val="00292E49"/>
    <w:rsid w:val="0029559E"/>
    <w:rsid w:val="002965A3"/>
    <w:rsid w:val="002A2EA9"/>
    <w:rsid w:val="002A363E"/>
    <w:rsid w:val="002A37A8"/>
    <w:rsid w:val="002A4453"/>
    <w:rsid w:val="002A75C1"/>
    <w:rsid w:val="002B4614"/>
    <w:rsid w:val="002B591E"/>
    <w:rsid w:val="002B649D"/>
    <w:rsid w:val="002C0DB8"/>
    <w:rsid w:val="002C3376"/>
    <w:rsid w:val="002C6905"/>
    <w:rsid w:val="002C703C"/>
    <w:rsid w:val="002D6068"/>
    <w:rsid w:val="002D7C57"/>
    <w:rsid w:val="002D7D6C"/>
    <w:rsid w:val="002E3BAE"/>
    <w:rsid w:val="002E48B4"/>
    <w:rsid w:val="002E4AF4"/>
    <w:rsid w:val="002E60DF"/>
    <w:rsid w:val="002E6B4A"/>
    <w:rsid w:val="002E6F61"/>
    <w:rsid w:val="002E6FC1"/>
    <w:rsid w:val="002F0807"/>
    <w:rsid w:val="002F0836"/>
    <w:rsid w:val="002F48DB"/>
    <w:rsid w:val="002F5FFF"/>
    <w:rsid w:val="0030356D"/>
    <w:rsid w:val="003069DF"/>
    <w:rsid w:val="003136C6"/>
    <w:rsid w:val="003139B3"/>
    <w:rsid w:val="0031473D"/>
    <w:rsid w:val="00317ACD"/>
    <w:rsid w:val="003222CB"/>
    <w:rsid w:val="00323B54"/>
    <w:rsid w:val="00323C1A"/>
    <w:rsid w:val="00324FC8"/>
    <w:rsid w:val="003261A8"/>
    <w:rsid w:val="00326F1B"/>
    <w:rsid w:val="0032748C"/>
    <w:rsid w:val="00331032"/>
    <w:rsid w:val="00333D02"/>
    <w:rsid w:val="00334C01"/>
    <w:rsid w:val="00337B01"/>
    <w:rsid w:val="00342564"/>
    <w:rsid w:val="00343950"/>
    <w:rsid w:val="003447F8"/>
    <w:rsid w:val="00346DB0"/>
    <w:rsid w:val="003518A0"/>
    <w:rsid w:val="00352A26"/>
    <w:rsid w:val="00353CF1"/>
    <w:rsid w:val="003554AD"/>
    <w:rsid w:val="00362425"/>
    <w:rsid w:val="00363022"/>
    <w:rsid w:val="003631B2"/>
    <w:rsid w:val="00363205"/>
    <w:rsid w:val="00365F83"/>
    <w:rsid w:val="00372DE9"/>
    <w:rsid w:val="0037354C"/>
    <w:rsid w:val="00373D18"/>
    <w:rsid w:val="00380BB4"/>
    <w:rsid w:val="003816CC"/>
    <w:rsid w:val="003839E0"/>
    <w:rsid w:val="00390BCC"/>
    <w:rsid w:val="003950D6"/>
    <w:rsid w:val="00396522"/>
    <w:rsid w:val="00396E14"/>
    <w:rsid w:val="003A00B7"/>
    <w:rsid w:val="003A0AC7"/>
    <w:rsid w:val="003A2FEA"/>
    <w:rsid w:val="003A781E"/>
    <w:rsid w:val="003B04BA"/>
    <w:rsid w:val="003B16F3"/>
    <w:rsid w:val="003B41AD"/>
    <w:rsid w:val="003B4FD3"/>
    <w:rsid w:val="003C495E"/>
    <w:rsid w:val="003C5CE5"/>
    <w:rsid w:val="003D0A31"/>
    <w:rsid w:val="003D0A9F"/>
    <w:rsid w:val="003D0CC1"/>
    <w:rsid w:val="003D676B"/>
    <w:rsid w:val="003D6C95"/>
    <w:rsid w:val="003D7E4B"/>
    <w:rsid w:val="003E0238"/>
    <w:rsid w:val="003E0433"/>
    <w:rsid w:val="003F1654"/>
    <w:rsid w:val="003F1EF2"/>
    <w:rsid w:val="003F2220"/>
    <w:rsid w:val="003F25C0"/>
    <w:rsid w:val="003F3816"/>
    <w:rsid w:val="003F5FCD"/>
    <w:rsid w:val="003F6281"/>
    <w:rsid w:val="004055F5"/>
    <w:rsid w:val="0041164C"/>
    <w:rsid w:val="00412F04"/>
    <w:rsid w:val="00414BBF"/>
    <w:rsid w:val="00425740"/>
    <w:rsid w:val="00430E49"/>
    <w:rsid w:val="00433C10"/>
    <w:rsid w:val="004400B5"/>
    <w:rsid w:val="0044120F"/>
    <w:rsid w:val="004428C1"/>
    <w:rsid w:val="004454C7"/>
    <w:rsid w:val="00445717"/>
    <w:rsid w:val="00445B82"/>
    <w:rsid w:val="00455650"/>
    <w:rsid w:val="00456174"/>
    <w:rsid w:val="00461BBB"/>
    <w:rsid w:val="00466720"/>
    <w:rsid w:val="00466F97"/>
    <w:rsid w:val="004675B1"/>
    <w:rsid w:val="00473736"/>
    <w:rsid w:val="00473C4B"/>
    <w:rsid w:val="0047760A"/>
    <w:rsid w:val="004806F7"/>
    <w:rsid w:val="0048104E"/>
    <w:rsid w:val="00484362"/>
    <w:rsid w:val="00485CCA"/>
    <w:rsid w:val="00490CEC"/>
    <w:rsid w:val="00494224"/>
    <w:rsid w:val="004947F4"/>
    <w:rsid w:val="0049587A"/>
    <w:rsid w:val="004A0A2C"/>
    <w:rsid w:val="004A1354"/>
    <w:rsid w:val="004A4017"/>
    <w:rsid w:val="004A5488"/>
    <w:rsid w:val="004B18DB"/>
    <w:rsid w:val="004B501C"/>
    <w:rsid w:val="004C177B"/>
    <w:rsid w:val="004C58E8"/>
    <w:rsid w:val="004D12F7"/>
    <w:rsid w:val="004D34E4"/>
    <w:rsid w:val="004E180C"/>
    <w:rsid w:val="004E3787"/>
    <w:rsid w:val="004E5313"/>
    <w:rsid w:val="004F0D19"/>
    <w:rsid w:val="004F19FE"/>
    <w:rsid w:val="004F60D7"/>
    <w:rsid w:val="004F7521"/>
    <w:rsid w:val="00500FFF"/>
    <w:rsid w:val="005031FA"/>
    <w:rsid w:val="00503887"/>
    <w:rsid w:val="00503D82"/>
    <w:rsid w:val="00505059"/>
    <w:rsid w:val="00512E56"/>
    <w:rsid w:val="005145ED"/>
    <w:rsid w:val="00514C8B"/>
    <w:rsid w:val="00515521"/>
    <w:rsid w:val="005156F2"/>
    <w:rsid w:val="0052338D"/>
    <w:rsid w:val="00524664"/>
    <w:rsid w:val="005252A7"/>
    <w:rsid w:val="00525AAA"/>
    <w:rsid w:val="00533FBE"/>
    <w:rsid w:val="005371B6"/>
    <w:rsid w:val="0054146F"/>
    <w:rsid w:val="00542C0B"/>
    <w:rsid w:val="00557814"/>
    <w:rsid w:val="00560249"/>
    <w:rsid w:val="005626B0"/>
    <w:rsid w:val="00565414"/>
    <w:rsid w:val="0056622B"/>
    <w:rsid w:val="005671BF"/>
    <w:rsid w:val="0058247C"/>
    <w:rsid w:val="005856F3"/>
    <w:rsid w:val="0058575E"/>
    <w:rsid w:val="00591676"/>
    <w:rsid w:val="005925A3"/>
    <w:rsid w:val="0059261D"/>
    <w:rsid w:val="00592BE6"/>
    <w:rsid w:val="00593795"/>
    <w:rsid w:val="005941D9"/>
    <w:rsid w:val="00594CEF"/>
    <w:rsid w:val="00595F76"/>
    <w:rsid w:val="00597F1D"/>
    <w:rsid w:val="005A3A1D"/>
    <w:rsid w:val="005A4826"/>
    <w:rsid w:val="005A7B23"/>
    <w:rsid w:val="005B0C46"/>
    <w:rsid w:val="005B67E3"/>
    <w:rsid w:val="005B6C0B"/>
    <w:rsid w:val="005B74F3"/>
    <w:rsid w:val="005B75C6"/>
    <w:rsid w:val="005C6730"/>
    <w:rsid w:val="005D37EF"/>
    <w:rsid w:val="005D3A52"/>
    <w:rsid w:val="005D3C8B"/>
    <w:rsid w:val="005E51B0"/>
    <w:rsid w:val="005F2D9F"/>
    <w:rsid w:val="005F3C8B"/>
    <w:rsid w:val="005F69C1"/>
    <w:rsid w:val="00600892"/>
    <w:rsid w:val="006033D6"/>
    <w:rsid w:val="00604B27"/>
    <w:rsid w:val="00604B2F"/>
    <w:rsid w:val="00611A62"/>
    <w:rsid w:val="00614229"/>
    <w:rsid w:val="00615376"/>
    <w:rsid w:val="006167D5"/>
    <w:rsid w:val="006170AF"/>
    <w:rsid w:val="00633B02"/>
    <w:rsid w:val="006358B6"/>
    <w:rsid w:val="00651814"/>
    <w:rsid w:val="006576AB"/>
    <w:rsid w:val="00662B43"/>
    <w:rsid w:val="00667A06"/>
    <w:rsid w:val="00671051"/>
    <w:rsid w:val="00674203"/>
    <w:rsid w:val="00686518"/>
    <w:rsid w:val="00694C65"/>
    <w:rsid w:val="006A17DA"/>
    <w:rsid w:val="006A21CC"/>
    <w:rsid w:val="006A2440"/>
    <w:rsid w:val="006A5B71"/>
    <w:rsid w:val="006B0D66"/>
    <w:rsid w:val="006B14FA"/>
    <w:rsid w:val="006B153F"/>
    <w:rsid w:val="006C1A0A"/>
    <w:rsid w:val="006D3255"/>
    <w:rsid w:val="006E2C54"/>
    <w:rsid w:val="006E5178"/>
    <w:rsid w:val="006E555E"/>
    <w:rsid w:val="006E5E2E"/>
    <w:rsid w:val="006E6149"/>
    <w:rsid w:val="006F04C5"/>
    <w:rsid w:val="006F0DD8"/>
    <w:rsid w:val="006F4E5F"/>
    <w:rsid w:val="006F6311"/>
    <w:rsid w:val="006F67CA"/>
    <w:rsid w:val="0070210A"/>
    <w:rsid w:val="00703A83"/>
    <w:rsid w:val="0070501C"/>
    <w:rsid w:val="00705639"/>
    <w:rsid w:val="007065FA"/>
    <w:rsid w:val="00706926"/>
    <w:rsid w:val="00712787"/>
    <w:rsid w:val="0073198D"/>
    <w:rsid w:val="00734314"/>
    <w:rsid w:val="007406E4"/>
    <w:rsid w:val="007453E2"/>
    <w:rsid w:val="0074788E"/>
    <w:rsid w:val="007536DE"/>
    <w:rsid w:val="00753CED"/>
    <w:rsid w:val="007574AC"/>
    <w:rsid w:val="00760441"/>
    <w:rsid w:val="007604B3"/>
    <w:rsid w:val="0076387F"/>
    <w:rsid w:val="00764A18"/>
    <w:rsid w:val="00765AD5"/>
    <w:rsid w:val="00766F15"/>
    <w:rsid w:val="007701E8"/>
    <w:rsid w:val="00770912"/>
    <w:rsid w:val="00773D2E"/>
    <w:rsid w:val="00782B90"/>
    <w:rsid w:val="00784A12"/>
    <w:rsid w:val="0078605C"/>
    <w:rsid w:val="00786BC7"/>
    <w:rsid w:val="00787920"/>
    <w:rsid w:val="0079071B"/>
    <w:rsid w:val="007923D1"/>
    <w:rsid w:val="00792770"/>
    <w:rsid w:val="0079546D"/>
    <w:rsid w:val="00795F95"/>
    <w:rsid w:val="007977D5"/>
    <w:rsid w:val="007A22FF"/>
    <w:rsid w:val="007A4592"/>
    <w:rsid w:val="007B01C2"/>
    <w:rsid w:val="007B110F"/>
    <w:rsid w:val="007B30C6"/>
    <w:rsid w:val="007B3A9A"/>
    <w:rsid w:val="007B4090"/>
    <w:rsid w:val="007C1FF6"/>
    <w:rsid w:val="007C3BCC"/>
    <w:rsid w:val="007C3E9C"/>
    <w:rsid w:val="007C5E47"/>
    <w:rsid w:val="007C6EC2"/>
    <w:rsid w:val="007D27D5"/>
    <w:rsid w:val="007D2AD0"/>
    <w:rsid w:val="007D4BB1"/>
    <w:rsid w:val="007D6EA5"/>
    <w:rsid w:val="007E2269"/>
    <w:rsid w:val="007E3E26"/>
    <w:rsid w:val="007E4B90"/>
    <w:rsid w:val="007E7D61"/>
    <w:rsid w:val="007F09CD"/>
    <w:rsid w:val="007F42AD"/>
    <w:rsid w:val="007F5B43"/>
    <w:rsid w:val="00800967"/>
    <w:rsid w:val="0080500E"/>
    <w:rsid w:val="008057DE"/>
    <w:rsid w:val="0080705C"/>
    <w:rsid w:val="00814611"/>
    <w:rsid w:val="00816297"/>
    <w:rsid w:val="00820D6D"/>
    <w:rsid w:val="008218C8"/>
    <w:rsid w:val="00822B6E"/>
    <w:rsid w:val="00827CAB"/>
    <w:rsid w:val="00832393"/>
    <w:rsid w:val="00835D03"/>
    <w:rsid w:val="00841009"/>
    <w:rsid w:val="00842F69"/>
    <w:rsid w:val="00843020"/>
    <w:rsid w:val="00843837"/>
    <w:rsid w:val="00850A1F"/>
    <w:rsid w:val="00856608"/>
    <w:rsid w:val="00862503"/>
    <w:rsid w:val="00863367"/>
    <w:rsid w:val="0086511A"/>
    <w:rsid w:val="00865602"/>
    <w:rsid w:val="00865722"/>
    <w:rsid w:val="00867BE4"/>
    <w:rsid w:val="00871179"/>
    <w:rsid w:val="0087176C"/>
    <w:rsid w:val="00873D87"/>
    <w:rsid w:val="00875182"/>
    <w:rsid w:val="00880492"/>
    <w:rsid w:val="008819F7"/>
    <w:rsid w:val="00883BC7"/>
    <w:rsid w:val="00883D7A"/>
    <w:rsid w:val="00887DBA"/>
    <w:rsid w:val="00890DFD"/>
    <w:rsid w:val="0089340E"/>
    <w:rsid w:val="008963DD"/>
    <w:rsid w:val="0089795C"/>
    <w:rsid w:val="008A0367"/>
    <w:rsid w:val="008A1C46"/>
    <w:rsid w:val="008A66D0"/>
    <w:rsid w:val="008B0098"/>
    <w:rsid w:val="008B1E0B"/>
    <w:rsid w:val="008B1F9A"/>
    <w:rsid w:val="008B472E"/>
    <w:rsid w:val="008B63CD"/>
    <w:rsid w:val="008C1448"/>
    <w:rsid w:val="008C1A40"/>
    <w:rsid w:val="008C2756"/>
    <w:rsid w:val="008C5D92"/>
    <w:rsid w:val="008C6262"/>
    <w:rsid w:val="008C6613"/>
    <w:rsid w:val="008D2AA6"/>
    <w:rsid w:val="008D6F05"/>
    <w:rsid w:val="008E26B2"/>
    <w:rsid w:val="008E3E13"/>
    <w:rsid w:val="008E5BD1"/>
    <w:rsid w:val="008E7314"/>
    <w:rsid w:val="008F1984"/>
    <w:rsid w:val="008F33D8"/>
    <w:rsid w:val="00901ED1"/>
    <w:rsid w:val="00901F4F"/>
    <w:rsid w:val="0090357B"/>
    <w:rsid w:val="0090382F"/>
    <w:rsid w:val="00903D7E"/>
    <w:rsid w:val="009041D9"/>
    <w:rsid w:val="00904F02"/>
    <w:rsid w:val="00915989"/>
    <w:rsid w:val="00920876"/>
    <w:rsid w:val="009217E9"/>
    <w:rsid w:val="0093283E"/>
    <w:rsid w:val="00932CE3"/>
    <w:rsid w:val="009330F5"/>
    <w:rsid w:val="00933302"/>
    <w:rsid w:val="0094001C"/>
    <w:rsid w:val="00940FF9"/>
    <w:rsid w:val="00941832"/>
    <w:rsid w:val="00945524"/>
    <w:rsid w:val="009468E7"/>
    <w:rsid w:val="00946E51"/>
    <w:rsid w:val="00947856"/>
    <w:rsid w:val="009521DF"/>
    <w:rsid w:val="00956F14"/>
    <w:rsid w:val="0096131A"/>
    <w:rsid w:val="00963BE5"/>
    <w:rsid w:val="009641FD"/>
    <w:rsid w:val="00964A16"/>
    <w:rsid w:val="00965BE1"/>
    <w:rsid w:val="00966AF2"/>
    <w:rsid w:val="00967518"/>
    <w:rsid w:val="00967D89"/>
    <w:rsid w:val="009705A4"/>
    <w:rsid w:val="00971AC9"/>
    <w:rsid w:val="00972A0B"/>
    <w:rsid w:val="00980249"/>
    <w:rsid w:val="00983000"/>
    <w:rsid w:val="00984A29"/>
    <w:rsid w:val="0098660F"/>
    <w:rsid w:val="00986CB7"/>
    <w:rsid w:val="00992AA1"/>
    <w:rsid w:val="009958BD"/>
    <w:rsid w:val="009A0C65"/>
    <w:rsid w:val="009A229B"/>
    <w:rsid w:val="009A3295"/>
    <w:rsid w:val="009A33E5"/>
    <w:rsid w:val="009B7E6D"/>
    <w:rsid w:val="009C5250"/>
    <w:rsid w:val="009C6A37"/>
    <w:rsid w:val="009C7394"/>
    <w:rsid w:val="009C7831"/>
    <w:rsid w:val="009C7D5E"/>
    <w:rsid w:val="009E0147"/>
    <w:rsid w:val="009E27B2"/>
    <w:rsid w:val="009E29F4"/>
    <w:rsid w:val="009E53A1"/>
    <w:rsid w:val="009F223E"/>
    <w:rsid w:val="009F71CF"/>
    <w:rsid w:val="00A02099"/>
    <w:rsid w:val="00A05EFA"/>
    <w:rsid w:val="00A10684"/>
    <w:rsid w:val="00A145A7"/>
    <w:rsid w:val="00A1557E"/>
    <w:rsid w:val="00A16179"/>
    <w:rsid w:val="00A22C41"/>
    <w:rsid w:val="00A23505"/>
    <w:rsid w:val="00A24454"/>
    <w:rsid w:val="00A32AF9"/>
    <w:rsid w:val="00A36B01"/>
    <w:rsid w:val="00A40021"/>
    <w:rsid w:val="00A418D6"/>
    <w:rsid w:val="00A463C0"/>
    <w:rsid w:val="00A46C64"/>
    <w:rsid w:val="00A50AB5"/>
    <w:rsid w:val="00A54E1D"/>
    <w:rsid w:val="00A54F8B"/>
    <w:rsid w:val="00A74756"/>
    <w:rsid w:val="00A74CBA"/>
    <w:rsid w:val="00A74F81"/>
    <w:rsid w:val="00A762C6"/>
    <w:rsid w:val="00A7647F"/>
    <w:rsid w:val="00A7748B"/>
    <w:rsid w:val="00A80E09"/>
    <w:rsid w:val="00A82F90"/>
    <w:rsid w:val="00A83C17"/>
    <w:rsid w:val="00A840FD"/>
    <w:rsid w:val="00A936B9"/>
    <w:rsid w:val="00A95CE6"/>
    <w:rsid w:val="00AA14B0"/>
    <w:rsid w:val="00AA7821"/>
    <w:rsid w:val="00AB176C"/>
    <w:rsid w:val="00AB2694"/>
    <w:rsid w:val="00AB31FE"/>
    <w:rsid w:val="00AB7E32"/>
    <w:rsid w:val="00AB7E58"/>
    <w:rsid w:val="00AB7F28"/>
    <w:rsid w:val="00AC4DD4"/>
    <w:rsid w:val="00AC5228"/>
    <w:rsid w:val="00AC5D98"/>
    <w:rsid w:val="00AC694F"/>
    <w:rsid w:val="00AC7467"/>
    <w:rsid w:val="00AD29BD"/>
    <w:rsid w:val="00AD44AB"/>
    <w:rsid w:val="00AD5EC2"/>
    <w:rsid w:val="00AE3E6E"/>
    <w:rsid w:val="00B02B9C"/>
    <w:rsid w:val="00B15046"/>
    <w:rsid w:val="00B15E59"/>
    <w:rsid w:val="00B169D7"/>
    <w:rsid w:val="00B205E2"/>
    <w:rsid w:val="00B20C29"/>
    <w:rsid w:val="00B225A7"/>
    <w:rsid w:val="00B2408F"/>
    <w:rsid w:val="00B24E03"/>
    <w:rsid w:val="00B25A1C"/>
    <w:rsid w:val="00B32218"/>
    <w:rsid w:val="00B3406D"/>
    <w:rsid w:val="00B35D97"/>
    <w:rsid w:val="00B401CC"/>
    <w:rsid w:val="00B41021"/>
    <w:rsid w:val="00B444E9"/>
    <w:rsid w:val="00B4492F"/>
    <w:rsid w:val="00B44AE1"/>
    <w:rsid w:val="00B5019A"/>
    <w:rsid w:val="00B555FE"/>
    <w:rsid w:val="00B6068B"/>
    <w:rsid w:val="00B62C35"/>
    <w:rsid w:val="00B630C0"/>
    <w:rsid w:val="00B65EBB"/>
    <w:rsid w:val="00B66576"/>
    <w:rsid w:val="00B740FB"/>
    <w:rsid w:val="00B74908"/>
    <w:rsid w:val="00B84E76"/>
    <w:rsid w:val="00B86589"/>
    <w:rsid w:val="00B8776D"/>
    <w:rsid w:val="00B8792D"/>
    <w:rsid w:val="00B908CC"/>
    <w:rsid w:val="00B92DD8"/>
    <w:rsid w:val="00B932F5"/>
    <w:rsid w:val="00B942E3"/>
    <w:rsid w:val="00B9548C"/>
    <w:rsid w:val="00B958AC"/>
    <w:rsid w:val="00BA1997"/>
    <w:rsid w:val="00BA601E"/>
    <w:rsid w:val="00BB0BED"/>
    <w:rsid w:val="00BB6D10"/>
    <w:rsid w:val="00BC3920"/>
    <w:rsid w:val="00BC3EF5"/>
    <w:rsid w:val="00BC7132"/>
    <w:rsid w:val="00BC7D84"/>
    <w:rsid w:val="00BD31C7"/>
    <w:rsid w:val="00BE2005"/>
    <w:rsid w:val="00BE3664"/>
    <w:rsid w:val="00BE3DFF"/>
    <w:rsid w:val="00BE6926"/>
    <w:rsid w:val="00BF1A5A"/>
    <w:rsid w:val="00BF6331"/>
    <w:rsid w:val="00C03009"/>
    <w:rsid w:val="00C07D2D"/>
    <w:rsid w:val="00C141C5"/>
    <w:rsid w:val="00C15791"/>
    <w:rsid w:val="00C15B27"/>
    <w:rsid w:val="00C20821"/>
    <w:rsid w:val="00C20DE0"/>
    <w:rsid w:val="00C2165D"/>
    <w:rsid w:val="00C21FC7"/>
    <w:rsid w:val="00C22F56"/>
    <w:rsid w:val="00C2313A"/>
    <w:rsid w:val="00C2553B"/>
    <w:rsid w:val="00C25708"/>
    <w:rsid w:val="00C32979"/>
    <w:rsid w:val="00C33717"/>
    <w:rsid w:val="00C36DDB"/>
    <w:rsid w:val="00C41A85"/>
    <w:rsid w:val="00C53F42"/>
    <w:rsid w:val="00C565B6"/>
    <w:rsid w:val="00C66600"/>
    <w:rsid w:val="00C736F2"/>
    <w:rsid w:val="00C7470D"/>
    <w:rsid w:val="00C75D28"/>
    <w:rsid w:val="00C837D6"/>
    <w:rsid w:val="00C8535C"/>
    <w:rsid w:val="00C8580A"/>
    <w:rsid w:val="00C85E53"/>
    <w:rsid w:val="00C873A5"/>
    <w:rsid w:val="00C87BD2"/>
    <w:rsid w:val="00C924BC"/>
    <w:rsid w:val="00C93A4B"/>
    <w:rsid w:val="00C9426C"/>
    <w:rsid w:val="00C94463"/>
    <w:rsid w:val="00C9596E"/>
    <w:rsid w:val="00C97347"/>
    <w:rsid w:val="00CA1D63"/>
    <w:rsid w:val="00CA53B7"/>
    <w:rsid w:val="00CA7A46"/>
    <w:rsid w:val="00CB0A42"/>
    <w:rsid w:val="00CB6871"/>
    <w:rsid w:val="00CC5A59"/>
    <w:rsid w:val="00CC71E2"/>
    <w:rsid w:val="00CD0A5F"/>
    <w:rsid w:val="00CD3D71"/>
    <w:rsid w:val="00CD566B"/>
    <w:rsid w:val="00CD7808"/>
    <w:rsid w:val="00CE00E0"/>
    <w:rsid w:val="00CE4856"/>
    <w:rsid w:val="00CE6DB2"/>
    <w:rsid w:val="00CF00A1"/>
    <w:rsid w:val="00CF325C"/>
    <w:rsid w:val="00CF334F"/>
    <w:rsid w:val="00CF3520"/>
    <w:rsid w:val="00CF3D62"/>
    <w:rsid w:val="00CF4F17"/>
    <w:rsid w:val="00CF5614"/>
    <w:rsid w:val="00CF63D5"/>
    <w:rsid w:val="00D01F79"/>
    <w:rsid w:val="00D038BD"/>
    <w:rsid w:val="00D06AB3"/>
    <w:rsid w:val="00D1099C"/>
    <w:rsid w:val="00D110B9"/>
    <w:rsid w:val="00D1200E"/>
    <w:rsid w:val="00D1415A"/>
    <w:rsid w:val="00D219F1"/>
    <w:rsid w:val="00D25155"/>
    <w:rsid w:val="00D25E1A"/>
    <w:rsid w:val="00D30A1B"/>
    <w:rsid w:val="00D346B2"/>
    <w:rsid w:val="00D35454"/>
    <w:rsid w:val="00D40585"/>
    <w:rsid w:val="00D41A94"/>
    <w:rsid w:val="00D42D15"/>
    <w:rsid w:val="00D466BC"/>
    <w:rsid w:val="00D50982"/>
    <w:rsid w:val="00D51CE6"/>
    <w:rsid w:val="00D57C07"/>
    <w:rsid w:val="00D600E0"/>
    <w:rsid w:val="00D61E5A"/>
    <w:rsid w:val="00D66004"/>
    <w:rsid w:val="00D66941"/>
    <w:rsid w:val="00D676BC"/>
    <w:rsid w:val="00D716F5"/>
    <w:rsid w:val="00D73A01"/>
    <w:rsid w:val="00D743A4"/>
    <w:rsid w:val="00D74572"/>
    <w:rsid w:val="00D7462C"/>
    <w:rsid w:val="00D80370"/>
    <w:rsid w:val="00D806C5"/>
    <w:rsid w:val="00D87322"/>
    <w:rsid w:val="00D873D6"/>
    <w:rsid w:val="00DA0272"/>
    <w:rsid w:val="00DA09B8"/>
    <w:rsid w:val="00DA454A"/>
    <w:rsid w:val="00DA6A1C"/>
    <w:rsid w:val="00DA77D9"/>
    <w:rsid w:val="00DB002A"/>
    <w:rsid w:val="00DB142B"/>
    <w:rsid w:val="00DC3729"/>
    <w:rsid w:val="00DC3931"/>
    <w:rsid w:val="00DC51DB"/>
    <w:rsid w:val="00DC5A54"/>
    <w:rsid w:val="00DD1F79"/>
    <w:rsid w:val="00DD4413"/>
    <w:rsid w:val="00DD4B9F"/>
    <w:rsid w:val="00DD6FA2"/>
    <w:rsid w:val="00DD723F"/>
    <w:rsid w:val="00DE07E8"/>
    <w:rsid w:val="00DE25FF"/>
    <w:rsid w:val="00DE3069"/>
    <w:rsid w:val="00DE35A3"/>
    <w:rsid w:val="00DE3880"/>
    <w:rsid w:val="00DE5FA3"/>
    <w:rsid w:val="00DF1E13"/>
    <w:rsid w:val="00DF2E88"/>
    <w:rsid w:val="00DF6E1C"/>
    <w:rsid w:val="00E10C73"/>
    <w:rsid w:val="00E13CEE"/>
    <w:rsid w:val="00E13D6B"/>
    <w:rsid w:val="00E147CF"/>
    <w:rsid w:val="00E174ED"/>
    <w:rsid w:val="00E20AE6"/>
    <w:rsid w:val="00E22134"/>
    <w:rsid w:val="00E2382E"/>
    <w:rsid w:val="00E248DA"/>
    <w:rsid w:val="00E31F3E"/>
    <w:rsid w:val="00E32DD6"/>
    <w:rsid w:val="00E33B66"/>
    <w:rsid w:val="00E33EA4"/>
    <w:rsid w:val="00E352E3"/>
    <w:rsid w:val="00E35BE1"/>
    <w:rsid w:val="00E369EA"/>
    <w:rsid w:val="00E41A12"/>
    <w:rsid w:val="00E421CF"/>
    <w:rsid w:val="00E44F8D"/>
    <w:rsid w:val="00E44FBE"/>
    <w:rsid w:val="00E52081"/>
    <w:rsid w:val="00E55787"/>
    <w:rsid w:val="00E578A3"/>
    <w:rsid w:val="00E61C02"/>
    <w:rsid w:val="00E62B62"/>
    <w:rsid w:val="00E658C6"/>
    <w:rsid w:val="00E65A68"/>
    <w:rsid w:val="00E70F5A"/>
    <w:rsid w:val="00E7302F"/>
    <w:rsid w:val="00E75986"/>
    <w:rsid w:val="00E82D8A"/>
    <w:rsid w:val="00E91542"/>
    <w:rsid w:val="00E91D95"/>
    <w:rsid w:val="00E92A87"/>
    <w:rsid w:val="00E96F21"/>
    <w:rsid w:val="00E97964"/>
    <w:rsid w:val="00EA102B"/>
    <w:rsid w:val="00EA778D"/>
    <w:rsid w:val="00EB0C86"/>
    <w:rsid w:val="00EB19CE"/>
    <w:rsid w:val="00EB3D21"/>
    <w:rsid w:val="00EC13DF"/>
    <w:rsid w:val="00EC35B3"/>
    <w:rsid w:val="00EC3E38"/>
    <w:rsid w:val="00EC7D2D"/>
    <w:rsid w:val="00ED1A87"/>
    <w:rsid w:val="00ED2509"/>
    <w:rsid w:val="00ED7C3A"/>
    <w:rsid w:val="00EE05A8"/>
    <w:rsid w:val="00EE237B"/>
    <w:rsid w:val="00EF0245"/>
    <w:rsid w:val="00EF1AE3"/>
    <w:rsid w:val="00EF2367"/>
    <w:rsid w:val="00EF40EB"/>
    <w:rsid w:val="00F01137"/>
    <w:rsid w:val="00F032E8"/>
    <w:rsid w:val="00F03917"/>
    <w:rsid w:val="00F039BF"/>
    <w:rsid w:val="00F1518B"/>
    <w:rsid w:val="00F205B2"/>
    <w:rsid w:val="00F22B04"/>
    <w:rsid w:val="00F250FA"/>
    <w:rsid w:val="00F257EE"/>
    <w:rsid w:val="00F2600D"/>
    <w:rsid w:val="00F27330"/>
    <w:rsid w:val="00F27F90"/>
    <w:rsid w:val="00F33EF9"/>
    <w:rsid w:val="00F3749E"/>
    <w:rsid w:val="00F43936"/>
    <w:rsid w:val="00F46261"/>
    <w:rsid w:val="00F47D17"/>
    <w:rsid w:val="00F504EE"/>
    <w:rsid w:val="00F600D2"/>
    <w:rsid w:val="00F60553"/>
    <w:rsid w:val="00F621F0"/>
    <w:rsid w:val="00F63A1E"/>
    <w:rsid w:val="00F6716F"/>
    <w:rsid w:val="00F756F9"/>
    <w:rsid w:val="00F81530"/>
    <w:rsid w:val="00F8174D"/>
    <w:rsid w:val="00F81CDF"/>
    <w:rsid w:val="00F857EB"/>
    <w:rsid w:val="00F86DF2"/>
    <w:rsid w:val="00F937A4"/>
    <w:rsid w:val="00F94A95"/>
    <w:rsid w:val="00F97369"/>
    <w:rsid w:val="00FA480A"/>
    <w:rsid w:val="00FA6222"/>
    <w:rsid w:val="00FB3A25"/>
    <w:rsid w:val="00FB537F"/>
    <w:rsid w:val="00FB6EEF"/>
    <w:rsid w:val="00FB7FFE"/>
    <w:rsid w:val="00FC1FDF"/>
    <w:rsid w:val="00FC388F"/>
    <w:rsid w:val="00FC3D7C"/>
    <w:rsid w:val="00FD2B63"/>
    <w:rsid w:val="00FD6447"/>
    <w:rsid w:val="00FD71BF"/>
    <w:rsid w:val="00FD7E0D"/>
    <w:rsid w:val="00FE1BCE"/>
    <w:rsid w:val="00FE6E2B"/>
    <w:rsid w:val="00FF19A9"/>
    <w:rsid w:val="00FF369D"/>
    <w:rsid w:val="00FF43C7"/>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2C40F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nhideWhenUsed/>
    <w:qFormat/>
    <w:locked/>
    <w:rsid w:val="001D60A6"/>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2Char">
    <w:name w:val="Heading 2 Char"/>
    <w:link w:val="Heading2"/>
    <w:rsid w:val="001D60A6"/>
    <w:rPr>
      <w:rFonts w:ascii="Calibri Light" w:eastAsia="Times New Roman" w:hAnsi="Calibri Light" w:cs="Times New Roman"/>
      <w:b/>
      <w:bCs/>
      <w:i/>
      <w:iCs/>
      <w:sz w:val="28"/>
      <w:szCs w:val="28"/>
    </w:rPr>
  </w:style>
  <w:style w:type="paragraph" w:styleId="BodyText3">
    <w:name w:val="Body Text 3"/>
    <w:basedOn w:val="Normal"/>
    <w:link w:val="BodyText3Char"/>
    <w:semiHidden/>
    <w:unhideWhenUsed/>
    <w:rsid w:val="007C1FF6"/>
    <w:pPr>
      <w:jc w:val="center"/>
    </w:pPr>
    <w:rPr>
      <w:rFonts w:ascii="Arial" w:eastAsia="Times New Roman" w:hAnsi="Arial" w:cs="Arial"/>
      <w:b/>
      <w:szCs w:val="20"/>
      <w:u w:val="single"/>
      <w:lang w:eastAsia="en-US"/>
    </w:rPr>
  </w:style>
  <w:style w:type="character" w:customStyle="1" w:styleId="BodyText3Char">
    <w:name w:val="Body Text 3 Char"/>
    <w:link w:val="BodyText3"/>
    <w:semiHidden/>
    <w:rsid w:val="007C1FF6"/>
    <w:rPr>
      <w:rFonts w:ascii="Arial" w:eastAsia="Times New Roman" w:hAnsi="Arial" w:cs="Arial"/>
      <w:b/>
      <w:sz w:val="24"/>
      <w:u w:val="single"/>
      <w:lang w:eastAsia="en-US"/>
    </w:rPr>
  </w:style>
  <w:style w:type="paragraph" w:customStyle="1" w:styleId="Level1">
    <w:name w:val="Level 1"/>
    <w:basedOn w:val="Normal"/>
    <w:rsid w:val="00473736"/>
    <w:pPr>
      <w:autoSpaceDE w:val="0"/>
      <w:autoSpaceDN w:val="0"/>
      <w:ind w:left="644" w:hanging="360"/>
    </w:pPr>
    <w:rPr>
      <w:rFonts w:ascii="Arial" w:eastAsia="Times New Roman" w:hAnsi="Arial" w:cs="Arial"/>
    </w:rPr>
  </w:style>
  <w:style w:type="character" w:styleId="Hyperlink">
    <w:name w:val="Hyperlink"/>
    <w:uiPriority w:val="99"/>
    <w:semiHidden/>
    <w:unhideWhenUsed/>
    <w:rsid w:val="004675B1"/>
    <w:rPr>
      <w:color w:val="0563C1"/>
      <w:u w:val="single"/>
    </w:rPr>
  </w:style>
  <w:style w:type="paragraph" w:customStyle="1" w:styleId="listparagraph0">
    <w:name w:val="listparagraph"/>
    <w:basedOn w:val="Normal"/>
    <w:rsid w:val="004675B1"/>
    <w:pPr>
      <w:spacing w:before="100" w:beforeAutospacing="1" w:after="100" w:afterAutospacing="1"/>
    </w:pPr>
    <w:rPr>
      <w:rFonts w:eastAsia="Times New Roman"/>
    </w:rPr>
  </w:style>
  <w:style w:type="paragraph" w:customStyle="1" w:styleId="legclearfix2">
    <w:name w:val="legclearfix2"/>
    <w:basedOn w:val="Normal"/>
    <w:rsid w:val="004675B1"/>
    <w:pPr>
      <w:spacing w:before="100" w:beforeAutospacing="1" w:after="100" w:afterAutospacing="1"/>
    </w:pPr>
    <w:rPr>
      <w:rFonts w:eastAsia="Times New Roman"/>
    </w:rPr>
  </w:style>
  <w:style w:type="character" w:customStyle="1" w:styleId="legds2">
    <w:name w:val="legds2"/>
    <w:rsid w:val="004675B1"/>
  </w:style>
  <w:style w:type="character" w:customStyle="1" w:styleId="legchangedelimiter2">
    <w:name w:val="legchangedelimiter2"/>
    <w:rsid w:val="004675B1"/>
  </w:style>
  <w:style w:type="character" w:customStyle="1" w:styleId="legsubstitution5">
    <w:name w:val="legsubstitution5"/>
    <w:rsid w:val="0046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0823">
      <w:bodyDiv w:val="1"/>
      <w:marLeft w:val="0"/>
      <w:marRight w:val="0"/>
      <w:marTop w:val="0"/>
      <w:marBottom w:val="0"/>
      <w:divBdr>
        <w:top w:val="none" w:sz="0" w:space="0" w:color="auto"/>
        <w:left w:val="none" w:sz="0" w:space="0" w:color="auto"/>
        <w:bottom w:val="none" w:sz="0" w:space="0" w:color="auto"/>
        <w:right w:val="none" w:sz="0" w:space="0" w:color="auto"/>
      </w:divBdr>
    </w:div>
    <w:div w:id="173106850">
      <w:bodyDiv w:val="1"/>
      <w:marLeft w:val="0"/>
      <w:marRight w:val="0"/>
      <w:marTop w:val="0"/>
      <w:marBottom w:val="0"/>
      <w:divBdr>
        <w:top w:val="none" w:sz="0" w:space="0" w:color="auto"/>
        <w:left w:val="none" w:sz="0" w:space="0" w:color="auto"/>
        <w:bottom w:val="none" w:sz="0" w:space="0" w:color="auto"/>
        <w:right w:val="none" w:sz="0" w:space="0" w:color="auto"/>
      </w:divBdr>
    </w:div>
    <w:div w:id="500773778">
      <w:bodyDiv w:val="1"/>
      <w:marLeft w:val="0"/>
      <w:marRight w:val="0"/>
      <w:marTop w:val="0"/>
      <w:marBottom w:val="0"/>
      <w:divBdr>
        <w:top w:val="none" w:sz="0" w:space="0" w:color="auto"/>
        <w:left w:val="none" w:sz="0" w:space="0" w:color="auto"/>
        <w:bottom w:val="none" w:sz="0" w:space="0" w:color="auto"/>
        <w:right w:val="none" w:sz="0" w:space="0" w:color="auto"/>
      </w:divBdr>
    </w:div>
    <w:div w:id="567881951">
      <w:bodyDiv w:val="1"/>
      <w:marLeft w:val="0"/>
      <w:marRight w:val="0"/>
      <w:marTop w:val="0"/>
      <w:marBottom w:val="0"/>
      <w:divBdr>
        <w:top w:val="none" w:sz="0" w:space="0" w:color="auto"/>
        <w:left w:val="none" w:sz="0" w:space="0" w:color="auto"/>
        <w:bottom w:val="none" w:sz="0" w:space="0" w:color="auto"/>
        <w:right w:val="none" w:sz="0" w:space="0" w:color="auto"/>
      </w:divBdr>
    </w:div>
    <w:div w:id="759521967">
      <w:bodyDiv w:val="1"/>
      <w:marLeft w:val="0"/>
      <w:marRight w:val="0"/>
      <w:marTop w:val="0"/>
      <w:marBottom w:val="0"/>
      <w:divBdr>
        <w:top w:val="none" w:sz="0" w:space="0" w:color="auto"/>
        <w:left w:val="none" w:sz="0" w:space="0" w:color="auto"/>
        <w:bottom w:val="none" w:sz="0" w:space="0" w:color="auto"/>
        <w:right w:val="none" w:sz="0" w:space="0" w:color="auto"/>
      </w:divBdr>
    </w:div>
    <w:div w:id="783116008">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296">
      <w:bodyDiv w:val="1"/>
      <w:marLeft w:val="0"/>
      <w:marRight w:val="0"/>
      <w:marTop w:val="0"/>
      <w:marBottom w:val="0"/>
      <w:divBdr>
        <w:top w:val="none" w:sz="0" w:space="0" w:color="auto"/>
        <w:left w:val="none" w:sz="0" w:space="0" w:color="auto"/>
        <w:bottom w:val="none" w:sz="0" w:space="0" w:color="auto"/>
        <w:right w:val="none" w:sz="0" w:space="0" w:color="auto"/>
      </w:divBdr>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63">
      <w:bodyDiv w:val="1"/>
      <w:marLeft w:val="0"/>
      <w:marRight w:val="0"/>
      <w:marTop w:val="0"/>
      <w:marBottom w:val="0"/>
      <w:divBdr>
        <w:top w:val="none" w:sz="0" w:space="0" w:color="auto"/>
        <w:left w:val="none" w:sz="0" w:space="0" w:color="auto"/>
        <w:bottom w:val="none" w:sz="0" w:space="0" w:color="auto"/>
        <w:right w:val="none" w:sz="0" w:space="0" w:color="auto"/>
      </w:divBdr>
      <w:divsChild>
        <w:div w:id="1994333021">
          <w:marLeft w:val="0"/>
          <w:marRight w:val="0"/>
          <w:marTop w:val="0"/>
          <w:marBottom w:val="0"/>
          <w:divBdr>
            <w:top w:val="none" w:sz="0" w:space="0" w:color="auto"/>
            <w:left w:val="none" w:sz="0" w:space="0" w:color="auto"/>
            <w:bottom w:val="none" w:sz="0" w:space="0" w:color="auto"/>
            <w:right w:val="none" w:sz="0" w:space="0" w:color="auto"/>
          </w:divBdr>
          <w:divsChild>
            <w:div w:id="21833834">
              <w:marLeft w:val="0"/>
              <w:marRight w:val="0"/>
              <w:marTop w:val="0"/>
              <w:marBottom w:val="0"/>
              <w:divBdr>
                <w:top w:val="none" w:sz="0" w:space="0" w:color="auto"/>
                <w:left w:val="none" w:sz="0" w:space="0" w:color="auto"/>
                <w:bottom w:val="none" w:sz="0" w:space="0" w:color="auto"/>
                <w:right w:val="none" w:sz="0" w:space="0" w:color="auto"/>
              </w:divBdr>
              <w:divsChild>
                <w:div w:id="1176460715">
                  <w:marLeft w:val="0"/>
                  <w:marRight w:val="0"/>
                  <w:marTop w:val="0"/>
                  <w:marBottom w:val="0"/>
                  <w:divBdr>
                    <w:top w:val="none" w:sz="0" w:space="0" w:color="auto"/>
                    <w:left w:val="none" w:sz="0" w:space="0" w:color="auto"/>
                    <w:bottom w:val="none" w:sz="0" w:space="0" w:color="auto"/>
                    <w:right w:val="none" w:sz="0" w:space="0" w:color="auto"/>
                  </w:divBdr>
                  <w:divsChild>
                    <w:div w:id="1721593899">
                      <w:marLeft w:val="0"/>
                      <w:marRight w:val="0"/>
                      <w:marTop w:val="0"/>
                      <w:marBottom w:val="0"/>
                      <w:divBdr>
                        <w:top w:val="none" w:sz="0" w:space="0" w:color="auto"/>
                        <w:left w:val="none" w:sz="0" w:space="0" w:color="auto"/>
                        <w:bottom w:val="none" w:sz="0" w:space="0" w:color="auto"/>
                        <w:right w:val="none" w:sz="0" w:space="0" w:color="auto"/>
                      </w:divBdr>
                      <w:divsChild>
                        <w:div w:id="851527841">
                          <w:marLeft w:val="0"/>
                          <w:marRight w:val="0"/>
                          <w:marTop w:val="0"/>
                          <w:marBottom w:val="0"/>
                          <w:divBdr>
                            <w:top w:val="none" w:sz="0" w:space="0" w:color="auto"/>
                            <w:left w:val="none" w:sz="0" w:space="0" w:color="auto"/>
                            <w:bottom w:val="none" w:sz="0" w:space="0" w:color="auto"/>
                            <w:right w:val="none" w:sz="0" w:space="0" w:color="auto"/>
                          </w:divBdr>
                          <w:divsChild>
                            <w:div w:id="105538068">
                              <w:marLeft w:val="0"/>
                              <w:marRight w:val="0"/>
                              <w:marTop w:val="0"/>
                              <w:marBottom w:val="0"/>
                              <w:divBdr>
                                <w:top w:val="none" w:sz="0" w:space="0" w:color="auto"/>
                                <w:left w:val="none" w:sz="0" w:space="0" w:color="auto"/>
                                <w:bottom w:val="none" w:sz="0" w:space="0" w:color="auto"/>
                                <w:right w:val="none" w:sz="0" w:space="0" w:color="auto"/>
                              </w:divBdr>
                              <w:divsChild>
                                <w:div w:id="37555658">
                                  <w:marLeft w:val="0"/>
                                  <w:marRight w:val="0"/>
                                  <w:marTop w:val="0"/>
                                  <w:marBottom w:val="0"/>
                                  <w:divBdr>
                                    <w:top w:val="none" w:sz="0" w:space="0" w:color="auto"/>
                                    <w:left w:val="none" w:sz="0" w:space="0" w:color="auto"/>
                                    <w:bottom w:val="none" w:sz="0" w:space="0" w:color="auto"/>
                                    <w:right w:val="none" w:sz="0" w:space="0" w:color="auto"/>
                                  </w:divBdr>
                                  <w:divsChild>
                                    <w:div w:id="19348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428758">
      <w:bodyDiv w:val="1"/>
      <w:marLeft w:val="0"/>
      <w:marRight w:val="0"/>
      <w:marTop w:val="0"/>
      <w:marBottom w:val="0"/>
      <w:divBdr>
        <w:top w:val="none" w:sz="0" w:space="0" w:color="auto"/>
        <w:left w:val="none" w:sz="0" w:space="0" w:color="auto"/>
        <w:bottom w:val="none" w:sz="0" w:space="0" w:color="auto"/>
        <w:right w:val="none" w:sz="0" w:space="0" w:color="auto"/>
      </w:divBdr>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8768">
      <w:bodyDiv w:val="1"/>
      <w:marLeft w:val="0"/>
      <w:marRight w:val="0"/>
      <w:marTop w:val="0"/>
      <w:marBottom w:val="0"/>
      <w:divBdr>
        <w:top w:val="none" w:sz="0" w:space="0" w:color="auto"/>
        <w:left w:val="none" w:sz="0" w:space="0" w:color="auto"/>
        <w:bottom w:val="none" w:sz="0" w:space="0" w:color="auto"/>
        <w:right w:val="none" w:sz="0" w:space="0" w:color="auto"/>
      </w:divBdr>
    </w:div>
    <w:div w:id="1928926396">
      <w:bodyDiv w:val="1"/>
      <w:marLeft w:val="0"/>
      <w:marRight w:val="0"/>
      <w:marTop w:val="0"/>
      <w:marBottom w:val="0"/>
      <w:divBdr>
        <w:top w:val="none" w:sz="0" w:space="0" w:color="auto"/>
        <w:left w:val="none" w:sz="0" w:space="0" w:color="auto"/>
        <w:bottom w:val="none" w:sz="0" w:space="0" w:color="auto"/>
        <w:right w:val="none" w:sz="0" w:space="0" w:color="auto"/>
      </w:divBdr>
    </w:div>
    <w:div w:id="208983728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E1494-F619-473D-8CCB-55034A4F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4935</Words>
  <Characters>23763</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2018-06-01T13:52:00Z</dcterms:created>
  <dcterms:modified xsi:type="dcterms:W3CDTF">2018-06-01T13:54:00Z</dcterms:modified>
</cp:coreProperties>
</file>