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E1D51" w:rsidP="00C321B5">
      <w:pPr>
        <w:jc w:val="center"/>
        <w:rPr>
          <w:rFonts w:ascii="Book Antiqua" w:hAnsi="Book Antiqua" w:cs="Arial"/>
          <w:sz w:val="16"/>
          <w:szCs w:val="16"/>
        </w:rPr>
      </w:pPr>
      <w:r>
        <w:rPr>
          <w:noProof/>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A26466">
        <w:rPr>
          <w:rFonts w:ascii="Book Antiqua" w:hAnsi="Book Antiqua" w:cs="Arial"/>
          <w:caps/>
        </w:rPr>
        <w:t>hu/01855/2017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6F574C" w:rsidTr="006F574C">
        <w:tc>
          <w:tcPr>
            <w:tcW w:w="6048" w:type="dxa"/>
            <w:shd w:val="clear" w:color="auto" w:fill="auto"/>
          </w:tcPr>
          <w:p w:rsidR="00D22636" w:rsidRPr="006F574C" w:rsidRDefault="00D22636" w:rsidP="006F574C">
            <w:pPr>
              <w:jc w:val="both"/>
              <w:rPr>
                <w:rFonts w:ascii="Book Antiqua" w:hAnsi="Book Antiqua" w:cs="Arial"/>
                <w:b/>
              </w:rPr>
            </w:pPr>
            <w:r w:rsidRPr="006F574C">
              <w:rPr>
                <w:rFonts w:ascii="Book Antiqua" w:hAnsi="Book Antiqua" w:cs="Arial"/>
                <w:b/>
              </w:rPr>
              <w:t xml:space="preserve">Heard at </w:t>
            </w:r>
            <w:r w:rsidR="00BE279B" w:rsidRPr="006F574C">
              <w:rPr>
                <w:rFonts w:ascii="Book Antiqua" w:hAnsi="Book Antiqua" w:cs="Arial"/>
                <w:b/>
              </w:rPr>
              <w:t>Field House</w:t>
            </w:r>
          </w:p>
        </w:tc>
        <w:tc>
          <w:tcPr>
            <w:tcW w:w="3960" w:type="dxa"/>
            <w:shd w:val="clear" w:color="auto" w:fill="auto"/>
          </w:tcPr>
          <w:p w:rsidR="00D22636" w:rsidRPr="006F574C" w:rsidRDefault="00CF7E9F" w:rsidP="006F574C">
            <w:pPr>
              <w:jc w:val="both"/>
              <w:rPr>
                <w:rFonts w:ascii="Book Antiqua" w:hAnsi="Book Antiqua" w:cs="Arial"/>
                <w:b/>
              </w:rPr>
            </w:pPr>
            <w:r w:rsidRPr="006F574C">
              <w:rPr>
                <w:rFonts w:ascii="Book Antiqua" w:hAnsi="Book Antiqua" w:cs="Arial"/>
                <w:b/>
              </w:rPr>
              <w:t>Decision &amp; Reasons</w:t>
            </w:r>
            <w:r w:rsidR="00283659" w:rsidRPr="006F574C">
              <w:rPr>
                <w:rFonts w:ascii="Book Antiqua" w:hAnsi="Book Antiqua" w:cs="Arial"/>
                <w:b/>
              </w:rPr>
              <w:t xml:space="preserve"> Promulgated</w:t>
            </w:r>
          </w:p>
        </w:tc>
      </w:tr>
      <w:tr w:rsidR="00D22636" w:rsidRPr="006F574C" w:rsidTr="006F574C">
        <w:tc>
          <w:tcPr>
            <w:tcW w:w="6048" w:type="dxa"/>
            <w:shd w:val="clear" w:color="auto" w:fill="auto"/>
          </w:tcPr>
          <w:p w:rsidR="00D22636" w:rsidRPr="006F574C" w:rsidRDefault="00D22636" w:rsidP="008E7624">
            <w:pPr>
              <w:jc w:val="both"/>
              <w:rPr>
                <w:rFonts w:ascii="Book Antiqua" w:hAnsi="Book Antiqua" w:cs="Arial"/>
                <w:b/>
              </w:rPr>
            </w:pPr>
            <w:r w:rsidRPr="006F574C">
              <w:rPr>
                <w:rFonts w:ascii="Book Antiqua" w:hAnsi="Book Antiqua" w:cs="Arial"/>
                <w:b/>
              </w:rPr>
              <w:t xml:space="preserve">On </w:t>
            </w:r>
            <w:r w:rsidR="008E7624">
              <w:rPr>
                <w:rFonts w:ascii="Book Antiqua" w:hAnsi="Book Antiqua" w:cs="Arial"/>
                <w:b/>
              </w:rPr>
              <w:t>13</w:t>
            </w:r>
            <w:r w:rsidR="00BE279B" w:rsidRPr="006F574C">
              <w:rPr>
                <w:rFonts w:ascii="Book Antiqua" w:hAnsi="Book Antiqua" w:cs="Arial"/>
                <w:b/>
                <w:vertAlign w:val="superscript"/>
              </w:rPr>
              <w:t>th</w:t>
            </w:r>
            <w:r w:rsidR="00BE279B" w:rsidRPr="006F574C">
              <w:rPr>
                <w:rFonts w:ascii="Book Antiqua" w:hAnsi="Book Antiqua" w:cs="Arial"/>
                <w:b/>
              </w:rPr>
              <w:t xml:space="preserve"> </w:t>
            </w:r>
            <w:r w:rsidR="008E7624">
              <w:rPr>
                <w:rFonts w:ascii="Book Antiqua" w:hAnsi="Book Antiqua" w:cs="Arial"/>
                <w:b/>
              </w:rPr>
              <w:t xml:space="preserve">July </w:t>
            </w:r>
            <w:r w:rsidR="00BE279B" w:rsidRPr="006F574C">
              <w:rPr>
                <w:rFonts w:ascii="Book Antiqua" w:hAnsi="Book Antiqua" w:cs="Arial"/>
                <w:b/>
              </w:rPr>
              <w:t>2018</w:t>
            </w:r>
          </w:p>
        </w:tc>
        <w:tc>
          <w:tcPr>
            <w:tcW w:w="3960" w:type="dxa"/>
            <w:shd w:val="clear" w:color="auto" w:fill="auto"/>
          </w:tcPr>
          <w:p w:rsidR="00D22636" w:rsidRPr="006F574C" w:rsidRDefault="00880BDD" w:rsidP="006F574C">
            <w:pPr>
              <w:jc w:val="both"/>
              <w:rPr>
                <w:rFonts w:ascii="Book Antiqua" w:hAnsi="Book Antiqua" w:cs="Arial"/>
                <w:b/>
              </w:rPr>
            </w:pPr>
            <w:r>
              <w:rPr>
                <w:rFonts w:ascii="Book Antiqua" w:hAnsi="Book Antiqua" w:cs="Arial"/>
                <w:b/>
              </w:rPr>
              <w:t>On 1</w:t>
            </w:r>
            <w:r w:rsidRPr="00880BDD">
              <w:rPr>
                <w:rFonts w:ascii="Book Antiqua" w:hAnsi="Book Antiqua" w:cs="Arial"/>
                <w:b/>
                <w:vertAlign w:val="superscript"/>
              </w:rPr>
              <w:t>st</w:t>
            </w:r>
            <w:r>
              <w:rPr>
                <w:rFonts w:ascii="Book Antiqua" w:hAnsi="Book Antiqua" w:cs="Arial"/>
                <w:b/>
              </w:rPr>
              <w:t xml:space="preserve"> August 2018 </w:t>
            </w:r>
          </w:p>
        </w:tc>
      </w:tr>
      <w:tr w:rsidR="00D22636" w:rsidRPr="006F574C" w:rsidTr="006F574C">
        <w:tc>
          <w:tcPr>
            <w:tcW w:w="6048" w:type="dxa"/>
            <w:shd w:val="clear" w:color="auto" w:fill="auto"/>
          </w:tcPr>
          <w:p w:rsidR="00D22636" w:rsidRPr="006F574C" w:rsidRDefault="00D22636" w:rsidP="006F574C">
            <w:pPr>
              <w:jc w:val="both"/>
              <w:rPr>
                <w:rFonts w:ascii="Book Antiqua" w:hAnsi="Book Antiqua" w:cs="Arial"/>
                <w:b/>
              </w:rPr>
            </w:pPr>
          </w:p>
        </w:tc>
        <w:tc>
          <w:tcPr>
            <w:tcW w:w="3960" w:type="dxa"/>
            <w:shd w:val="clear" w:color="auto" w:fill="auto"/>
          </w:tcPr>
          <w:p w:rsidR="00D22636" w:rsidRPr="006F574C" w:rsidRDefault="00D22636" w:rsidP="006F574C">
            <w:pPr>
              <w:jc w:val="both"/>
              <w:rPr>
                <w:rFonts w:ascii="Book Antiqua" w:hAnsi="Book Antiqua" w:cs="Arial"/>
                <w:b/>
              </w:rPr>
            </w:pPr>
          </w:p>
        </w:tc>
      </w:tr>
    </w:tbl>
    <w:p w:rsidR="00A15234" w:rsidRPr="00F5664C" w:rsidRDefault="00A15234" w:rsidP="00CC2641">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41B28" w:rsidP="00BE279B">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A26466">
        <w:rPr>
          <w:rFonts w:ascii="Book Antiqua" w:hAnsi="Book Antiqua" w:cs="Arial"/>
          <w:b/>
        </w:rPr>
        <w:t>SAINI</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Pr="00CA0607" w:rsidRDefault="00A26466" w:rsidP="00742A8D">
      <w:pPr>
        <w:jc w:val="center"/>
        <w:rPr>
          <w:rFonts w:ascii="Book Antiqua" w:hAnsi="Book Antiqua" w:cs="Arial"/>
          <w:b/>
          <w:caps/>
        </w:rPr>
      </w:pPr>
      <w:r w:rsidRPr="00A26466">
        <w:rPr>
          <w:rFonts w:ascii="Book Antiqua" w:hAnsi="Book Antiqua" w:cs="Arial"/>
          <w:b/>
          <w:caps/>
        </w:rPr>
        <w:t>Nazeeran</w:t>
      </w:r>
      <w:r>
        <w:rPr>
          <w:rFonts w:ascii="Book Antiqua" w:hAnsi="Book Antiqua" w:cs="Arial"/>
          <w:b/>
          <w:caps/>
        </w:rPr>
        <w:t xml:space="preserve"> </w:t>
      </w:r>
      <w:r w:rsidRPr="00A26466">
        <w:rPr>
          <w:rFonts w:ascii="Book Antiqua" w:hAnsi="Book Antiqua" w:cs="Arial"/>
          <w:b/>
          <w:caps/>
        </w:rPr>
        <w:t>Yaqub</w:t>
      </w:r>
    </w:p>
    <w:p w:rsidR="00CF7E9F" w:rsidRDefault="00CF7E9F" w:rsidP="00CF7E9F">
      <w:pPr>
        <w:jc w:val="center"/>
        <w:rPr>
          <w:rFonts w:ascii="Book Antiqua" w:hAnsi="Book Antiqua" w:cs="Arial"/>
          <w:b/>
          <w:caps/>
        </w:rPr>
      </w:pPr>
      <w:r w:rsidRPr="00CF7E9F">
        <w:rPr>
          <w:rFonts w:ascii="Book Antiqua" w:hAnsi="Book Antiqua" w:cs="Arial"/>
          <w:b/>
          <w:caps/>
        </w:rPr>
        <w:t xml:space="preserve">(ANONYMITY DIRECTION </w:t>
      </w:r>
      <w:r w:rsidR="00EE63DE">
        <w:rPr>
          <w:rFonts w:ascii="Book Antiqua" w:hAnsi="Book Antiqua" w:cs="Arial"/>
          <w:b/>
          <w:caps/>
        </w:rPr>
        <w:t>NOT MADE</w:t>
      </w:r>
      <w:r w:rsidRPr="00CF7E9F">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CC2641" w:rsidRDefault="00DD5071" w:rsidP="00CC264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024934">
        <w:rPr>
          <w:rFonts w:ascii="Book Antiqua" w:hAnsi="Book Antiqua" w:cs="Arial"/>
        </w:rPr>
        <w:t xml:space="preserve">Ms A </w:t>
      </w:r>
      <w:proofErr w:type="spellStart"/>
      <w:r w:rsidR="00024934">
        <w:rPr>
          <w:rFonts w:ascii="Book Antiqua" w:hAnsi="Book Antiqua" w:cs="Arial"/>
        </w:rPr>
        <w:t>Vatish</w:t>
      </w:r>
      <w:proofErr w:type="spellEnd"/>
      <w:r w:rsidR="00024934">
        <w:rPr>
          <w:rFonts w:ascii="Book Antiqua" w:hAnsi="Book Antiqua" w:cs="Arial"/>
        </w:rPr>
        <w:t>, Counsel;</w:t>
      </w:r>
      <w:r w:rsidR="00000D2E">
        <w:rPr>
          <w:rFonts w:ascii="Book Antiqua" w:hAnsi="Book Antiqua" w:cs="Arial"/>
        </w:rPr>
        <w:t xml:space="preserve"> instructed by Law Lane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000D2E">
        <w:rPr>
          <w:rFonts w:ascii="Book Antiqua" w:hAnsi="Book Antiqua" w:cs="Arial"/>
        </w:rPr>
        <w:t>M</w:t>
      </w:r>
      <w:r w:rsidR="00024934">
        <w:rPr>
          <w:rFonts w:ascii="Book Antiqua" w:hAnsi="Book Antiqua" w:cs="Arial"/>
        </w:rPr>
        <w:t>s</w:t>
      </w:r>
      <w:r w:rsidR="00000D2E">
        <w:rPr>
          <w:rFonts w:ascii="Book Antiqua" w:hAnsi="Book Antiqua" w:cs="Arial"/>
        </w:rPr>
        <w:t xml:space="preserve"> L Kenny,</w:t>
      </w:r>
      <w:r w:rsidR="009E2824">
        <w:rPr>
          <w:rFonts w:ascii="Book Antiqua" w:hAnsi="Book Antiqua" w:cs="Arial"/>
        </w:rPr>
        <w:t xml:space="preserve"> Senior</w:t>
      </w:r>
      <w:r w:rsidR="00000D2E">
        <w:rPr>
          <w:rFonts w:ascii="Book Antiqua" w:hAnsi="Book Antiqua" w:cs="Arial"/>
        </w:rPr>
        <w:t xml:space="preserv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CF7E9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0E0906" w:rsidRDefault="000E0906" w:rsidP="00D371C7">
      <w:pPr>
        <w:numPr>
          <w:ilvl w:val="0"/>
          <w:numId w:val="3"/>
        </w:numPr>
        <w:spacing w:before="240"/>
        <w:jc w:val="both"/>
        <w:rPr>
          <w:rFonts w:ascii="Book Antiqua" w:hAnsi="Book Antiqua" w:cs="Arial"/>
        </w:rPr>
      </w:pPr>
      <w:r>
        <w:rPr>
          <w:rFonts w:ascii="Book Antiqua" w:hAnsi="Book Antiqua" w:cs="Arial"/>
        </w:rPr>
        <w:t>The</w:t>
      </w:r>
      <w:r w:rsidR="00675380">
        <w:rPr>
          <w:rFonts w:ascii="Book Antiqua" w:hAnsi="Book Antiqua" w:cs="Arial"/>
        </w:rPr>
        <w:t xml:space="preserve"> Appellant</w:t>
      </w:r>
      <w:r>
        <w:rPr>
          <w:rFonts w:ascii="Book Antiqua" w:hAnsi="Book Antiqua" w:cs="Arial"/>
        </w:rPr>
        <w:t xml:space="preserve"> </w:t>
      </w:r>
      <w:r w:rsidR="00675380">
        <w:rPr>
          <w:rFonts w:ascii="Book Antiqua" w:hAnsi="Book Antiqua" w:cs="Arial"/>
        </w:rPr>
        <w:t>appeal</w:t>
      </w:r>
      <w:r w:rsidR="00BB6564">
        <w:rPr>
          <w:rFonts w:ascii="Book Antiqua" w:hAnsi="Book Antiqua" w:cs="Arial"/>
        </w:rPr>
        <w:t xml:space="preserve">s against a decision of First-tier Tribunal Judge Butler refusing her appeal against a decision of the Secretary of State on her application for settlement in the United Kingdom pursuant to paragraph </w:t>
      </w:r>
      <w:r w:rsidR="00E60865">
        <w:rPr>
          <w:rFonts w:ascii="Book Antiqua" w:hAnsi="Book Antiqua" w:cs="Arial"/>
        </w:rPr>
        <w:t xml:space="preserve">196D of the Immigration Rules.  The Appellant appealed against that decision and was granted permission to appeal by First-tier Tribunal Judge C </w:t>
      </w:r>
      <w:proofErr w:type="gramStart"/>
      <w:r w:rsidR="00E60865">
        <w:rPr>
          <w:rFonts w:ascii="Book Antiqua" w:hAnsi="Book Antiqua" w:cs="Arial"/>
        </w:rPr>
        <w:t>A</w:t>
      </w:r>
      <w:proofErr w:type="gramEnd"/>
      <w:r w:rsidR="00E60865">
        <w:rPr>
          <w:rFonts w:ascii="Book Antiqua" w:hAnsi="Book Antiqua" w:cs="Arial"/>
        </w:rPr>
        <w:t xml:space="preserve"> Parker in the following terms: </w:t>
      </w:r>
    </w:p>
    <w:p w:rsidR="00E60865" w:rsidRDefault="00E60865" w:rsidP="00E60865">
      <w:pPr>
        <w:spacing w:before="240"/>
        <w:ind w:left="1134"/>
        <w:jc w:val="both"/>
        <w:rPr>
          <w:rFonts w:ascii="Book Antiqua" w:hAnsi="Book Antiqua" w:cs="Arial"/>
        </w:rPr>
      </w:pPr>
      <w:r>
        <w:rPr>
          <w:rFonts w:ascii="Book Antiqua" w:hAnsi="Book Antiqua" w:cs="Arial"/>
        </w:rPr>
        <w:lastRenderedPageBreak/>
        <w:t>“The grounds allege that the Judge erred in</w:t>
      </w:r>
      <w:r w:rsidR="00CB7C53">
        <w:rPr>
          <w:rFonts w:ascii="Book Antiqua" w:hAnsi="Book Antiqua" w:cs="Arial"/>
        </w:rPr>
        <w:t xml:space="preserve"> </w:t>
      </w:r>
      <w:r>
        <w:rPr>
          <w:rFonts w:ascii="Book Antiqua" w:hAnsi="Book Antiqua" w:cs="Arial"/>
        </w:rPr>
        <w:t>failing to consider the appellan</w:t>
      </w:r>
      <w:r w:rsidR="00CB7C53">
        <w:rPr>
          <w:rFonts w:ascii="Book Antiqua" w:hAnsi="Book Antiqua" w:cs="Arial"/>
        </w:rPr>
        <w:t>t’s ability to meet the re</w:t>
      </w:r>
      <w:r w:rsidR="00314D93">
        <w:rPr>
          <w:rFonts w:ascii="Book Antiqua" w:hAnsi="Book Antiqua" w:cs="Arial"/>
        </w:rPr>
        <w:t>quirements of para 196A of the I</w:t>
      </w:r>
      <w:r w:rsidR="00CB7C53">
        <w:rPr>
          <w:rFonts w:ascii="Book Antiqua" w:hAnsi="Book Antiqua" w:cs="Arial"/>
        </w:rPr>
        <w:t>mmigration Rules; erred in his consideration of whether it would be unreasonable to expect the appellant to take the English test and failed to give weight to the medical evidence: wrongly concluded that family support would be available in Pakistan when assessing whether there were insurmountable obstacles to family life there; applied a threshold test of “exceptional circumstances” in error and failed to give proper weight to the appellant’s circumstances in assessing proportionality.</w:t>
      </w:r>
    </w:p>
    <w:p w:rsidR="00CB7C53" w:rsidRDefault="00CB7C53" w:rsidP="00E60865">
      <w:pPr>
        <w:spacing w:before="240"/>
        <w:ind w:left="1134"/>
        <w:jc w:val="both"/>
        <w:rPr>
          <w:rFonts w:ascii="Book Antiqua" w:hAnsi="Book Antiqua" w:cs="Arial"/>
        </w:rPr>
      </w:pPr>
      <w:r>
        <w:rPr>
          <w:rFonts w:ascii="Book Antiqua" w:hAnsi="Book Antiqua" w:cs="Arial"/>
        </w:rPr>
        <w:t>I have carefully considered the decision.  Although the application made by the appellant was for indefinite leave to remain under para 196D of the Rules, on the face of it, she was able to meet the requirements of para 196A for a further period of limited leave.  Her ability to meet the requirements of the immigration rules is a significant factor in the proportionality exercise under Article 8 and I find that the Judge’s failure to consider, and take into account, the appellant’s apparent ability to meet the requirements of para 196A is an arguable error of law.</w:t>
      </w:r>
      <w:r w:rsidR="00AB2ABE">
        <w:rPr>
          <w:rFonts w:ascii="Book Antiqua" w:hAnsi="Book Antiqua" w:cs="Arial"/>
        </w:rPr>
        <w:t xml:space="preserve">  Reference to a threshold test</w:t>
      </w:r>
      <w:r>
        <w:rPr>
          <w:rFonts w:ascii="Book Antiqua" w:hAnsi="Book Antiqua" w:cs="Arial"/>
        </w:rPr>
        <w:t xml:space="preserve"> of “exceptional circumstances” also arguably amounts to an error of law (</w:t>
      </w:r>
      <w:proofErr w:type="spellStart"/>
      <w:r w:rsidRPr="001509E4">
        <w:rPr>
          <w:rFonts w:ascii="Book Antiqua" w:hAnsi="Book Antiqua" w:cs="Arial"/>
          <w:i/>
        </w:rPr>
        <w:t>Agyarko</w:t>
      </w:r>
      <w:proofErr w:type="spellEnd"/>
      <w:r>
        <w:rPr>
          <w:rFonts w:ascii="Book Antiqua" w:hAnsi="Book Antiqua" w:cs="Arial"/>
        </w:rPr>
        <w:t>).</w:t>
      </w:r>
    </w:p>
    <w:p w:rsidR="00CB7C53" w:rsidRDefault="00CB7C53" w:rsidP="00E60865">
      <w:pPr>
        <w:spacing w:before="240"/>
        <w:ind w:left="1134"/>
        <w:jc w:val="both"/>
        <w:rPr>
          <w:rFonts w:ascii="Book Antiqua" w:hAnsi="Book Antiqua" w:cs="Arial"/>
        </w:rPr>
      </w:pPr>
      <w:r>
        <w:rPr>
          <w:rFonts w:ascii="Book Antiqua" w:hAnsi="Book Antiqua" w:cs="Arial"/>
        </w:rPr>
        <w:t>The grounds allege that the Judge’s conclusions concerning the appellant’s medical condition; obstacles to family</w:t>
      </w:r>
      <w:r w:rsidR="00332987">
        <w:rPr>
          <w:rFonts w:ascii="Book Antiqua" w:hAnsi="Book Antiqua" w:cs="Arial"/>
        </w:rPr>
        <w:t xml:space="preserve"> </w:t>
      </w:r>
      <w:r>
        <w:rPr>
          <w:rFonts w:ascii="Book Antiqua" w:hAnsi="Book Antiqua" w:cs="Arial"/>
        </w:rPr>
        <w:t xml:space="preserve">life in Pakistan and the extent of family support in the United Kingdom were not in accordance with the evidence.  To some extent, these grounds amount to no more than a disagreement with the Judge’s findings.  However, I note that the Judge appears to have placed no weight upon the appellant’s presentation at the hearing or the evidence of her family members concerning her health.  Further, he did not appear to have put his credibility concerns about the witnesses’ evidence (set out at para 19) to them for comment before reaching adverse findings.  It is arguable that </w:t>
      </w:r>
      <w:r w:rsidR="00844A1F">
        <w:rPr>
          <w:rFonts w:ascii="Book Antiqua" w:hAnsi="Book Antiqua" w:cs="Arial"/>
        </w:rPr>
        <w:t>t</w:t>
      </w:r>
      <w:r>
        <w:rPr>
          <w:rFonts w:ascii="Book Antiqua" w:hAnsi="Book Antiqua" w:cs="Arial"/>
        </w:rPr>
        <w:t>here may be errors of fact which amount to an arguable error of law.  There is an arguable error of law in the decision.  Permission to appeal is granted.”</w:t>
      </w:r>
    </w:p>
    <w:p w:rsidR="00E60865" w:rsidRDefault="00746A10" w:rsidP="00D371C7">
      <w:pPr>
        <w:numPr>
          <w:ilvl w:val="0"/>
          <w:numId w:val="3"/>
        </w:numPr>
        <w:spacing w:before="240"/>
        <w:jc w:val="both"/>
        <w:rPr>
          <w:rFonts w:ascii="Book Antiqua" w:hAnsi="Book Antiqua" w:cs="Arial"/>
        </w:rPr>
      </w:pPr>
      <w:r>
        <w:rPr>
          <w:rFonts w:ascii="Book Antiqua" w:hAnsi="Book Antiqua" w:cs="Arial"/>
        </w:rPr>
        <w:t>The Secretary of State did not produce a Rule 24 response but indicated that the appeal was resisted.</w:t>
      </w:r>
    </w:p>
    <w:p w:rsidR="00746A10" w:rsidRPr="00746A10" w:rsidRDefault="00746A10" w:rsidP="00746A10">
      <w:pPr>
        <w:spacing w:before="240"/>
        <w:jc w:val="both"/>
        <w:rPr>
          <w:rFonts w:ascii="Book Antiqua" w:hAnsi="Book Antiqua" w:cs="Arial"/>
          <w:b/>
          <w:u w:val="single"/>
        </w:rPr>
      </w:pPr>
      <w:r w:rsidRPr="00746A10">
        <w:rPr>
          <w:rFonts w:ascii="Book Antiqua" w:hAnsi="Book Antiqua" w:cs="Arial"/>
          <w:b/>
          <w:u w:val="single"/>
        </w:rPr>
        <w:t>Error of Law</w:t>
      </w:r>
    </w:p>
    <w:p w:rsidR="00746A10" w:rsidRDefault="00746A10" w:rsidP="00D371C7">
      <w:pPr>
        <w:numPr>
          <w:ilvl w:val="0"/>
          <w:numId w:val="3"/>
        </w:numPr>
        <w:spacing w:before="240"/>
        <w:jc w:val="both"/>
        <w:rPr>
          <w:rFonts w:ascii="Book Antiqua" w:hAnsi="Book Antiqua" w:cs="Arial"/>
        </w:rPr>
      </w:pPr>
      <w:r>
        <w:rPr>
          <w:rFonts w:ascii="Book Antiqua" w:hAnsi="Book Antiqua" w:cs="Arial"/>
        </w:rPr>
        <w:t>At the close of the hearing I indicated that there was an error in respect of Ground 1 alone</w:t>
      </w:r>
      <w:r w:rsidR="001509E4">
        <w:rPr>
          <w:rFonts w:ascii="Book Antiqua" w:hAnsi="Book Antiqua" w:cs="Arial"/>
        </w:rPr>
        <w:t>,</w:t>
      </w:r>
      <w:r>
        <w:rPr>
          <w:rFonts w:ascii="Book Antiqua" w:hAnsi="Book Antiqua" w:cs="Arial"/>
        </w:rPr>
        <w:t xml:space="preserve"> but not in respect of the other</w:t>
      </w:r>
      <w:r w:rsidR="001509E4">
        <w:rPr>
          <w:rFonts w:ascii="Book Antiqua" w:hAnsi="Book Antiqua" w:cs="Arial"/>
        </w:rPr>
        <w:t xml:space="preserve"> ground</w:t>
      </w:r>
      <w:r>
        <w:rPr>
          <w:rFonts w:ascii="Book Antiqua" w:hAnsi="Book Antiqua" w:cs="Arial"/>
        </w:rPr>
        <w:t>s.  I indicated that my reasons would follow</w:t>
      </w:r>
      <w:r w:rsidR="001509E4">
        <w:rPr>
          <w:rFonts w:ascii="Book Antiqua" w:hAnsi="Book Antiqua" w:cs="Arial"/>
        </w:rPr>
        <w:t>,</w:t>
      </w:r>
      <w:r>
        <w:rPr>
          <w:rFonts w:ascii="Book Antiqua" w:hAnsi="Book Antiqua" w:cs="Arial"/>
        </w:rPr>
        <w:t xml:space="preserve"> which I shall now give.</w:t>
      </w:r>
    </w:p>
    <w:p w:rsidR="00746A10" w:rsidRDefault="00746A10" w:rsidP="00D371C7">
      <w:pPr>
        <w:numPr>
          <w:ilvl w:val="0"/>
          <w:numId w:val="3"/>
        </w:numPr>
        <w:spacing w:before="240"/>
        <w:jc w:val="both"/>
        <w:rPr>
          <w:rFonts w:ascii="Book Antiqua" w:hAnsi="Book Antiqua" w:cs="Arial"/>
        </w:rPr>
      </w:pPr>
      <w:r>
        <w:rPr>
          <w:rFonts w:ascii="Book Antiqua" w:hAnsi="Book Antiqua" w:cs="Arial"/>
        </w:rPr>
        <w:t>In respect of the first ground</w:t>
      </w:r>
      <w:r w:rsidR="001509E4">
        <w:rPr>
          <w:rFonts w:ascii="Book Antiqua" w:hAnsi="Book Antiqua" w:cs="Arial"/>
        </w:rPr>
        <w:t>,</w:t>
      </w:r>
      <w:r>
        <w:rPr>
          <w:rFonts w:ascii="Book Antiqua" w:hAnsi="Book Antiqua" w:cs="Arial"/>
        </w:rPr>
        <w:t xml:space="preserve"> i</w:t>
      </w:r>
      <w:r w:rsidR="0064475E">
        <w:rPr>
          <w:rFonts w:ascii="Book Antiqua" w:hAnsi="Book Antiqua" w:cs="Arial"/>
        </w:rPr>
        <w:t>n summary</w:t>
      </w:r>
      <w:r w:rsidR="001509E4">
        <w:rPr>
          <w:rFonts w:ascii="Book Antiqua" w:hAnsi="Book Antiqua" w:cs="Arial"/>
        </w:rPr>
        <w:t>,</w:t>
      </w:r>
      <w:r w:rsidR="0064475E">
        <w:rPr>
          <w:rFonts w:ascii="Book Antiqua" w:hAnsi="Book Antiqua" w:cs="Arial"/>
        </w:rPr>
        <w:t xml:space="preserve"> the challenge to the j</w:t>
      </w:r>
      <w:r>
        <w:rPr>
          <w:rFonts w:ascii="Book Antiqua" w:hAnsi="Book Antiqua" w:cs="Arial"/>
        </w:rPr>
        <w:t>udge’s decision is that his assessment of whether paragraph 196A of the Immigration Rules was or was not met is materially flawed.  At paragraph 28 of the judge’s decision the judge states as follows in respect of the assessment of paragraph 196A:</w:t>
      </w:r>
    </w:p>
    <w:p w:rsidR="00746A10" w:rsidRDefault="00746A10" w:rsidP="00746A10">
      <w:pPr>
        <w:spacing w:before="240"/>
        <w:ind w:left="1134"/>
        <w:jc w:val="both"/>
        <w:rPr>
          <w:rFonts w:ascii="Book Antiqua" w:hAnsi="Book Antiqua" w:cs="Arial"/>
        </w:rPr>
      </w:pPr>
      <w:r>
        <w:rPr>
          <w:rFonts w:ascii="Book Antiqua" w:hAnsi="Book Antiqua" w:cs="Arial"/>
        </w:rPr>
        <w:t>“</w:t>
      </w:r>
      <w:r w:rsidR="00B8762A">
        <w:rPr>
          <w:rFonts w:ascii="Book Antiqua" w:hAnsi="Book Antiqua" w:cs="Arial"/>
        </w:rPr>
        <w:t xml:space="preserve">Mr </w:t>
      </w:r>
      <w:proofErr w:type="spellStart"/>
      <w:r w:rsidR="00B8762A">
        <w:rPr>
          <w:rFonts w:ascii="Book Antiqua" w:hAnsi="Book Antiqua" w:cs="Arial"/>
        </w:rPr>
        <w:t>Alam</w:t>
      </w:r>
      <w:proofErr w:type="spellEnd"/>
      <w:r>
        <w:rPr>
          <w:rFonts w:ascii="Book Antiqua" w:hAnsi="Book Antiqua" w:cs="Arial"/>
        </w:rPr>
        <w:t xml:space="preserve"> submitted the Rules were met on two counts.  Firstly, because under paragraph 196A, there is no requirement for an English language qualification in respect of the Appellant’s application.  I do not accept that submission since </w:t>
      </w:r>
      <w:r>
        <w:rPr>
          <w:rFonts w:ascii="Book Antiqua" w:hAnsi="Book Antiqua" w:cs="Arial"/>
        </w:rPr>
        <w:lastRenderedPageBreak/>
        <w:t>paragraph 196A only relates to applications for an extension of stay as a partner and the Appellant’s application was for indefinite leave to remain.  There is a significant difference and paragraph 196A is not applicable to this appeal.  It remains the case that paragraph 196D(iii) requires an applicant to demonstrate sufficient knowledge of the English language and sufficient knowledge about life in the UK.”</w:t>
      </w:r>
    </w:p>
    <w:p w:rsidR="006622E0" w:rsidRDefault="00746A10" w:rsidP="00D371C7">
      <w:pPr>
        <w:numPr>
          <w:ilvl w:val="0"/>
          <w:numId w:val="3"/>
        </w:numPr>
        <w:spacing w:before="240"/>
        <w:jc w:val="both"/>
        <w:rPr>
          <w:rFonts w:ascii="Book Antiqua" w:hAnsi="Book Antiqua" w:cs="Arial"/>
        </w:rPr>
      </w:pPr>
      <w:r>
        <w:rPr>
          <w:rFonts w:ascii="Book Antiqua" w:hAnsi="Book Antiqua" w:cs="Arial"/>
        </w:rPr>
        <w:t>In my view the judge was quite right to observe that paragraph 196D(iii) does require an English language certificate however, as also noted in the grant of permission by Judge Parker, the requirements of paragraph 196A may be subsumed within paragraph 196D in that paragraph 196A holds similar requirements to that for settlement</w:t>
      </w:r>
      <w:r w:rsidR="001509E4">
        <w:rPr>
          <w:rFonts w:ascii="Book Antiqua" w:hAnsi="Book Antiqua" w:cs="Arial"/>
        </w:rPr>
        <w:t>,</w:t>
      </w:r>
      <w:r>
        <w:rPr>
          <w:rFonts w:ascii="Book Antiqua" w:hAnsi="Book Antiqua" w:cs="Arial"/>
        </w:rPr>
        <w:t xml:space="preserve"> but as it is a mere </w:t>
      </w:r>
      <w:r w:rsidR="001509E4">
        <w:rPr>
          <w:rFonts w:ascii="Book Antiqua" w:hAnsi="Book Antiqua" w:cs="Arial"/>
        </w:rPr>
        <w:t>‘</w:t>
      </w:r>
      <w:r>
        <w:rPr>
          <w:rFonts w:ascii="Book Antiqua" w:hAnsi="Book Antiqua" w:cs="Arial"/>
        </w:rPr>
        <w:t>extension</w:t>
      </w:r>
      <w:r w:rsidR="001509E4">
        <w:rPr>
          <w:rFonts w:ascii="Book Antiqua" w:hAnsi="Book Antiqua" w:cs="Arial"/>
        </w:rPr>
        <w:t>’</w:t>
      </w:r>
      <w:r>
        <w:rPr>
          <w:rFonts w:ascii="Book Antiqua" w:hAnsi="Book Antiqua" w:cs="Arial"/>
        </w:rPr>
        <w:t xml:space="preserve"> of leave and not </w:t>
      </w:r>
      <w:r w:rsidR="001509E4">
        <w:rPr>
          <w:rFonts w:ascii="Book Antiqua" w:hAnsi="Book Antiqua" w:cs="Arial"/>
        </w:rPr>
        <w:t>‘</w:t>
      </w:r>
      <w:r>
        <w:rPr>
          <w:rFonts w:ascii="Book Antiqua" w:hAnsi="Book Antiqua" w:cs="Arial"/>
        </w:rPr>
        <w:t>settlement</w:t>
      </w:r>
      <w:r w:rsidR="001509E4">
        <w:rPr>
          <w:rFonts w:ascii="Book Antiqua" w:hAnsi="Book Antiqua" w:cs="Arial"/>
        </w:rPr>
        <w:t>’,</w:t>
      </w:r>
      <w:r>
        <w:rPr>
          <w:rFonts w:ascii="Book Antiqua" w:hAnsi="Book Antiqua" w:cs="Arial"/>
        </w:rPr>
        <w:t xml:space="preserve"> the key distinction is that for a grant of an extension of leave one does </w:t>
      </w:r>
      <w:r w:rsidRPr="001509E4">
        <w:rPr>
          <w:rFonts w:ascii="Book Antiqua" w:hAnsi="Book Antiqua" w:cs="Arial"/>
          <w:i/>
        </w:rPr>
        <w:t>not</w:t>
      </w:r>
      <w:r>
        <w:rPr>
          <w:rFonts w:ascii="Book Antiqua" w:hAnsi="Book Antiqua" w:cs="Arial"/>
        </w:rPr>
        <w:t xml:space="preserve"> require an English language certificate as this requirement </w:t>
      </w:r>
      <w:r w:rsidR="001509E4">
        <w:rPr>
          <w:rFonts w:ascii="Book Antiqua" w:hAnsi="Book Antiqua" w:cs="Arial"/>
        </w:rPr>
        <w:t xml:space="preserve">is only present </w:t>
      </w:r>
      <w:r>
        <w:rPr>
          <w:rFonts w:ascii="Book Antiqua" w:hAnsi="Book Antiqua" w:cs="Arial"/>
        </w:rPr>
        <w:t>when</w:t>
      </w:r>
      <w:r w:rsidR="0043033E">
        <w:rPr>
          <w:rFonts w:ascii="Book Antiqua" w:hAnsi="Book Antiqua" w:cs="Arial"/>
        </w:rPr>
        <w:t xml:space="preserve"> </w:t>
      </w:r>
      <w:r>
        <w:rPr>
          <w:rFonts w:ascii="Book Antiqua" w:hAnsi="Book Antiqua" w:cs="Arial"/>
        </w:rPr>
        <w:t xml:space="preserve">one </w:t>
      </w:r>
      <w:r w:rsidR="001509E4">
        <w:rPr>
          <w:rFonts w:ascii="Book Antiqua" w:hAnsi="Book Antiqua" w:cs="Arial"/>
        </w:rPr>
        <w:t xml:space="preserve">finally </w:t>
      </w:r>
      <w:r>
        <w:rPr>
          <w:rFonts w:ascii="Book Antiqua" w:hAnsi="Book Antiqua" w:cs="Arial"/>
        </w:rPr>
        <w:t xml:space="preserve">applies for settlement in the United Kingdom.  </w:t>
      </w:r>
      <w:r w:rsidR="001509E4">
        <w:rPr>
          <w:rFonts w:ascii="Book Antiqua" w:hAnsi="Book Antiqua" w:cs="Arial"/>
        </w:rPr>
        <w:t>I pause to observe that the grounds of appeal against the indexed decision to the First-tier Tribunal do not include a challenge on the basis that 196A of the</w:t>
      </w:r>
      <w:r w:rsidR="00ED0FA9">
        <w:rPr>
          <w:rFonts w:ascii="Book Antiqua" w:hAnsi="Book Antiqua" w:cs="Arial"/>
        </w:rPr>
        <w:t xml:space="preserve"> Immigration Rules has been met</w:t>
      </w:r>
      <w:r w:rsidR="001509E4">
        <w:rPr>
          <w:rFonts w:ascii="Book Antiqua" w:hAnsi="Book Antiqua" w:cs="Arial"/>
        </w:rPr>
        <w:t xml:space="preserve">.  </w:t>
      </w:r>
      <w:r w:rsidR="006622E0">
        <w:rPr>
          <w:rFonts w:ascii="Book Antiqua" w:hAnsi="Book Antiqua" w:cs="Arial"/>
        </w:rPr>
        <w:t xml:space="preserve">However, </w:t>
      </w:r>
      <w:r>
        <w:rPr>
          <w:rFonts w:ascii="Book Antiqua" w:hAnsi="Book Antiqua" w:cs="Arial"/>
        </w:rPr>
        <w:t xml:space="preserve">at some point subsequent </w:t>
      </w:r>
      <w:r w:rsidR="001509E4">
        <w:rPr>
          <w:rFonts w:ascii="Book Antiqua" w:hAnsi="Book Antiqua" w:cs="Arial"/>
        </w:rPr>
        <w:t>to the bringing of this appeal</w:t>
      </w:r>
      <w:r w:rsidR="00EF243C">
        <w:rPr>
          <w:rFonts w:ascii="Book Antiqua" w:hAnsi="Book Antiqua" w:cs="Arial"/>
        </w:rPr>
        <w:t xml:space="preserve">, </w:t>
      </w:r>
      <w:r w:rsidR="006622E0">
        <w:rPr>
          <w:rFonts w:ascii="Book Antiqua" w:hAnsi="Book Antiqua" w:cs="Arial"/>
        </w:rPr>
        <w:t xml:space="preserve">the point would have been raised </w:t>
      </w:r>
      <w:r w:rsidR="00EF243C">
        <w:rPr>
          <w:rFonts w:ascii="Book Antiqua" w:hAnsi="Book Antiqua" w:cs="Arial"/>
        </w:rPr>
        <w:t>by the Appellant’s representatives</w:t>
      </w:r>
      <w:r w:rsidR="006622E0">
        <w:rPr>
          <w:rFonts w:ascii="Book Antiqua" w:hAnsi="Book Antiqua" w:cs="Arial"/>
        </w:rPr>
        <w:t xml:space="preserve"> in advance of or </w:t>
      </w:r>
      <w:r w:rsidR="00EF243C">
        <w:rPr>
          <w:rFonts w:ascii="Book Antiqua" w:hAnsi="Book Antiqua" w:cs="Arial"/>
        </w:rPr>
        <w:t xml:space="preserve">during the hearing </w:t>
      </w:r>
      <w:r w:rsidR="006622E0">
        <w:rPr>
          <w:rFonts w:ascii="Book Antiqua" w:hAnsi="Book Antiqua" w:cs="Arial"/>
        </w:rPr>
        <w:t xml:space="preserve">as it </w:t>
      </w:r>
      <w:r w:rsidR="00EF243C">
        <w:rPr>
          <w:rFonts w:ascii="Book Antiqua" w:hAnsi="Book Antiqua" w:cs="Arial"/>
        </w:rPr>
        <w:t xml:space="preserve">is clearly identified at paragraph 25 of the decision at least.  </w:t>
      </w:r>
      <w:r w:rsidR="006622E0">
        <w:rPr>
          <w:rFonts w:ascii="Book Antiqua" w:hAnsi="Book Antiqua" w:cs="Arial"/>
        </w:rPr>
        <w:t xml:space="preserve">Notwithstanding that this was an application for settlement by the Appellant, </w:t>
      </w:r>
      <w:r w:rsidR="00EF243C">
        <w:rPr>
          <w:rFonts w:ascii="Book Antiqua" w:hAnsi="Book Antiqua" w:cs="Arial"/>
        </w:rPr>
        <w:t>I asked Ms Kenney specifically if there was any indication that the Presenting Officer at the appeal below objected to the Appellant a</w:t>
      </w:r>
      <w:r w:rsidR="008C363B">
        <w:rPr>
          <w:rFonts w:ascii="Book Antiqua" w:hAnsi="Book Antiqua" w:cs="Arial"/>
        </w:rPr>
        <w:t>ppealing on the basis of her meet</w:t>
      </w:r>
      <w:r w:rsidR="008C357D">
        <w:rPr>
          <w:rFonts w:ascii="Book Antiqua" w:hAnsi="Book Antiqua" w:cs="Arial"/>
        </w:rPr>
        <w:t>ing</w:t>
      </w:r>
      <w:r w:rsidR="00EF243C">
        <w:rPr>
          <w:rFonts w:ascii="Book Antiqua" w:hAnsi="Book Antiqua" w:cs="Arial"/>
        </w:rPr>
        <w:t xml:space="preserve"> paragraph 196A of the Immigration Rules as this would have potentially constituted a new matter under Section 85 of the Nationality, Immigration and Asylum Act 2002 (as amended).  M</w:t>
      </w:r>
      <w:r w:rsidR="006622E0">
        <w:rPr>
          <w:rFonts w:ascii="Book Antiqua" w:hAnsi="Book Antiqua" w:cs="Arial"/>
        </w:rPr>
        <w:t>s</w:t>
      </w:r>
      <w:r w:rsidR="00EF243C">
        <w:rPr>
          <w:rFonts w:ascii="Book Antiqua" w:hAnsi="Book Antiqua" w:cs="Arial"/>
        </w:rPr>
        <w:t xml:space="preserve"> Kenney indicated that there was no indication as far as she could see of any objection to this new matter being taken by the Secretary of S</w:t>
      </w:r>
      <w:r w:rsidR="006622E0">
        <w:rPr>
          <w:rFonts w:ascii="Book Antiqua" w:hAnsi="Book Antiqua" w:cs="Arial"/>
        </w:rPr>
        <w:t>tate at the First-tier Tribunal.</w:t>
      </w:r>
      <w:r w:rsidR="00EF243C">
        <w:rPr>
          <w:rFonts w:ascii="Book Antiqua" w:hAnsi="Book Antiqua" w:cs="Arial"/>
        </w:rPr>
        <w:t xml:space="preserve"> </w:t>
      </w:r>
      <w:r w:rsidR="006622E0">
        <w:rPr>
          <w:rFonts w:ascii="Book Antiqua" w:hAnsi="Book Antiqua" w:cs="Arial"/>
        </w:rPr>
        <w:t xml:space="preserve"> In any event, in my view this wa</w:t>
      </w:r>
      <w:r w:rsidR="00EF243C">
        <w:rPr>
          <w:rFonts w:ascii="Book Antiqua" w:hAnsi="Book Antiqua" w:cs="Arial"/>
        </w:rPr>
        <w:t xml:space="preserve">s a new matter </w:t>
      </w:r>
      <w:r w:rsidR="00AA3005">
        <w:rPr>
          <w:rFonts w:ascii="Book Antiqua" w:hAnsi="Book Antiqua" w:cs="Arial"/>
        </w:rPr>
        <w:t xml:space="preserve">which the Tribunal should have considered given that the Secretary of State did not indicate any objection to the First-tier Tribunal doing so.  </w:t>
      </w:r>
    </w:p>
    <w:p w:rsidR="00746A10" w:rsidRDefault="006622E0" w:rsidP="00D371C7">
      <w:pPr>
        <w:numPr>
          <w:ilvl w:val="0"/>
          <w:numId w:val="3"/>
        </w:numPr>
        <w:spacing w:before="240"/>
        <w:jc w:val="both"/>
        <w:rPr>
          <w:rFonts w:ascii="Book Antiqua" w:hAnsi="Book Antiqua" w:cs="Arial"/>
        </w:rPr>
      </w:pPr>
      <w:r>
        <w:rPr>
          <w:rFonts w:ascii="Book Antiqua" w:hAnsi="Book Antiqua" w:cs="Arial"/>
        </w:rPr>
        <w:t>Turning to the judge’s reasoning, t</w:t>
      </w:r>
      <w:r w:rsidR="00AA3005">
        <w:rPr>
          <w:rFonts w:ascii="Book Antiqua" w:hAnsi="Book Antiqua" w:cs="Arial"/>
        </w:rPr>
        <w:t>he only reason given for not considering this matter is because it was not raised in the application for settle</w:t>
      </w:r>
      <w:r w:rsidR="004B56B7">
        <w:rPr>
          <w:rFonts w:ascii="Book Antiqua" w:hAnsi="Book Antiqua" w:cs="Arial"/>
        </w:rPr>
        <w:t>ment</w:t>
      </w:r>
      <w:r>
        <w:rPr>
          <w:rFonts w:ascii="Book Antiqua" w:hAnsi="Book Antiqua" w:cs="Arial"/>
        </w:rPr>
        <w:t xml:space="preserve"> itself.  </w:t>
      </w:r>
      <w:proofErr w:type="gramStart"/>
      <w:r>
        <w:rPr>
          <w:rFonts w:ascii="Book Antiqua" w:hAnsi="Book Antiqua" w:cs="Arial"/>
        </w:rPr>
        <w:t>H</w:t>
      </w:r>
      <w:r w:rsidR="004B56B7">
        <w:rPr>
          <w:rFonts w:ascii="Book Antiqua" w:hAnsi="Book Antiqua" w:cs="Arial"/>
        </w:rPr>
        <w:t>owever</w:t>
      </w:r>
      <w:proofErr w:type="gramEnd"/>
      <w:r w:rsidR="004B56B7">
        <w:rPr>
          <w:rFonts w:ascii="Book Antiqua" w:hAnsi="Book Antiqua" w:cs="Arial"/>
        </w:rPr>
        <w:t xml:space="preserve"> </w:t>
      </w:r>
      <w:r w:rsidR="00AA3005">
        <w:rPr>
          <w:rFonts w:ascii="Book Antiqua" w:hAnsi="Book Antiqua" w:cs="Arial"/>
        </w:rPr>
        <w:t>the basis of the application does not confine the basis upon which the Appellant can bring or pursue an appeal, and it is trite that an Appellant can vary or supplement the basis of their appeal at any point following an indexed decision of the Secretary of State and prior to the close of an appeal before the First-tier Tribunal</w:t>
      </w:r>
      <w:r w:rsidR="00BB6EFB">
        <w:rPr>
          <w:rFonts w:ascii="Book Antiqua" w:hAnsi="Book Antiqua" w:cs="Arial"/>
        </w:rPr>
        <w:t xml:space="preserve">, </w:t>
      </w:r>
      <w:r w:rsidR="00BB6EFB" w:rsidRPr="00BB6EFB">
        <w:rPr>
          <w:rFonts w:ascii="Book Antiqua" w:hAnsi="Book Antiqua" w:cs="Arial"/>
          <w:i/>
        </w:rPr>
        <w:t>inter alia</w:t>
      </w:r>
      <w:r w:rsidR="00BB6EFB">
        <w:rPr>
          <w:rFonts w:ascii="Book Antiqua" w:hAnsi="Book Antiqua" w:cs="Arial"/>
        </w:rPr>
        <w:t xml:space="preserve">, pursuant to section 120 </w:t>
      </w:r>
      <w:r w:rsidR="007C7A7A">
        <w:rPr>
          <w:rFonts w:ascii="Book Antiqua" w:hAnsi="Book Antiqua" w:cs="Arial"/>
        </w:rPr>
        <w:t>of</w:t>
      </w:r>
      <w:r w:rsidR="00BB6EFB">
        <w:rPr>
          <w:rFonts w:ascii="Book Antiqua" w:hAnsi="Book Antiqua" w:cs="Arial"/>
        </w:rPr>
        <w:t xml:space="preserve"> the 2002 Act</w:t>
      </w:r>
      <w:r w:rsidR="00AA3005">
        <w:rPr>
          <w:rFonts w:ascii="Book Antiqua" w:hAnsi="Book Antiqua" w:cs="Arial"/>
        </w:rPr>
        <w:t xml:space="preserve">.  </w:t>
      </w:r>
      <w:proofErr w:type="gramStart"/>
      <w:r w:rsidR="00AA3005">
        <w:rPr>
          <w:rFonts w:ascii="Book Antiqua" w:hAnsi="Book Antiqua" w:cs="Arial"/>
        </w:rPr>
        <w:t>Thus</w:t>
      </w:r>
      <w:proofErr w:type="gramEnd"/>
      <w:r w:rsidR="00AA3005">
        <w:rPr>
          <w:rFonts w:ascii="Book Antiqua" w:hAnsi="Book Antiqua" w:cs="Arial"/>
        </w:rPr>
        <w:t xml:space="preserve"> in my view this ground does reveal a material error of law in respect of paragraph 28 of the First-tier Tribunal Judge’s decision in respect of any consequent Article 8 analysis that may have followed based upon that same assessment (although none is apparent as the judge appears to have been exercised by 196D(iii) of the Immigration Rules as the primary matter before him).  </w:t>
      </w:r>
    </w:p>
    <w:p w:rsidR="00BB6EFB" w:rsidRDefault="0043033E" w:rsidP="00D371C7">
      <w:pPr>
        <w:numPr>
          <w:ilvl w:val="0"/>
          <w:numId w:val="3"/>
        </w:numPr>
        <w:spacing w:before="240"/>
        <w:jc w:val="both"/>
        <w:rPr>
          <w:rFonts w:ascii="Book Antiqua" w:hAnsi="Book Antiqua" w:cs="Arial"/>
        </w:rPr>
      </w:pPr>
      <w:r>
        <w:rPr>
          <w:rFonts w:ascii="Book Antiqua" w:hAnsi="Book Antiqua" w:cs="Arial"/>
        </w:rPr>
        <w:t>Turning to the remaining groun</w:t>
      </w:r>
      <w:r w:rsidR="00BB6EFB">
        <w:rPr>
          <w:rFonts w:ascii="Book Antiqua" w:hAnsi="Book Antiqua" w:cs="Arial"/>
        </w:rPr>
        <w:t>ds,</w:t>
      </w:r>
      <w:r>
        <w:rPr>
          <w:rFonts w:ascii="Book Antiqua" w:hAnsi="Book Antiqua" w:cs="Arial"/>
        </w:rPr>
        <w:t xml:space="preserve"> Grounds 2 and 3 </w:t>
      </w:r>
      <w:r w:rsidR="00AB08A8">
        <w:rPr>
          <w:rFonts w:ascii="Book Antiqua" w:hAnsi="Book Antiqua" w:cs="Arial"/>
        </w:rPr>
        <w:t xml:space="preserve">firstly </w:t>
      </w:r>
      <w:r>
        <w:rPr>
          <w:rFonts w:ascii="Book Antiqua" w:hAnsi="Book Antiqua" w:cs="Arial"/>
        </w:rPr>
        <w:t xml:space="preserve">concern the judge’s consideration of the medical evidence before him particularly in relation to whether the judge should have given more weight to the letter from the Appellant’s GP concerning her depression and memory impairment.  </w:t>
      </w:r>
    </w:p>
    <w:p w:rsidR="00BB6EFB" w:rsidRDefault="006F2E4C" w:rsidP="00D371C7">
      <w:pPr>
        <w:numPr>
          <w:ilvl w:val="0"/>
          <w:numId w:val="3"/>
        </w:numPr>
        <w:spacing w:before="240"/>
        <w:jc w:val="both"/>
        <w:rPr>
          <w:rFonts w:ascii="Book Antiqua" w:hAnsi="Book Antiqua" w:cs="Arial"/>
        </w:rPr>
      </w:pPr>
      <w:r>
        <w:rPr>
          <w:rFonts w:ascii="Book Antiqua" w:hAnsi="Book Antiqua" w:cs="Arial"/>
        </w:rPr>
        <w:lastRenderedPageBreak/>
        <w:t xml:space="preserve">In respect of </w:t>
      </w:r>
      <w:r w:rsidR="00BB6EFB">
        <w:rPr>
          <w:rFonts w:ascii="Book Antiqua" w:hAnsi="Book Antiqua" w:cs="Arial"/>
        </w:rPr>
        <w:t>G</w:t>
      </w:r>
      <w:r>
        <w:rPr>
          <w:rFonts w:ascii="Book Antiqua" w:hAnsi="Book Antiqua" w:cs="Arial"/>
        </w:rPr>
        <w:t xml:space="preserve">round </w:t>
      </w:r>
      <w:r w:rsidR="00BB6EFB">
        <w:rPr>
          <w:rFonts w:ascii="Book Antiqua" w:hAnsi="Book Antiqua" w:cs="Arial"/>
        </w:rPr>
        <w:t xml:space="preserve">2, </w:t>
      </w:r>
      <w:r>
        <w:rPr>
          <w:rFonts w:ascii="Book Antiqua" w:hAnsi="Book Antiqua" w:cs="Arial"/>
        </w:rPr>
        <w:t xml:space="preserve">in my view the judge </w:t>
      </w:r>
      <w:r w:rsidR="0043033E">
        <w:rPr>
          <w:rFonts w:ascii="Book Antiqua" w:hAnsi="Book Antiqua" w:cs="Arial"/>
        </w:rPr>
        <w:t xml:space="preserve">gave due attention to this evidence at paragraph 32 and paragraph 35 of his decision and it is unfortunate that the Appellant had not obtained a </w:t>
      </w:r>
      <w:r w:rsidR="0043033E" w:rsidRPr="00BB6EFB">
        <w:rPr>
          <w:rFonts w:ascii="Book Antiqua" w:hAnsi="Book Antiqua" w:cs="Arial"/>
          <w:i/>
        </w:rPr>
        <w:t xml:space="preserve">specialist </w:t>
      </w:r>
      <w:r w:rsidR="0043033E">
        <w:rPr>
          <w:rFonts w:ascii="Book Antiqua" w:hAnsi="Book Antiqua" w:cs="Arial"/>
        </w:rPr>
        <w:t xml:space="preserve">report regarding her ability to take the English language test and did </w:t>
      </w:r>
      <w:r w:rsidR="0043033E" w:rsidRPr="00BB6EFB">
        <w:rPr>
          <w:rFonts w:ascii="Book Antiqua" w:hAnsi="Book Antiqua" w:cs="Arial"/>
          <w:i/>
        </w:rPr>
        <w:t>not</w:t>
      </w:r>
      <w:r w:rsidR="0043033E">
        <w:rPr>
          <w:rFonts w:ascii="Book Antiqua" w:hAnsi="Book Antiqua" w:cs="Arial"/>
        </w:rPr>
        <w:t xml:space="preserve"> have any letter from her follow up with a memory clinic either.  </w:t>
      </w:r>
      <w:proofErr w:type="gramStart"/>
      <w:r w:rsidR="0043033E">
        <w:rPr>
          <w:rFonts w:ascii="Book Antiqua" w:hAnsi="Book Antiqua" w:cs="Arial"/>
        </w:rPr>
        <w:t>Consequently</w:t>
      </w:r>
      <w:proofErr w:type="gramEnd"/>
      <w:r w:rsidR="0043033E">
        <w:rPr>
          <w:rFonts w:ascii="Book Antiqua" w:hAnsi="Book Antiqua" w:cs="Arial"/>
        </w:rPr>
        <w:t xml:space="preserve"> there was a finite amount of weight that the judge could place upon the GP’s letter and I do not find that there is any material error of law in respect of that assessment.  </w:t>
      </w:r>
    </w:p>
    <w:p w:rsidR="00AB08A8" w:rsidRDefault="0043033E" w:rsidP="00BB6EFB">
      <w:pPr>
        <w:numPr>
          <w:ilvl w:val="0"/>
          <w:numId w:val="3"/>
        </w:numPr>
        <w:spacing w:before="240"/>
        <w:jc w:val="both"/>
        <w:rPr>
          <w:rFonts w:ascii="Book Antiqua" w:hAnsi="Book Antiqua" w:cs="Arial"/>
        </w:rPr>
      </w:pPr>
      <w:r w:rsidRPr="00BB6EFB">
        <w:rPr>
          <w:rFonts w:ascii="Book Antiqua" w:hAnsi="Book Antiqua" w:cs="Arial"/>
        </w:rPr>
        <w:t>In respect</w:t>
      </w:r>
      <w:r w:rsidR="00E531AD" w:rsidRPr="00BB6EFB">
        <w:rPr>
          <w:rFonts w:ascii="Book Antiqua" w:hAnsi="Book Antiqua" w:cs="Arial"/>
        </w:rPr>
        <w:t xml:space="preserve"> of Ground 3 </w:t>
      </w:r>
      <w:r w:rsidRPr="00BB6EFB">
        <w:rPr>
          <w:rFonts w:ascii="Book Antiqua" w:hAnsi="Book Antiqua" w:cs="Arial"/>
        </w:rPr>
        <w:t>the ground argues in a few sentences that the judge did not properly assess the insurmountable obstacles which ma</w:t>
      </w:r>
      <w:r w:rsidR="00B8762A" w:rsidRPr="00BB6EFB">
        <w:rPr>
          <w:rFonts w:ascii="Book Antiqua" w:hAnsi="Book Antiqua" w:cs="Arial"/>
        </w:rPr>
        <w:t xml:space="preserve">y exist in the Appellant’s appeal.  In my view this ground does not hold any weight given that the judge has adequately considered these matters at paragraph 3 and 38 of his decision and I cannot see any inadequacy in the judge’s reasons in those paragraphs.  </w:t>
      </w:r>
    </w:p>
    <w:p w:rsidR="0043033E" w:rsidRPr="00BB6EFB" w:rsidRDefault="00B8762A" w:rsidP="00BB6EFB">
      <w:pPr>
        <w:numPr>
          <w:ilvl w:val="0"/>
          <w:numId w:val="3"/>
        </w:numPr>
        <w:spacing w:before="240"/>
        <w:jc w:val="both"/>
        <w:rPr>
          <w:rFonts w:ascii="Book Antiqua" w:hAnsi="Book Antiqua" w:cs="Arial"/>
        </w:rPr>
      </w:pPr>
      <w:r w:rsidRPr="00BB6EFB">
        <w:rPr>
          <w:rFonts w:ascii="Book Antiqua" w:hAnsi="Book Antiqua" w:cs="Arial"/>
        </w:rPr>
        <w:t>Turning finally to Ground 4 the Appellant complains that the judge’</w:t>
      </w:r>
      <w:r w:rsidR="004748D8" w:rsidRPr="00BB6EFB">
        <w:rPr>
          <w:rFonts w:ascii="Book Antiqua" w:hAnsi="Book Antiqua" w:cs="Arial"/>
        </w:rPr>
        <w:t xml:space="preserve">s finding at paragraph 42 that </w:t>
      </w:r>
      <w:r w:rsidRPr="00BB6EFB">
        <w:rPr>
          <w:rFonts w:ascii="Book Antiqua" w:hAnsi="Book Antiqua" w:cs="Arial"/>
        </w:rPr>
        <w:t xml:space="preserve">there are no </w:t>
      </w:r>
      <w:r w:rsidR="004748D8" w:rsidRPr="00BB6EFB">
        <w:rPr>
          <w:rFonts w:ascii="Book Antiqua" w:hAnsi="Book Antiqua" w:cs="Arial"/>
        </w:rPr>
        <w:t>“</w:t>
      </w:r>
      <w:r w:rsidRPr="00BB6EFB">
        <w:rPr>
          <w:rFonts w:ascii="Book Antiqua" w:hAnsi="Book Antiqua" w:cs="Arial"/>
        </w:rPr>
        <w:t xml:space="preserve">exceptional circumstances” in order to consider the matter outside of Article 8 is contrary to the Supreme Court authority of </w:t>
      </w:r>
      <w:r w:rsidR="00C60202">
        <w:rPr>
          <w:rFonts w:ascii="Book Antiqua" w:hAnsi="Book Antiqua" w:cs="Arial"/>
          <w:i/>
        </w:rPr>
        <w:t>R, (on the a</w:t>
      </w:r>
      <w:r w:rsidRPr="00BB6EFB">
        <w:rPr>
          <w:rFonts w:ascii="Book Antiqua" w:hAnsi="Book Antiqua" w:cs="Arial"/>
          <w:i/>
        </w:rPr>
        <w:t>pplication</w:t>
      </w:r>
      <w:r w:rsidR="00C60202">
        <w:rPr>
          <w:rFonts w:ascii="Book Antiqua" w:hAnsi="Book Antiqua" w:cs="Arial"/>
          <w:i/>
        </w:rPr>
        <w:t>s</w:t>
      </w:r>
      <w:r w:rsidRPr="00BB6EFB">
        <w:rPr>
          <w:rFonts w:ascii="Book Antiqua" w:hAnsi="Book Antiqua" w:cs="Arial"/>
          <w:i/>
        </w:rPr>
        <w:t xml:space="preserve"> of</w:t>
      </w:r>
      <w:r w:rsidRPr="00BB6EFB">
        <w:rPr>
          <w:rFonts w:ascii="Book Antiqua" w:hAnsi="Book Antiqua" w:cs="Arial"/>
        </w:rPr>
        <w:t xml:space="preserve"> </w:t>
      </w:r>
      <w:proofErr w:type="spellStart"/>
      <w:r w:rsidRPr="00BB6EFB">
        <w:rPr>
          <w:rFonts w:ascii="Book Antiqua" w:hAnsi="Book Antiqua" w:cs="Arial"/>
          <w:i/>
        </w:rPr>
        <w:t>Agyarko</w:t>
      </w:r>
      <w:proofErr w:type="spellEnd"/>
      <w:r w:rsidR="00C60202">
        <w:rPr>
          <w:rFonts w:ascii="Book Antiqua" w:hAnsi="Book Antiqua" w:cs="Arial"/>
          <w:i/>
        </w:rPr>
        <w:t xml:space="preserve"> &amp; </w:t>
      </w:r>
      <w:proofErr w:type="spellStart"/>
      <w:r w:rsidR="00C60202">
        <w:rPr>
          <w:rFonts w:ascii="Book Antiqua" w:hAnsi="Book Antiqua" w:cs="Arial"/>
          <w:i/>
        </w:rPr>
        <w:t>Ikuga</w:t>
      </w:r>
      <w:proofErr w:type="spellEnd"/>
      <w:r w:rsidR="00C60202">
        <w:rPr>
          <w:rFonts w:ascii="Book Antiqua" w:hAnsi="Book Antiqua" w:cs="Arial"/>
          <w:i/>
        </w:rPr>
        <w:t>)</w:t>
      </w:r>
      <w:r w:rsidRPr="00BB6EFB">
        <w:rPr>
          <w:rFonts w:ascii="Book Antiqua" w:hAnsi="Book Antiqua" w:cs="Arial"/>
          <w:i/>
        </w:rPr>
        <w:t xml:space="preserve"> v Secretary of State for the Home Department</w:t>
      </w:r>
      <w:r w:rsidRPr="00BB6EFB">
        <w:rPr>
          <w:rFonts w:ascii="Book Antiqua" w:hAnsi="Book Antiqua" w:cs="Arial"/>
        </w:rPr>
        <w:t xml:space="preserve"> [2017] UKSC 11.  That complaint is indeed a valid one</w:t>
      </w:r>
      <w:r w:rsidR="00C60202">
        <w:rPr>
          <w:rFonts w:ascii="Book Antiqua" w:hAnsi="Book Antiqua" w:cs="Arial"/>
        </w:rPr>
        <w:t>,</w:t>
      </w:r>
      <w:r w:rsidRPr="00BB6EFB">
        <w:rPr>
          <w:rFonts w:ascii="Book Antiqua" w:hAnsi="Book Antiqua" w:cs="Arial"/>
        </w:rPr>
        <w:t xml:space="preserve"> and given that the decision was promulgated in December 2017 long after the hand down of the judgment in </w:t>
      </w:r>
      <w:proofErr w:type="spellStart"/>
      <w:r w:rsidR="00C60202" w:rsidRPr="00BB6EFB">
        <w:rPr>
          <w:rFonts w:ascii="Book Antiqua" w:hAnsi="Book Antiqua" w:cs="Arial"/>
          <w:i/>
        </w:rPr>
        <w:t>Agyarko</w:t>
      </w:r>
      <w:proofErr w:type="spellEnd"/>
      <w:r w:rsidR="00C60202">
        <w:rPr>
          <w:rFonts w:ascii="Book Antiqua" w:hAnsi="Book Antiqua" w:cs="Arial"/>
          <w:i/>
        </w:rPr>
        <w:t xml:space="preserve"> &amp; </w:t>
      </w:r>
      <w:proofErr w:type="spellStart"/>
      <w:r w:rsidR="00C60202">
        <w:rPr>
          <w:rFonts w:ascii="Book Antiqua" w:hAnsi="Book Antiqua" w:cs="Arial"/>
          <w:i/>
        </w:rPr>
        <w:t>Ikuga</w:t>
      </w:r>
      <w:proofErr w:type="spellEnd"/>
      <w:r w:rsidR="004517A6" w:rsidRPr="00BB6EFB">
        <w:rPr>
          <w:rFonts w:ascii="Book Antiqua" w:hAnsi="Book Antiqua" w:cs="Arial"/>
        </w:rPr>
        <w:t xml:space="preserve"> </w:t>
      </w:r>
      <w:r w:rsidR="00C60202">
        <w:rPr>
          <w:rFonts w:ascii="Book Antiqua" w:hAnsi="Book Antiqua" w:cs="Arial"/>
        </w:rPr>
        <w:t xml:space="preserve">on 22 </w:t>
      </w:r>
      <w:r w:rsidR="004517A6" w:rsidRPr="00BB6EFB">
        <w:rPr>
          <w:rFonts w:ascii="Book Antiqua" w:hAnsi="Book Antiqua" w:cs="Arial"/>
        </w:rPr>
        <w:t xml:space="preserve">February </w:t>
      </w:r>
      <w:r w:rsidR="00C60202">
        <w:rPr>
          <w:rFonts w:ascii="Book Antiqua" w:hAnsi="Book Antiqua" w:cs="Arial"/>
        </w:rPr>
        <w:t>2017,</w:t>
      </w:r>
      <w:r w:rsidR="004517A6" w:rsidRPr="00BB6EFB">
        <w:rPr>
          <w:rFonts w:ascii="Book Antiqua" w:hAnsi="Book Antiqua" w:cs="Arial"/>
        </w:rPr>
        <w:t xml:space="preserve"> I cannot u</w:t>
      </w:r>
      <w:r w:rsidR="00975B23" w:rsidRPr="00BB6EFB">
        <w:rPr>
          <w:rFonts w:ascii="Book Antiqua" w:hAnsi="Book Antiqua" w:cs="Arial"/>
        </w:rPr>
        <w:t>nderstand the judge’s reference</w:t>
      </w:r>
      <w:r w:rsidR="004517A6" w:rsidRPr="00BB6EFB">
        <w:rPr>
          <w:rFonts w:ascii="Book Antiqua" w:hAnsi="Book Antiqua" w:cs="Arial"/>
        </w:rPr>
        <w:t xml:space="preserve"> to </w:t>
      </w:r>
      <w:r w:rsidR="00C60202">
        <w:rPr>
          <w:rFonts w:ascii="Book Antiqua" w:hAnsi="Book Antiqua" w:cs="Arial"/>
        </w:rPr>
        <w:t xml:space="preserve">the need for </w:t>
      </w:r>
      <w:r w:rsidR="004517A6" w:rsidRPr="00BB6EFB">
        <w:rPr>
          <w:rFonts w:ascii="Book Antiqua" w:hAnsi="Book Antiqua" w:cs="Arial"/>
        </w:rPr>
        <w:t>exceptional circumstances “warranting consideration of Article 8 outside the Rules”.  There is no threshold or equivalent parameter before which the First-tier Tribunal should consider matters which are not covered by the Immigration Rules.</w:t>
      </w:r>
      <w:r w:rsidR="00220C35">
        <w:rPr>
          <w:rFonts w:ascii="Book Antiqua" w:hAnsi="Book Antiqua" w:cs="Arial"/>
        </w:rPr>
        <w:t xml:space="preserve">  Indeed, the judgment of </w:t>
      </w:r>
      <w:proofErr w:type="spellStart"/>
      <w:r w:rsidR="00220C35" w:rsidRPr="00BB6EFB">
        <w:rPr>
          <w:rFonts w:ascii="Book Antiqua" w:hAnsi="Book Antiqua" w:cs="Arial"/>
          <w:i/>
        </w:rPr>
        <w:t>Agyarko</w:t>
      </w:r>
      <w:proofErr w:type="spellEnd"/>
      <w:r w:rsidR="00220C35">
        <w:rPr>
          <w:rFonts w:ascii="Book Antiqua" w:hAnsi="Book Antiqua" w:cs="Arial"/>
          <w:i/>
        </w:rPr>
        <w:t xml:space="preserve"> &amp; </w:t>
      </w:r>
      <w:proofErr w:type="spellStart"/>
      <w:r w:rsidR="00220C35">
        <w:rPr>
          <w:rFonts w:ascii="Book Antiqua" w:hAnsi="Book Antiqua" w:cs="Arial"/>
          <w:i/>
        </w:rPr>
        <w:t>Ikuga</w:t>
      </w:r>
      <w:proofErr w:type="spellEnd"/>
      <w:r w:rsidR="00220C35">
        <w:rPr>
          <w:rFonts w:ascii="Book Antiqua" w:hAnsi="Book Antiqua" w:cs="Arial"/>
        </w:rPr>
        <w:t xml:space="preserve"> makes plain that the Secretary of State has decided to granting leave to persons outside the rules pursuant to Article 8 ECHR based upon the presence of exceptional circumstances as she has defined them, however that is not the approach that the Tribunal must take.  </w:t>
      </w:r>
      <w:r w:rsidR="004517A6" w:rsidRPr="00BB6EFB">
        <w:rPr>
          <w:rFonts w:ascii="Book Antiqua" w:hAnsi="Book Antiqua" w:cs="Arial"/>
        </w:rPr>
        <w:t xml:space="preserve">What matters is whether the First-tier Tribunal has made an </w:t>
      </w:r>
      <w:r w:rsidR="004517A6" w:rsidRPr="00220C35">
        <w:rPr>
          <w:rFonts w:ascii="Book Antiqua" w:hAnsi="Book Antiqua" w:cs="Arial"/>
          <w:i/>
        </w:rPr>
        <w:t>independent</w:t>
      </w:r>
      <w:r w:rsidR="004517A6" w:rsidRPr="00BB6EFB">
        <w:rPr>
          <w:rFonts w:ascii="Book Antiqua" w:hAnsi="Book Antiqua" w:cs="Arial"/>
        </w:rPr>
        <w:t xml:space="preserve"> proportionality ass</w:t>
      </w:r>
      <w:r w:rsidR="00220C35">
        <w:rPr>
          <w:rFonts w:ascii="Book Antiqua" w:hAnsi="Book Antiqua" w:cs="Arial"/>
        </w:rPr>
        <w:t>essment applying a ‘fair balance’</w:t>
      </w:r>
      <w:r w:rsidR="004517A6" w:rsidRPr="00BB6EFB">
        <w:rPr>
          <w:rFonts w:ascii="Book Antiqua" w:hAnsi="Book Antiqua" w:cs="Arial"/>
        </w:rPr>
        <w:t xml:space="preserve"> approach pursuant to the House of Lord’s authority of </w:t>
      </w:r>
      <w:r w:rsidR="004517A6" w:rsidRPr="00BB6EFB">
        <w:rPr>
          <w:rFonts w:ascii="Book Antiqua" w:hAnsi="Book Antiqua" w:cs="Arial"/>
          <w:i/>
        </w:rPr>
        <w:t>Huang</w:t>
      </w:r>
      <w:r w:rsidR="004517A6" w:rsidRPr="00BB6EFB">
        <w:rPr>
          <w:rFonts w:ascii="Book Antiqua" w:hAnsi="Book Antiqua" w:cs="Arial"/>
        </w:rPr>
        <w:t xml:space="preserve">.  </w:t>
      </w:r>
      <w:r w:rsidR="00376B61" w:rsidRPr="00BB6EFB">
        <w:rPr>
          <w:rFonts w:ascii="Book Antiqua" w:hAnsi="Book Antiqua" w:cs="Arial"/>
        </w:rPr>
        <w:t>Notwithstanding the above, the offending paragraph of the First-tier Tr</w:t>
      </w:r>
      <w:r w:rsidR="00820CD0" w:rsidRPr="00BB6EFB">
        <w:rPr>
          <w:rFonts w:ascii="Book Antiqua" w:hAnsi="Book Antiqua" w:cs="Arial"/>
        </w:rPr>
        <w:t xml:space="preserve">ibunal Judge’s decision is saved </w:t>
      </w:r>
      <w:r w:rsidR="00376B61" w:rsidRPr="00BB6EFB">
        <w:rPr>
          <w:rFonts w:ascii="Book Antiqua" w:hAnsi="Book Antiqua" w:cs="Arial"/>
        </w:rPr>
        <w:t xml:space="preserve">from materiality of error by virtue of the fact that the First-tier Judge has gone on to consider the </w:t>
      </w:r>
      <w:proofErr w:type="spellStart"/>
      <w:r w:rsidR="00376B61" w:rsidRPr="00BB6EFB">
        <w:rPr>
          <w:rFonts w:ascii="Book Antiqua" w:hAnsi="Book Antiqua" w:cs="Arial"/>
          <w:i/>
        </w:rPr>
        <w:t>Razgar</w:t>
      </w:r>
      <w:proofErr w:type="spellEnd"/>
      <w:r w:rsidR="00376B61" w:rsidRPr="00BB6EFB">
        <w:rPr>
          <w:rFonts w:ascii="Book Antiqua" w:hAnsi="Book Antiqua" w:cs="Arial"/>
        </w:rPr>
        <w:t xml:space="preserve"> proportionality approach </w:t>
      </w:r>
      <w:r w:rsidR="0073293D">
        <w:rPr>
          <w:rFonts w:ascii="Book Antiqua" w:hAnsi="Book Antiqua" w:cs="Arial"/>
        </w:rPr>
        <w:t>(</w:t>
      </w:r>
      <w:r w:rsidR="00376B61" w:rsidRPr="00BB6EFB">
        <w:rPr>
          <w:rFonts w:ascii="Book Antiqua" w:hAnsi="Book Antiqua" w:cs="Arial"/>
        </w:rPr>
        <w:t>in the following paragraph</w:t>
      </w:r>
      <w:r w:rsidR="0073293D">
        <w:rPr>
          <w:rFonts w:ascii="Book Antiqua" w:hAnsi="Book Antiqua" w:cs="Arial"/>
        </w:rPr>
        <w:t>)</w:t>
      </w:r>
      <w:r w:rsidR="00376B61" w:rsidRPr="00BB6EFB">
        <w:rPr>
          <w:rFonts w:ascii="Book Antiqua" w:hAnsi="Book Antiqua" w:cs="Arial"/>
        </w:rPr>
        <w:t xml:space="preserve"> at paragraph 43 of the decision which renders the error immaterial</w:t>
      </w:r>
      <w:r w:rsidR="00220C35">
        <w:rPr>
          <w:rFonts w:ascii="Book Antiqua" w:hAnsi="Book Antiqua" w:cs="Arial"/>
        </w:rPr>
        <w:t>, albeit the paragraph is notably robust</w:t>
      </w:r>
      <w:r w:rsidR="00376B61" w:rsidRPr="00BB6EFB">
        <w:rPr>
          <w:rFonts w:ascii="Book Antiqua" w:hAnsi="Book Antiqua" w:cs="Arial"/>
        </w:rPr>
        <w:t xml:space="preserve">.  </w:t>
      </w:r>
    </w:p>
    <w:p w:rsidR="00376B61" w:rsidRDefault="00376B61" w:rsidP="00D371C7">
      <w:pPr>
        <w:numPr>
          <w:ilvl w:val="0"/>
          <w:numId w:val="3"/>
        </w:numPr>
        <w:spacing w:before="240"/>
        <w:jc w:val="both"/>
        <w:rPr>
          <w:rFonts w:ascii="Book Antiqua" w:hAnsi="Book Antiqua" w:cs="Arial"/>
        </w:rPr>
      </w:pPr>
      <w:r>
        <w:rPr>
          <w:rFonts w:ascii="Book Antiqua" w:hAnsi="Book Antiqua" w:cs="Arial"/>
        </w:rPr>
        <w:t>In light of the above findings</w:t>
      </w:r>
      <w:r w:rsidR="0073293D">
        <w:rPr>
          <w:rFonts w:ascii="Book Antiqua" w:hAnsi="Book Antiqua" w:cs="Arial"/>
        </w:rPr>
        <w:t>,</w:t>
      </w:r>
      <w:r>
        <w:rPr>
          <w:rFonts w:ascii="Book Antiqua" w:hAnsi="Book Antiqua" w:cs="Arial"/>
        </w:rPr>
        <w:t xml:space="preserve"> I set aside paragraph</w:t>
      </w:r>
      <w:r w:rsidR="00CA0931">
        <w:rPr>
          <w:rFonts w:ascii="Book Antiqua" w:hAnsi="Book Antiqua" w:cs="Arial"/>
        </w:rPr>
        <w:t xml:space="preserve"> </w:t>
      </w:r>
      <w:r>
        <w:rPr>
          <w:rFonts w:ascii="Book Antiqua" w:hAnsi="Book Antiqua" w:cs="Arial"/>
        </w:rPr>
        <w:t xml:space="preserve">28 of the First-tier Tribunal Judge’s decision and any consequent findings under Article 8 as being infected by material error to that limited and discrete extent.  </w:t>
      </w:r>
    </w:p>
    <w:p w:rsidR="00376B61" w:rsidRPr="00376B61" w:rsidRDefault="00376B61" w:rsidP="00376B61">
      <w:pPr>
        <w:spacing w:before="240"/>
        <w:jc w:val="both"/>
        <w:rPr>
          <w:rFonts w:ascii="Book Antiqua" w:hAnsi="Book Antiqua" w:cs="Arial"/>
          <w:b/>
          <w:u w:val="single"/>
        </w:rPr>
      </w:pPr>
      <w:r w:rsidRPr="00376B61">
        <w:rPr>
          <w:rFonts w:ascii="Book Antiqua" w:hAnsi="Book Antiqua" w:cs="Arial"/>
          <w:b/>
          <w:u w:val="single"/>
        </w:rPr>
        <w:t>Remaking the Decision</w:t>
      </w:r>
    </w:p>
    <w:p w:rsidR="00376B61" w:rsidRDefault="00376B61" w:rsidP="00D371C7">
      <w:pPr>
        <w:numPr>
          <w:ilvl w:val="0"/>
          <w:numId w:val="3"/>
        </w:numPr>
        <w:spacing w:before="240"/>
        <w:jc w:val="both"/>
        <w:rPr>
          <w:rFonts w:ascii="Book Antiqua" w:hAnsi="Book Antiqua" w:cs="Arial"/>
        </w:rPr>
      </w:pPr>
      <w:r>
        <w:rPr>
          <w:rFonts w:ascii="Book Antiqua" w:hAnsi="Book Antiqua" w:cs="Arial"/>
        </w:rPr>
        <w:t>In light of my decision that there was a material error of law in respect of Ground 1</w:t>
      </w:r>
      <w:r w:rsidR="0073293D">
        <w:rPr>
          <w:rFonts w:ascii="Book Antiqua" w:hAnsi="Book Antiqua" w:cs="Arial"/>
        </w:rPr>
        <w:t>,</w:t>
      </w:r>
      <w:r>
        <w:rPr>
          <w:rFonts w:ascii="Book Antiqua" w:hAnsi="Book Antiqua" w:cs="Arial"/>
        </w:rPr>
        <w:t xml:space="preserve"> as agreed </w:t>
      </w:r>
      <w:r w:rsidR="0073293D">
        <w:rPr>
          <w:rFonts w:ascii="Book Antiqua" w:hAnsi="Book Antiqua" w:cs="Arial"/>
        </w:rPr>
        <w:t xml:space="preserve">by </w:t>
      </w:r>
      <w:r>
        <w:rPr>
          <w:rFonts w:ascii="Book Antiqua" w:hAnsi="Book Antiqua" w:cs="Arial"/>
        </w:rPr>
        <w:t>the parties</w:t>
      </w:r>
      <w:r w:rsidR="0073293D">
        <w:rPr>
          <w:rFonts w:ascii="Book Antiqua" w:hAnsi="Book Antiqua" w:cs="Arial"/>
        </w:rPr>
        <w:t>,</w:t>
      </w:r>
      <w:r>
        <w:rPr>
          <w:rFonts w:ascii="Book Antiqua" w:hAnsi="Book Antiqua" w:cs="Arial"/>
        </w:rPr>
        <w:t xml:space="preserve"> I was equipped with sufficient material and was in a position to go</w:t>
      </w:r>
      <w:r w:rsidR="00841E14">
        <w:rPr>
          <w:rFonts w:ascii="Book Antiqua" w:hAnsi="Book Antiqua" w:cs="Arial"/>
        </w:rPr>
        <w:t xml:space="preserve"> on</w:t>
      </w:r>
      <w:r>
        <w:rPr>
          <w:rFonts w:ascii="Book Antiqua" w:hAnsi="Book Antiqua" w:cs="Arial"/>
        </w:rPr>
        <w:t xml:space="preserve"> and remake the appeal in respect of paragraph 196A of the Immigration Rules, and in respect of Article 8 to that </w:t>
      </w:r>
      <w:r w:rsidR="0073293D">
        <w:rPr>
          <w:rFonts w:ascii="Book Antiqua" w:hAnsi="Book Antiqua" w:cs="Arial"/>
        </w:rPr>
        <w:t xml:space="preserve">limited </w:t>
      </w:r>
      <w:r>
        <w:rPr>
          <w:rFonts w:ascii="Book Antiqua" w:hAnsi="Book Antiqua" w:cs="Arial"/>
        </w:rPr>
        <w:t>extent.</w:t>
      </w:r>
    </w:p>
    <w:p w:rsidR="00376B61" w:rsidRDefault="00376B61" w:rsidP="00D371C7">
      <w:pPr>
        <w:numPr>
          <w:ilvl w:val="0"/>
          <w:numId w:val="3"/>
        </w:numPr>
        <w:spacing w:before="240"/>
        <w:jc w:val="both"/>
        <w:rPr>
          <w:rFonts w:ascii="Book Antiqua" w:hAnsi="Book Antiqua" w:cs="Arial"/>
        </w:rPr>
      </w:pPr>
      <w:r>
        <w:rPr>
          <w:rFonts w:ascii="Book Antiqua" w:hAnsi="Book Antiqua" w:cs="Arial"/>
        </w:rPr>
        <w:t>Paragraph 196A of the Immigration Rules states as follows in relevant part:</w:t>
      </w:r>
    </w:p>
    <w:p w:rsidR="003E7E9E" w:rsidRPr="003E7E9E" w:rsidRDefault="0006575E" w:rsidP="003E7E9E">
      <w:pPr>
        <w:spacing w:before="100" w:beforeAutospacing="1" w:after="100" w:afterAutospacing="1"/>
        <w:ind w:left="1134"/>
        <w:outlineLvl w:val="2"/>
        <w:rPr>
          <w:rFonts w:ascii="Book Antiqua" w:hAnsi="Book Antiqua"/>
          <w:b/>
          <w:bCs/>
        </w:rPr>
      </w:pPr>
      <w:r w:rsidRPr="003E7E9E">
        <w:rPr>
          <w:rFonts w:ascii="Book Antiqua" w:hAnsi="Book Antiqua"/>
          <w:b/>
          <w:bCs/>
        </w:rPr>
        <w:lastRenderedPageBreak/>
        <w:t xml:space="preserve"> </w:t>
      </w:r>
      <w:r w:rsidR="003E7E9E" w:rsidRPr="003E7E9E">
        <w:rPr>
          <w:rFonts w:ascii="Book Antiqua" w:hAnsi="Book Antiqua"/>
          <w:b/>
          <w:bCs/>
        </w:rPr>
        <w:t>“Requirements for extension of stay as the partner of a person who has or has had leave to enter or remain in the United Kingdom under paragraphs 128-193 (but not paragraphs 135I-135K)</w:t>
      </w:r>
    </w:p>
    <w:p w:rsidR="003E7E9E" w:rsidRPr="003E7E9E" w:rsidRDefault="003E7E9E" w:rsidP="003E7E9E">
      <w:pPr>
        <w:spacing w:before="100" w:beforeAutospacing="1" w:after="100" w:afterAutospacing="1"/>
        <w:ind w:left="1134"/>
        <w:rPr>
          <w:rFonts w:ascii="Book Antiqua" w:hAnsi="Book Antiqua"/>
        </w:rPr>
      </w:pPr>
      <w:r w:rsidRPr="003E7E9E">
        <w:rPr>
          <w:rFonts w:ascii="Book Antiqua" w:hAnsi="Book Antiqua"/>
        </w:rPr>
        <w:t xml:space="preserve">196A. The requirements to be met by a person seeking an extension of stay in the United Kingdom as the partner of a person who has or has had leave to enter or remain in the United Kingdom under paragraphs 128-193 (but not paragraphs 135I-135K) are that the applicant: </w:t>
      </w:r>
    </w:p>
    <w:p w:rsidR="003E7E9E" w:rsidRPr="003E7E9E" w:rsidRDefault="003E7E9E" w:rsidP="0016587F">
      <w:pPr>
        <w:numPr>
          <w:ilvl w:val="1"/>
          <w:numId w:val="3"/>
        </w:numPr>
        <w:tabs>
          <w:tab w:val="clear" w:pos="1134"/>
        </w:tabs>
        <w:spacing w:before="100" w:beforeAutospacing="1" w:after="100" w:afterAutospacing="1"/>
        <w:ind w:left="2268" w:hanging="1134"/>
        <w:rPr>
          <w:rFonts w:ascii="Book Antiqua" w:hAnsi="Book Antiqua"/>
        </w:rPr>
      </w:pPr>
      <w:r w:rsidRPr="003E7E9E">
        <w:rPr>
          <w:rFonts w:ascii="Book Antiqua" w:hAnsi="Book Antiqua"/>
        </w:rPr>
        <w:t>(</w:t>
      </w:r>
      <w:proofErr w:type="spellStart"/>
      <w:r w:rsidRPr="003E7E9E">
        <w:rPr>
          <w:rFonts w:ascii="Book Antiqua" w:hAnsi="Book Antiqua"/>
        </w:rPr>
        <w:t>i</w:t>
      </w:r>
      <w:proofErr w:type="spellEnd"/>
      <w:r w:rsidRPr="003E7E9E">
        <w:rPr>
          <w:rFonts w:ascii="Book Antiqua" w:hAnsi="Book Antiqua"/>
        </w:rPr>
        <w:t>)</w:t>
      </w:r>
      <w:r w:rsidR="0016587F">
        <w:rPr>
          <w:rFonts w:ascii="Book Antiqua" w:hAnsi="Book Antiqua"/>
        </w:rPr>
        <w:tab/>
      </w:r>
      <w:r w:rsidRPr="003E7E9E">
        <w:rPr>
          <w:rFonts w:ascii="Book Antiqua" w:hAnsi="Book Antiqua"/>
        </w:rPr>
        <w:t xml:space="preserve">is the spouse, civil partner, unmarried or same sex partner of a person who: </w:t>
      </w:r>
    </w:p>
    <w:p w:rsidR="003E7E9E" w:rsidRPr="003E7E9E" w:rsidRDefault="003E7E9E" w:rsidP="0016587F">
      <w:pPr>
        <w:spacing w:before="100" w:beforeAutospacing="1" w:after="100" w:afterAutospacing="1"/>
        <w:ind w:left="2835" w:hanging="567"/>
        <w:rPr>
          <w:rFonts w:ascii="Book Antiqua" w:hAnsi="Book Antiqua"/>
        </w:rPr>
      </w:pPr>
      <w:r w:rsidRPr="003E7E9E">
        <w:rPr>
          <w:rFonts w:ascii="Book Antiqua" w:hAnsi="Book Antiqua"/>
        </w:rPr>
        <w:t>(1)</w:t>
      </w:r>
      <w:r w:rsidR="0016587F">
        <w:rPr>
          <w:rFonts w:ascii="Book Antiqua" w:hAnsi="Book Antiqua"/>
        </w:rPr>
        <w:tab/>
      </w:r>
      <w:r w:rsidRPr="003E7E9E">
        <w:rPr>
          <w:rFonts w:ascii="Book Antiqua" w:hAnsi="Book Antiqua"/>
        </w:rPr>
        <w:t>has limited leave to enter or remain in the United Kingdom under paragraphs 128-193 (but not paragraphs 135I-135K); or</w:t>
      </w:r>
    </w:p>
    <w:p w:rsidR="003E7E9E" w:rsidRPr="003E7E9E" w:rsidRDefault="003E7E9E" w:rsidP="0016587F">
      <w:pPr>
        <w:spacing w:before="100" w:beforeAutospacing="1" w:after="100" w:afterAutospacing="1"/>
        <w:ind w:left="2835" w:hanging="567"/>
        <w:rPr>
          <w:rFonts w:ascii="Book Antiqua" w:hAnsi="Book Antiqua"/>
        </w:rPr>
      </w:pPr>
      <w:r w:rsidRPr="003E7E9E">
        <w:rPr>
          <w:rFonts w:ascii="Book Antiqua" w:hAnsi="Book Antiqua"/>
        </w:rPr>
        <w:t>(2)</w:t>
      </w:r>
      <w:r w:rsidR="0016587F">
        <w:rPr>
          <w:rFonts w:ascii="Book Antiqua" w:hAnsi="Book Antiqua"/>
        </w:rPr>
        <w:tab/>
      </w:r>
      <w:r w:rsidRPr="003E7E9E">
        <w:rPr>
          <w:rFonts w:ascii="Book Antiqua" w:hAnsi="Book Antiqua"/>
        </w:rPr>
        <w:t>has indefinite leave to remain in the United Kingdom or has become a British citizen, and who had limited leave to enter or remain in the United Kingdom under paragraphs 128-193 (but not paragraphs 135I-135K) immediately before being granted indefinite leave to remain; and</w:t>
      </w:r>
    </w:p>
    <w:p w:rsidR="003E7E9E" w:rsidRPr="003E7E9E" w:rsidRDefault="003E7E9E" w:rsidP="00F66B7C">
      <w:pPr>
        <w:spacing w:before="100" w:beforeAutospacing="1" w:after="100" w:afterAutospacing="1"/>
        <w:ind w:left="1134" w:firstLine="567"/>
        <w:rPr>
          <w:rFonts w:ascii="Book Antiqua" w:hAnsi="Book Antiqua"/>
        </w:rPr>
      </w:pPr>
      <w:r w:rsidRPr="003E7E9E">
        <w:rPr>
          <w:rFonts w:ascii="Book Antiqua" w:hAnsi="Book Antiqua"/>
        </w:rPr>
        <w:t>(ii)</w:t>
      </w:r>
      <w:r w:rsidR="00F66B7C">
        <w:rPr>
          <w:rFonts w:ascii="Book Antiqua" w:hAnsi="Book Antiqua"/>
        </w:rPr>
        <w:tab/>
      </w:r>
      <w:r w:rsidRPr="003E7E9E">
        <w:rPr>
          <w:rFonts w:ascii="Book Antiqua" w:hAnsi="Book Antiqua"/>
        </w:rPr>
        <w:t xml:space="preserve"> meets the requirements of paragraph 194(ii) - (vii); and</w:t>
      </w:r>
    </w:p>
    <w:p w:rsidR="003E7E9E" w:rsidRPr="003E7E9E" w:rsidRDefault="00F66B7C" w:rsidP="00F66B7C">
      <w:pPr>
        <w:spacing w:before="100" w:beforeAutospacing="1" w:after="100" w:afterAutospacing="1"/>
        <w:ind w:left="1134" w:firstLine="567"/>
        <w:rPr>
          <w:rFonts w:ascii="Book Antiqua" w:hAnsi="Book Antiqua"/>
        </w:rPr>
      </w:pPr>
      <w:r>
        <w:rPr>
          <w:rFonts w:ascii="Book Antiqua" w:hAnsi="Book Antiqua"/>
        </w:rPr>
        <w:t>(iii)</w:t>
      </w:r>
      <w:r>
        <w:rPr>
          <w:rFonts w:ascii="Book Antiqua" w:hAnsi="Book Antiqua"/>
        </w:rPr>
        <w:tab/>
      </w:r>
      <w:r w:rsidR="003E7E9E" w:rsidRPr="003E7E9E">
        <w:rPr>
          <w:rFonts w:ascii="Book Antiqua" w:hAnsi="Book Antiqua"/>
        </w:rPr>
        <w:t xml:space="preserve">was not last granted: </w:t>
      </w:r>
    </w:p>
    <w:p w:rsidR="003E7E9E" w:rsidRPr="003E7E9E" w:rsidRDefault="002A72E6" w:rsidP="002A72E6">
      <w:pPr>
        <w:spacing w:before="100" w:beforeAutospacing="1" w:after="100" w:afterAutospacing="1"/>
        <w:ind w:left="2835" w:hanging="567"/>
        <w:rPr>
          <w:rFonts w:ascii="Book Antiqua" w:hAnsi="Book Antiqua"/>
        </w:rPr>
      </w:pPr>
      <w:r>
        <w:rPr>
          <w:rFonts w:ascii="Book Antiqua" w:hAnsi="Book Antiqua"/>
        </w:rPr>
        <w:t>(1)</w:t>
      </w:r>
      <w:r>
        <w:rPr>
          <w:rFonts w:ascii="Book Antiqua" w:hAnsi="Book Antiqua"/>
        </w:rPr>
        <w:tab/>
      </w:r>
      <w:r w:rsidR="003E7E9E" w:rsidRPr="003E7E9E">
        <w:rPr>
          <w:rFonts w:ascii="Book Antiqua" w:hAnsi="Book Antiqua"/>
        </w:rPr>
        <w:t>entry clearance or leave to enter as a visitor, short-term student or short-term student (child),</w:t>
      </w:r>
    </w:p>
    <w:p w:rsidR="003E7E9E" w:rsidRPr="003E7E9E" w:rsidRDefault="003E7E9E" w:rsidP="002A72E6">
      <w:pPr>
        <w:spacing w:before="100" w:beforeAutospacing="1" w:after="100" w:afterAutospacing="1"/>
        <w:ind w:left="2835" w:hanging="567"/>
        <w:rPr>
          <w:rFonts w:ascii="Book Antiqua" w:hAnsi="Book Antiqua"/>
        </w:rPr>
      </w:pPr>
      <w:r w:rsidRPr="003E7E9E">
        <w:rPr>
          <w:rFonts w:ascii="Book Antiqua" w:hAnsi="Book Antiqua"/>
        </w:rPr>
        <w:t>(2)</w:t>
      </w:r>
      <w:r w:rsidR="002A72E6">
        <w:rPr>
          <w:rFonts w:ascii="Book Antiqua" w:hAnsi="Book Antiqua"/>
        </w:rPr>
        <w:tab/>
      </w:r>
      <w:r w:rsidRPr="003E7E9E">
        <w:rPr>
          <w:rFonts w:ascii="Book Antiqua" w:hAnsi="Book Antiqua"/>
        </w:rPr>
        <w:t>temporary admission,</w:t>
      </w:r>
    </w:p>
    <w:p w:rsidR="003E7E9E" w:rsidRPr="003E7E9E" w:rsidRDefault="003E7E9E" w:rsidP="002A72E6">
      <w:pPr>
        <w:spacing w:before="100" w:beforeAutospacing="1" w:after="100" w:afterAutospacing="1"/>
        <w:ind w:left="2835" w:hanging="567"/>
        <w:rPr>
          <w:rFonts w:ascii="Book Antiqua" w:hAnsi="Book Antiqua"/>
        </w:rPr>
      </w:pPr>
      <w:r w:rsidRPr="003E7E9E">
        <w:rPr>
          <w:rFonts w:ascii="Book Antiqua" w:hAnsi="Book Antiqua"/>
        </w:rPr>
        <w:t xml:space="preserve">(3) </w:t>
      </w:r>
      <w:r w:rsidR="002A72E6">
        <w:rPr>
          <w:rFonts w:ascii="Book Antiqua" w:hAnsi="Book Antiqua"/>
        </w:rPr>
        <w:tab/>
      </w:r>
      <w:r w:rsidRPr="003E7E9E">
        <w:rPr>
          <w:rFonts w:ascii="Book Antiqua" w:hAnsi="Book Antiqua"/>
        </w:rPr>
        <w:t>temporary release, or</w:t>
      </w:r>
    </w:p>
    <w:p w:rsidR="003E7E9E" w:rsidRPr="003E7E9E" w:rsidRDefault="003E7E9E" w:rsidP="002A72E6">
      <w:pPr>
        <w:spacing w:before="100" w:beforeAutospacing="1" w:after="100" w:afterAutospacing="1"/>
        <w:ind w:left="2835" w:hanging="567"/>
        <w:rPr>
          <w:rFonts w:ascii="Book Antiqua" w:hAnsi="Book Antiqua"/>
        </w:rPr>
      </w:pPr>
      <w:r w:rsidRPr="003E7E9E">
        <w:rPr>
          <w:rFonts w:ascii="Book Antiqua" w:hAnsi="Book Antiqua"/>
        </w:rPr>
        <w:t xml:space="preserve">(4) </w:t>
      </w:r>
      <w:r w:rsidR="002A72E6">
        <w:rPr>
          <w:rFonts w:ascii="Book Antiqua" w:hAnsi="Book Antiqua"/>
        </w:rPr>
        <w:tab/>
      </w:r>
      <w:r w:rsidRPr="003E7E9E">
        <w:rPr>
          <w:rFonts w:ascii="Book Antiqua" w:hAnsi="Book Antiqua"/>
        </w:rPr>
        <w:t>after the date on which paragraph 1 of Schedule 10 to the Immigration Act 2016 is commenced, immigration bail in circumstances in which temporary admission or temporary release would previously have been granted; and</w:t>
      </w:r>
    </w:p>
    <w:p w:rsidR="003E7E9E" w:rsidRPr="00E81321" w:rsidRDefault="00E81321" w:rsidP="00E81321">
      <w:pPr>
        <w:spacing w:before="100" w:beforeAutospacing="1" w:after="100" w:afterAutospacing="1"/>
        <w:ind w:left="2268" w:hanging="567"/>
        <w:rPr>
          <w:rFonts w:ascii="Book Antiqua" w:hAnsi="Book Antiqua"/>
        </w:rPr>
      </w:pPr>
      <w:r>
        <w:rPr>
          <w:rFonts w:ascii="Book Antiqua" w:hAnsi="Book Antiqua"/>
        </w:rPr>
        <w:t>(iv)</w:t>
      </w:r>
      <w:r>
        <w:rPr>
          <w:rFonts w:ascii="Book Antiqua" w:hAnsi="Book Antiqua"/>
        </w:rPr>
        <w:tab/>
      </w:r>
      <w:r w:rsidR="003E7E9E" w:rsidRPr="003E7E9E">
        <w:rPr>
          <w:rFonts w:ascii="Book Antiqua" w:hAnsi="Book Antiqua"/>
        </w:rPr>
        <w:t>must not be in the UK in breach of immigration laws except that, where paragraph 39E of these Rules applies, any current period of overstaying will be disregarded.”</w:t>
      </w:r>
    </w:p>
    <w:p w:rsidR="007220FB" w:rsidRDefault="003F0699" w:rsidP="00D371C7">
      <w:pPr>
        <w:numPr>
          <w:ilvl w:val="0"/>
          <w:numId w:val="3"/>
        </w:numPr>
        <w:spacing w:before="240"/>
        <w:jc w:val="both"/>
        <w:rPr>
          <w:rFonts w:ascii="Book Antiqua" w:hAnsi="Book Antiqua" w:cs="Arial"/>
        </w:rPr>
      </w:pPr>
      <w:r>
        <w:rPr>
          <w:rFonts w:ascii="Book Antiqua" w:hAnsi="Book Antiqua" w:cs="Arial"/>
        </w:rPr>
        <w:t xml:space="preserve">In light of the above provisions and in light of the fact that these provisions are mirrored in paragraph 196D </w:t>
      </w:r>
      <w:r w:rsidR="007601AF">
        <w:rPr>
          <w:rFonts w:ascii="Book Antiqua" w:hAnsi="Book Antiqua" w:cs="Arial"/>
        </w:rPr>
        <w:t xml:space="preserve">– save for </w:t>
      </w:r>
      <w:r w:rsidR="007C7A7A">
        <w:rPr>
          <w:rFonts w:ascii="Book Antiqua" w:hAnsi="Book Antiqua" w:cs="Arial"/>
        </w:rPr>
        <w:t>paragraph</w:t>
      </w:r>
      <w:r w:rsidR="007601AF">
        <w:rPr>
          <w:rFonts w:ascii="Book Antiqua" w:hAnsi="Book Antiqua" w:cs="Arial"/>
        </w:rPr>
        <w:t xml:space="preserve"> 196D</w:t>
      </w:r>
      <w:r>
        <w:rPr>
          <w:rFonts w:ascii="Book Antiqua" w:hAnsi="Book Antiqua" w:cs="Arial"/>
        </w:rPr>
        <w:t>(iii) which requires an applicant to demonstrate sufficient knowledge of the English language and sufficient knowledge about life in the UK i</w:t>
      </w:r>
      <w:r w:rsidR="007601AF">
        <w:rPr>
          <w:rFonts w:ascii="Book Antiqua" w:hAnsi="Book Antiqua" w:cs="Arial"/>
        </w:rPr>
        <w:t xml:space="preserve">n accordance with Appendix </w:t>
      </w:r>
      <w:proofErr w:type="spellStart"/>
      <w:r w:rsidR="007601AF">
        <w:rPr>
          <w:rFonts w:ascii="Book Antiqua" w:hAnsi="Book Antiqua" w:cs="Arial"/>
        </w:rPr>
        <w:t>KoLL</w:t>
      </w:r>
      <w:proofErr w:type="spellEnd"/>
      <w:r w:rsidR="007601AF">
        <w:rPr>
          <w:rFonts w:ascii="Book Antiqua" w:hAnsi="Book Antiqua" w:cs="Arial"/>
        </w:rPr>
        <w:t xml:space="preserve"> –</w:t>
      </w:r>
      <w:r>
        <w:rPr>
          <w:rFonts w:ascii="Book Antiqua" w:hAnsi="Book Antiqua" w:cs="Arial"/>
        </w:rPr>
        <w:t xml:space="preserve"> in my view the Appellant has plainly established that she is the spouse of a person who previously held limited leave to enter or remain in the UK and </w:t>
      </w:r>
      <w:r w:rsidR="007601AF">
        <w:rPr>
          <w:rFonts w:ascii="Book Antiqua" w:hAnsi="Book Antiqua" w:cs="Arial"/>
        </w:rPr>
        <w:t xml:space="preserve">who </w:t>
      </w:r>
      <w:r>
        <w:rPr>
          <w:rFonts w:ascii="Book Antiqua" w:hAnsi="Book Antiqua" w:cs="Arial"/>
        </w:rPr>
        <w:t xml:space="preserve">has now as I understand it become a British </w:t>
      </w:r>
      <w:r>
        <w:rPr>
          <w:rFonts w:ascii="Book Antiqua" w:hAnsi="Book Antiqua" w:cs="Arial"/>
        </w:rPr>
        <w:lastRenderedPageBreak/>
        <w:t xml:space="preserve">citizen, and who also meets the requirements of paragraph 194(ii) to (vii) and is furthermore not in breach of the Immigration Rules.  </w:t>
      </w:r>
      <w:proofErr w:type="gramStart"/>
      <w:r>
        <w:rPr>
          <w:rFonts w:ascii="Book Antiqua" w:hAnsi="Book Antiqua" w:cs="Arial"/>
        </w:rPr>
        <w:t>Consequently</w:t>
      </w:r>
      <w:proofErr w:type="gramEnd"/>
      <w:r>
        <w:rPr>
          <w:rFonts w:ascii="Book Antiqua" w:hAnsi="Book Antiqua" w:cs="Arial"/>
        </w:rPr>
        <w:t xml:space="preserve"> in my view the Appellant has shown that she meets the requirements for an extension of stay as the partner of a person who had leave to remain in the United Kingdom </w:t>
      </w:r>
      <w:r w:rsidR="0058710B">
        <w:rPr>
          <w:rFonts w:ascii="Book Antiqua" w:hAnsi="Book Antiqua" w:cs="Arial"/>
        </w:rPr>
        <w:t xml:space="preserve">as a diplomat.  </w:t>
      </w:r>
    </w:p>
    <w:p w:rsidR="0058710B" w:rsidRDefault="00627592" w:rsidP="00D371C7">
      <w:pPr>
        <w:numPr>
          <w:ilvl w:val="0"/>
          <w:numId w:val="3"/>
        </w:numPr>
        <w:spacing w:before="240"/>
        <w:jc w:val="both"/>
        <w:rPr>
          <w:rFonts w:ascii="Book Antiqua" w:hAnsi="Book Antiqua" w:cs="Arial"/>
        </w:rPr>
      </w:pPr>
      <w:proofErr w:type="gramStart"/>
      <w:r>
        <w:rPr>
          <w:rFonts w:ascii="Book Antiqua" w:hAnsi="Book Antiqua" w:cs="Arial"/>
        </w:rPr>
        <w:t>Consequently</w:t>
      </w:r>
      <w:proofErr w:type="gramEnd"/>
      <w:r>
        <w:rPr>
          <w:rFonts w:ascii="Book Antiqua" w:hAnsi="Book Antiqua" w:cs="Arial"/>
        </w:rPr>
        <w:t xml:space="preserve"> given that the A</w:t>
      </w:r>
      <w:r w:rsidR="0058710B">
        <w:rPr>
          <w:rFonts w:ascii="Book Antiqua" w:hAnsi="Book Antiqua" w:cs="Arial"/>
        </w:rPr>
        <w:t xml:space="preserve">ppellant </w:t>
      </w:r>
      <w:r w:rsidR="00F4738B">
        <w:rPr>
          <w:rFonts w:ascii="Book Antiqua" w:hAnsi="Book Antiqua" w:cs="Arial"/>
        </w:rPr>
        <w:t xml:space="preserve">unquestionably </w:t>
      </w:r>
      <w:r w:rsidR="0058710B">
        <w:rPr>
          <w:rFonts w:ascii="Book Antiqua" w:hAnsi="Book Antiqua" w:cs="Arial"/>
        </w:rPr>
        <w:t xml:space="preserve">meets the Immigration Rules for an extension of stay I now go on to assess the implications </w:t>
      </w:r>
      <w:r w:rsidR="00F4738B">
        <w:rPr>
          <w:rFonts w:ascii="Book Antiqua" w:hAnsi="Book Antiqua" w:cs="Arial"/>
        </w:rPr>
        <w:t xml:space="preserve">and proportionality </w:t>
      </w:r>
      <w:r w:rsidR="0058710B">
        <w:rPr>
          <w:rFonts w:ascii="Book Antiqua" w:hAnsi="Book Antiqua" w:cs="Arial"/>
        </w:rPr>
        <w:t xml:space="preserve">of the public interest </w:t>
      </w:r>
      <w:r w:rsidR="00F4738B">
        <w:rPr>
          <w:rFonts w:ascii="Book Antiqua" w:hAnsi="Book Antiqua" w:cs="Arial"/>
        </w:rPr>
        <w:t xml:space="preserve">in her removal </w:t>
      </w:r>
      <w:r w:rsidR="0058710B">
        <w:rPr>
          <w:rFonts w:ascii="Book Antiqua" w:hAnsi="Book Antiqua" w:cs="Arial"/>
        </w:rPr>
        <w:t>balanced against her private life under Article 8</w:t>
      </w:r>
      <w:r w:rsidR="00F4738B">
        <w:rPr>
          <w:rFonts w:ascii="Book Antiqua" w:hAnsi="Book Antiqua" w:cs="Arial"/>
        </w:rPr>
        <w:t xml:space="preserve"> applying a fair balance approach</w:t>
      </w:r>
      <w:r w:rsidR="0058710B">
        <w:rPr>
          <w:rFonts w:ascii="Book Antiqua" w:hAnsi="Book Antiqua" w:cs="Arial"/>
        </w:rPr>
        <w:t>.</w:t>
      </w:r>
    </w:p>
    <w:p w:rsidR="00A95E37" w:rsidRDefault="003E2186" w:rsidP="00D371C7">
      <w:pPr>
        <w:numPr>
          <w:ilvl w:val="0"/>
          <w:numId w:val="3"/>
        </w:numPr>
        <w:spacing w:before="240"/>
        <w:jc w:val="both"/>
        <w:rPr>
          <w:rFonts w:ascii="Book Antiqua" w:hAnsi="Book Antiqua" w:cs="Arial"/>
        </w:rPr>
      </w:pPr>
      <w:r>
        <w:rPr>
          <w:rFonts w:ascii="Book Antiqua" w:hAnsi="Book Antiqua" w:cs="Arial"/>
        </w:rPr>
        <w:t xml:space="preserve">In my mind </w:t>
      </w:r>
      <w:r w:rsidR="0058710B">
        <w:rPr>
          <w:rFonts w:ascii="Book Antiqua" w:hAnsi="Book Antiqua" w:cs="Arial"/>
        </w:rPr>
        <w:t>the Appellant’s private life is plainly engage</w:t>
      </w:r>
      <w:r w:rsidR="002C3569">
        <w:rPr>
          <w:rFonts w:ascii="Book Antiqua" w:hAnsi="Book Antiqua" w:cs="Arial"/>
        </w:rPr>
        <w:t>d</w:t>
      </w:r>
      <w:r w:rsidR="0058710B">
        <w:rPr>
          <w:rFonts w:ascii="Book Antiqua" w:hAnsi="Book Antiqua" w:cs="Arial"/>
        </w:rPr>
        <w:t xml:space="preserve"> by virtue of her lawful residence in the United Kingdom since 24</w:t>
      </w:r>
      <w:r w:rsidR="0058710B" w:rsidRPr="0058710B">
        <w:rPr>
          <w:rFonts w:ascii="Book Antiqua" w:hAnsi="Book Antiqua" w:cs="Arial"/>
          <w:vertAlign w:val="superscript"/>
        </w:rPr>
        <w:t>th</w:t>
      </w:r>
      <w:r w:rsidR="00C322DF">
        <w:rPr>
          <w:rFonts w:ascii="Book Antiqua" w:hAnsi="Book Antiqua" w:cs="Arial"/>
        </w:rPr>
        <w:t xml:space="preserve"> September 2011 </w:t>
      </w:r>
      <w:r w:rsidR="0058710B">
        <w:rPr>
          <w:rFonts w:ascii="Book Antiqua" w:hAnsi="Book Antiqua" w:cs="Arial"/>
        </w:rPr>
        <w:t>til</w:t>
      </w:r>
      <w:r w:rsidR="00C322DF">
        <w:rPr>
          <w:rFonts w:ascii="Book Antiqua" w:hAnsi="Book Antiqua" w:cs="Arial"/>
        </w:rPr>
        <w:t>l</w:t>
      </w:r>
      <w:r w:rsidR="0058710B">
        <w:rPr>
          <w:rFonts w:ascii="Book Antiqua" w:hAnsi="Book Antiqua" w:cs="Arial"/>
        </w:rPr>
        <w:t xml:space="preserve"> date.  The decision to remove her plainly has consequences of gravity to engage Article 8 and is more than a technical interference.  In respect of the third limb the decision is in accordance with the law given that the Secretary of State considered the settlement application on the basis made.  Turning to the fourth limb of </w:t>
      </w:r>
      <w:proofErr w:type="spellStart"/>
      <w:r w:rsidR="0058710B" w:rsidRPr="0058710B">
        <w:rPr>
          <w:rFonts w:ascii="Book Antiqua" w:hAnsi="Book Antiqua" w:cs="Arial"/>
          <w:i/>
        </w:rPr>
        <w:t>Razgar</w:t>
      </w:r>
      <w:proofErr w:type="spellEnd"/>
      <w:r w:rsidR="0058710B">
        <w:rPr>
          <w:rFonts w:ascii="Book Antiqua" w:hAnsi="Book Antiqua" w:cs="Arial"/>
        </w:rPr>
        <w:t xml:space="preserve"> in terms of whether it is necessary in the public interest for the Appellant to be removed in respect of firm and fair immigration control given that the Appellant is able to meet the Immigration Rules under paragraph 196A in my view the publi</w:t>
      </w:r>
      <w:r w:rsidR="00B95425">
        <w:rPr>
          <w:rFonts w:ascii="Book Antiqua" w:hAnsi="Book Antiqua" w:cs="Arial"/>
        </w:rPr>
        <w:t>c interest must be given only</w:t>
      </w:r>
      <w:r w:rsidR="0058710B">
        <w:rPr>
          <w:rFonts w:ascii="Book Antiqua" w:hAnsi="Book Antiqua" w:cs="Arial"/>
        </w:rPr>
        <w:t xml:space="preserve"> nominal weight given that it is only her failure to apply for this extension which has set her in the position in which she stands and given that the Rules for such an extension are met the public interest in her removal would </w:t>
      </w:r>
      <w:r w:rsidR="00B95425">
        <w:rPr>
          <w:rFonts w:ascii="Book Antiqua" w:hAnsi="Book Antiqua" w:cs="Arial"/>
        </w:rPr>
        <w:t xml:space="preserve">logically </w:t>
      </w:r>
      <w:r w:rsidR="0058710B">
        <w:rPr>
          <w:rFonts w:ascii="Book Antiqua" w:hAnsi="Book Antiqua" w:cs="Arial"/>
        </w:rPr>
        <w:t xml:space="preserve">be nominal at best.  </w:t>
      </w:r>
      <w:proofErr w:type="gramStart"/>
      <w:r w:rsidR="0058710B">
        <w:rPr>
          <w:rFonts w:ascii="Book Antiqua" w:hAnsi="Book Antiqua" w:cs="Arial"/>
        </w:rPr>
        <w:t>Thus</w:t>
      </w:r>
      <w:proofErr w:type="gramEnd"/>
      <w:r w:rsidR="0058710B">
        <w:rPr>
          <w:rFonts w:ascii="Book Antiqua" w:hAnsi="Book Antiqua" w:cs="Arial"/>
        </w:rPr>
        <w:t xml:space="preserve"> the public interes</w:t>
      </w:r>
      <w:r w:rsidR="00B95425">
        <w:rPr>
          <w:rFonts w:ascii="Book Antiqua" w:hAnsi="Book Antiqua" w:cs="Arial"/>
        </w:rPr>
        <w:t>t would be given discrete and nuanced weight by virtue of her meeting the immigration r</w:t>
      </w:r>
      <w:r w:rsidR="0058710B">
        <w:rPr>
          <w:rFonts w:ascii="Book Antiqua" w:hAnsi="Book Antiqua" w:cs="Arial"/>
        </w:rPr>
        <w:t xml:space="preserve">ules </w:t>
      </w:r>
      <w:r w:rsidR="0027751C">
        <w:rPr>
          <w:rFonts w:ascii="Book Antiqua" w:hAnsi="Book Antiqua" w:cs="Arial"/>
        </w:rPr>
        <w:t>but not applying under the</w:t>
      </w:r>
      <w:r w:rsidR="0058710B">
        <w:rPr>
          <w:rFonts w:ascii="Book Antiqua" w:hAnsi="Book Antiqua" w:cs="Arial"/>
        </w:rPr>
        <w:t xml:space="preserve"> relevant </w:t>
      </w:r>
      <w:r w:rsidR="009360A2">
        <w:rPr>
          <w:rFonts w:ascii="Book Antiqua" w:hAnsi="Book Antiqua" w:cs="Arial"/>
        </w:rPr>
        <w:t xml:space="preserve">paragraph when she should have: </w:t>
      </w:r>
      <w:r w:rsidR="0058710B">
        <w:rPr>
          <w:rFonts w:ascii="Book Antiqua" w:hAnsi="Book Antiqua" w:cs="Arial"/>
        </w:rPr>
        <w:t xml:space="preserve">see </w:t>
      </w:r>
      <w:r w:rsidR="0058710B" w:rsidRPr="00745E6A">
        <w:rPr>
          <w:rFonts w:ascii="Book Antiqua" w:hAnsi="Book Antiqua" w:cs="Arial"/>
          <w:i/>
        </w:rPr>
        <w:t>Patel v Secretary of State for the Home Department</w:t>
      </w:r>
      <w:r w:rsidR="0058710B">
        <w:rPr>
          <w:rFonts w:ascii="Book Antiqua" w:hAnsi="Book Antiqua" w:cs="Arial"/>
        </w:rPr>
        <w:t xml:space="preserve"> [2017] UKSC 72 and</w:t>
      </w:r>
      <w:r w:rsidR="009360A2">
        <w:rPr>
          <w:rFonts w:ascii="Book Antiqua" w:hAnsi="Book Antiqua" w:cs="Arial"/>
        </w:rPr>
        <w:t xml:space="preserve"> also</w:t>
      </w:r>
      <w:r w:rsidR="0058710B">
        <w:rPr>
          <w:rFonts w:ascii="Book Antiqua" w:hAnsi="Book Antiqua" w:cs="Arial"/>
        </w:rPr>
        <w:t xml:space="preserve"> </w:t>
      </w:r>
      <w:r w:rsidR="0058710B" w:rsidRPr="005D1931">
        <w:rPr>
          <w:rFonts w:ascii="Book Antiqua" w:hAnsi="Book Antiqua" w:cs="Arial"/>
        </w:rPr>
        <w:t xml:space="preserve">see </w:t>
      </w:r>
      <w:r w:rsidR="0058710B" w:rsidRPr="005D1931">
        <w:rPr>
          <w:rFonts w:ascii="Book Antiqua" w:hAnsi="Book Antiqua" w:cs="Arial"/>
          <w:i/>
        </w:rPr>
        <w:t xml:space="preserve">TZ Pakistan </w:t>
      </w:r>
      <w:r w:rsidR="005C2E83">
        <w:rPr>
          <w:rFonts w:ascii="Book Antiqua" w:hAnsi="Book Antiqua" w:cs="Arial"/>
          <w:i/>
        </w:rPr>
        <w:t>&amp;</w:t>
      </w:r>
      <w:r w:rsidR="0058710B" w:rsidRPr="005D1931">
        <w:rPr>
          <w:rFonts w:ascii="Book Antiqua" w:hAnsi="Book Antiqua" w:cs="Arial"/>
          <w:i/>
        </w:rPr>
        <w:t xml:space="preserve"> PG India v Secretary of State for the Home Department</w:t>
      </w:r>
      <w:r w:rsidR="009360A2">
        <w:rPr>
          <w:rFonts w:ascii="Book Antiqua" w:hAnsi="Book Antiqua" w:cs="Arial"/>
        </w:rPr>
        <w:t xml:space="preserve"> [2018] EWCA </w:t>
      </w:r>
      <w:proofErr w:type="spellStart"/>
      <w:r w:rsidR="009360A2">
        <w:rPr>
          <w:rFonts w:ascii="Book Antiqua" w:hAnsi="Book Antiqua" w:cs="Arial"/>
        </w:rPr>
        <w:t>Civ</w:t>
      </w:r>
      <w:proofErr w:type="spellEnd"/>
      <w:r w:rsidR="009360A2">
        <w:rPr>
          <w:rFonts w:ascii="Book Antiqua" w:hAnsi="Book Antiqua" w:cs="Arial"/>
        </w:rPr>
        <w:t xml:space="preserve"> 1109 at [30]</w:t>
      </w:r>
      <w:r w:rsidR="0058710B">
        <w:rPr>
          <w:rFonts w:ascii="Book Antiqua" w:hAnsi="Book Antiqua" w:cs="Arial"/>
        </w:rPr>
        <w:t>.</w:t>
      </w:r>
      <w:r w:rsidR="005D1931">
        <w:rPr>
          <w:rFonts w:ascii="Book Antiqua" w:hAnsi="Book Antiqua" w:cs="Arial"/>
        </w:rPr>
        <w:t xml:space="preserve">  </w:t>
      </w:r>
      <w:r w:rsidR="00B95425">
        <w:rPr>
          <w:rFonts w:ascii="Book Antiqua" w:hAnsi="Book Antiqua" w:cs="Arial"/>
        </w:rPr>
        <w:t>I pause to observe that, the Secretary of State has a duty to consider whether any of her immigra</w:t>
      </w:r>
      <w:r w:rsidR="00F56E33">
        <w:rPr>
          <w:rFonts w:ascii="Book Antiqua" w:hAnsi="Book Antiqua" w:cs="Arial"/>
        </w:rPr>
        <w:t>tion rules are applicable to a</w:t>
      </w:r>
      <w:r w:rsidR="00B95425">
        <w:rPr>
          <w:rFonts w:ascii="Book Antiqua" w:hAnsi="Book Antiqua" w:cs="Arial"/>
        </w:rPr>
        <w:t xml:space="preserve"> particular application, and </w:t>
      </w:r>
      <w:r w:rsidR="00F56E33">
        <w:rPr>
          <w:rFonts w:ascii="Book Antiqua" w:hAnsi="Book Antiqua" w:cs="Arial"/>
        </w:rPr>
        <w:t>thus something must be said for the Respondent failing to consider whether the Appellant qualified for a grant of extension of her leave as opposed to settlement, if she did not meet the requirements for indefinite leave to remain, which she plainly did, even on the Secretary of State’s basis of refusal.  Taking into account the</w:t>
      </w:r>
      <w:r w:rsidR="005D1931">
        <w:rPr>
          <w:rFonts w:ascii="Book Antiqua" w:hAnsi="Book Antiqua" w:cs="Arial"/>
        </w:rPr>
        <w:t xml:space="preserve"> nuanced public interest </w:t>
      </w:r>
      <w:r w:rsidR="00F56E33">
        <w:rPr>
          <w:rFonts w:ascii="Book Antiqua" w:hAnsi="Book Antiqua" w:cs="Arial"/>
        </w:rPr>
        <w:t xml:space="preserve">alongside </w:t>
      </w:r>
      <w:r w:rsidR="005D1931">
        <w:rPr>
          <w:rFonts w:ascii="Book Antiqua" w:hAnsi="Book Antiqua" w:cs="Arial"/>
        </w:rPr>
        <w:t>the public interest as stated under Section 117B of the Nationality, Immigration and Asylum Act 2002 in its statutor</w:t>
      </w:r>
      <w:r w:rsidR="00AA2129">
        <w:rPr>
          <w:rFonts w:ascii="Book Antiqua" w:hAnsi="Book Antiqua" w:cs="Arial"/>
        </w:rPr>
        <w:t>y form</w:t>
      </w:r>
      <w:r w:rsidR="00F56E33">
        <w:rPr>
          <w:rFonts w:ascii="Book Antiqua" w:hAnsi="Book Antiqua" w:cs="Arial"/>
        </w:rPr>
        <w:t xml:space="preserve"> (as I am bound to consider),</w:t>
      </w:r>
      <w:r w:rsidR="00AA2129">
        <w:rPr>
          <w:rFonts w:ascii="Book Antiqua" w:hAnsi="Book Antiqua" w:cs="Arial"/>
        </w:rPr>
        <w:t xml:space="preserve"> notwithstanding the A</w:t>
      </w:r>
      <w:r w:rsidR="005D1931">
        <w:rPr>
          <w:rFonts w:ascii="Book Antiqua" w:hAnsi="Book Antiqua" w:cs="Arial"/>
        </w:rPr>
        <w:t xml:space="preserve">ppellant remains unable to </w:t>
      </w:r>
      <w:r w:rsidR="00F56E33">
        <w:rPr>
          <w:rFonts w:ascii="Book Antiqua" w:hAnsi="Book Antiqua" w:cs="Arial"/>
        </w:rPr>
        <w:t xml:space="preserve">demonstrate she </w:t>
      </w:r>
      <w:r w:rsidR="005D1931">
        <w:rPr>
          <w:rFonts w:ascii="Book Antiqua" w:hAnsi="Book Antiqua" w:cs="Arial"/>
        </w:rPr>
        <w:t>speak</w:t>
      </w:r>
      <w:r w:rsidR="00F56E33">
        <w:rPr>
          <w:rFonts w:ascii="Book Antiqua" w:hAnsi="Book Antiqua" w:cs="Arial"/>
        </w:rPr>
        <w:t>s</w:t>
      </w:r>
      <w:r w:rsidR="005D1931">
        <w:rPr>
          <w:rFonts w:ascii="Book Antiqua" w:hAnsi="Book Antiqua" w:cs="Arial"/>
        </w:rPr>
        <w:t xml:space="preserve"> English </w:t>
      </w:r>
      <w:r w:rsidR="00F56E33">
        <w:rPr>
          <w:rFonts w:ascii="Book Antiqua" w:hAnsi="Book Antiqua" w:cs="Arial"/>
        </w:rPr>
        <w:t xml:space="preserve">to the desired level </w:t>
      </w:r>
      <w:r w:rsidR="005D1931">
        <w:rPr>
          <w:rFonts w:ascii="Book Antiqua" w:hAnsi="Book Antiqua" w:cs="Arial"/>
        </w:rPr>
        <w:t>but is financially independent</w:t>
      </w:r>
      <w:r w:rsidR="00F56E33">
        <w:rPr>
          <w:rFonts w:ascii="Book Antiqua" w:hAnsi="Book Antiqua" w:cs="Arial"/>
        </w:rPr>
        <w:t>,</w:t>
      </w:r>
      <w:r w:rsidR="005D1931">
        <w:rPr>
          <w:rFonts w:ascii="Book Antiqua" w:hAnsi="Book Antiqua" w:cs="Arial"/>
        </w:rPr>
        <w:t xml:space="preserve"> </w:t>
      </w:r>
      <w:r w:rsidR="005C2E83">
        <w:rPr>
          <w:rFonts w:ascii="Book Antiqua" w:hAnsi="Book Antiqua" w:cs="Arial"/>
        </w:rPr>
        <w:t xml:space="preserve">balanced against the factors going in </w:t>
      </w:r>
      <w:r w:rsidR="005D1931">
        <w:rPr>
          <w:rFonts w:ascii="Book Antiqua" w:hAnsi="Book Antiqua" w:cs="Arial"/>
        </w:rPr>
        <w:t>in favour of the Appellant</w:t>
      </w:r>
      <w:r w:rsidR="005C2E83">
        <w:rPr>
          <w:rFonts w:ascii="Book Antiqua" w:hAnsi="Book Antiqua" w:cs="Arial"/>
        </w:rPr>
        <w:t>’s private life,</w:t>
      </w:r>
      <w:r w:rsidR="005D1931">
        <w:rPr>
          <w:rFonts w:ascii="Book Antiqua" w:hAnsi="Book Antiqua" w:cs="Arial"/>
        </w:rPr>
        <w:t xml:space="preserve"> </w:t>
      </w:r>
      <w:r w:rsidR="005C2E83">
        <w:rPr>
          <w:rFonts w:ascii="Book Antiqua" w:hAnsi="Book Antiqua" w:cs="Arial"/>
        </w:rPr>
        <w:t xml:space="preserve">including </w:t>
      </w:r>
      <w:r w:rsidR="005D1931">
        <w:rPr>
          <w:rFonts w:ascii="Book Antiqua" w:hAnsi="Book Antiqua" w:cs="Arial"/>
        </w:rPr>
        <w:t>her ability to meet paragraph 196A of the Rules</w:t>
      </w:r>
      <w:r w:rsidR="005C2E83">
        <w:rPr>
          <w:rFonts w:ascii="Book Antiqua" w:hAnsi="Book Antiqua" w:cs="Arial"/>
        </w:rPr>
        <w:t xml:space="preserve"> in particular</w:t>
      </w:r>
      <w:r w:rsidR="005D1931">
        <w:rPr>
          <w:rFonts w:ascii="Book Antiqua" w:hAnsi="Book Antiqua" w:cs="Arial"/>
        </w:rPr>
        <w:t xml:space="preserve">, </w:t>
      </w:r>
      <w:r w:rsidR="002707C6">
        <w:rPr>
          <w:rFonts w:ascii="Book Antiqua" w:hAnsi="Book Antiqua" w:cs="Arial"/>
        </w:rPr>
        <w:t xml:space="preserve">in my view the </w:t>
      </w:r>
      <w:r w:rsidR="005C2E83">
        <w:rPr>
          <w:rFonts w:ascii="Book Antiqua" w:hAnsi="Book Antiqua" w:cs="Arial"/>
        </w:rPr>
        <w:t xml:space="preserve">scales are tipped in favour of the </w:t>
      </w:r>
      <w:r w:rsidR="002707C6">
        <w:rPr>
          <w:rFonts w:ascii="Book Antiqua" w:hAnsi="Book Antiqua" w:cs="Arial"/>
        </w:rPr>
        <w:t xml:space="preserve">Appellant’s private life </w:t>
      </w:r>
      <w:r w:rsidR="005C2E83">
        <w:rPr>
          <w:rFonts w:ascii="Book Antiqua" w:hAnsi="Book Antiqua" w:cs="Arial"/>
        </w:rPr>
        <w:t xml:space="preserve">which </w:t>
      </w:r>
      <w:r w:rsidR="002707C6">
        <w:rPr>
          <w:rFonts w:ascii="Book Antiqua" w:hAnsi="Book Antiqua" w:cs="Arial"/>
        </w:rPr>
        <w:t>outweighs the public interest in her removal</w:t>
      </w:r>
      <w:r w:rsidR="005C2E83">
        <w:rPr>
          <w:rFonts w:ascii="Book Antiqua" w:hAnsi="Book Antiqua" w:cs="Arial"/>
        </w:rPr>
        <w:t>.</w:t>
      </w:r>
      <w:r w:rsidR="002707C6">
        <w:rPr>
          <w:rFonts w:ascii="Book Antiqua" w:hAnsi="Book Antiqua" w:cs="Arial"/>
        </w:rPr>
        <w:t xml:space="preserve"> </w:t>
      </w:r>
      <w:r w:rsidR="005C2E83">
        <w:rPr>
          <w:rFonts w:ascii="Book Antiqua" w:hAnsi="Book Antiqua" w:cs="Arial"/>
        </w:rPr>
        <w:t xml:space="preserve"> </w:t>
      </w:r>
      <w:proofErr w:type="gramStart"/>
      <w:r w:rsidR="005C2E83">
        <w:rPr>
          <w:rFonts w:ascii="Book Antiqua" w:hAnsi="Book Antiqua" w:cs="Arial"/>
        </w:rPr>
        <w:t>C</w:t>
      </w:r>
      <w:r w:rsidR="002707C6">
        <w:rPr>
          <w:rFonts w:ascii="Book Antiqua" w:hAnsi="Book Antiqua" w:cs="Arial"/>
        </w:rPr>
        <w:t>onsequently</w:t>
      </w:r>
      <w:proofErr w:type="gramEnd"/>
      <w:r w:rsidR="002707C6">
        <w:rPr>
          <w:rFonts w:ascii="Book Antiqua" w:hAnsi="Book Antiqua" w:cs="Arial"/>
        </w:rPr>
        <w:t xml:space="preserve"> the decision to remove her is thus proportionate</w:t>
      </w:r>
      <w:r w:rsidR="00A95E37">
        <w:rPr>
          <w:rFonts w:ascii="Book Antiqua" w:hAnsi="Book Antiqua" w:cs="Arial"/>
        </w:rPr>
        <w:t>.</w:t>
      </w:r>
    </w:p>
    <w:p w:rsidR="0031319C" w:rsidRPr="00905AF2" w:rsidRDefault="0031319C" w:rsidP="00905AF2">
      <w:pPr>
        <w:numPr>
          <w:ilvl w:val="0"/>
          <w:numId w:val="3"/>
        </w:numPr>
        <w:spacing w:before="240"/>
        <w:jc w:val="both"/>
        <w:rPr>
          <w:rFonts w:ascii="Book Antiqua" w:hAnsi="Book Antiqua" w:cs="Arial"/>
        </w:rPr>
      </w:pPr>
      <w:r>
        <w:rPr>
          <w:rFonts w:ascii="Book Antiqua" w:hAnsi="Book Antiqua" w:cs="Arial"/>
        </w:rPr>
        <w:t xml:space="preserve">One final word regarding the Appellant’s ability to demonstrate she speaks English and meets that requirement under the rules. </w:t>
      </w:r>
      <w:r w:rsidR="00FA247C">
        <w:rPr>
          <w:rFonts w:ascii="Book Antiqua" w:hAnsi="Book Antiqua" w:cs="Arial"/>
        </w:rPr>
        <w:t xml:space="preserve"> I</w:t>
      </w:r>
      <w:r>
        <w:rPr>
          <w:rFonts w:ascii="Book Antiqua" w:hAnsi="Book Antiqua" w:cs="Arial"/>
        </w:rPr>
        <w:t xml:space="preserve">f there is any prospect of her being able to meet the rules, then she should in my view apply for consecutive </w:t>
      </w:r>
      <w:r w:rsidR="00FA247C">
        <w:rPr>
          <w:rFonts w:ascii="Book Antiqua" w:hAnsi="Book Antiqua" w:cs="Arial"/>
        </w:rPr>
        <w:t xml:space="preserve">extensions of her leave until she is able to do so, as opposed to settlement.  Plainly if she cannot meet this requirement, she should produce specialist evidence demonstrating her inability to do so as required by the immigration rules. </w:t>
      </w:r>
      <w:r w:rsidR="00905AF2">
        <w:rPr>
          <w:rFonts w:ascii="Book Antiqua" w:hAnsi="Book Antiqua" w:cs="Arial"/>
        </w:rPr>
        <w:t xml:space="preserve"> After all, these rules have been </w:t>
      </w:r>
      <w:r w:rsidR="00905AF2">
        <w:rPr>
          <w:rFonts w:ascii="Book Antiqua" w:hAnsi="Book Antiqua" w:cs="Arial"/>
        </w:rPr>
        <w:lastRenderedPageBreak/>
        <w:t>challenged at deigned to be lawful at the highest level of our domestic court hierarchy (see</w:t>
      </w:r>
      <w:r w:rsidR="00905AF2" w:rsidRPr="00905AF2">
        <w:rPr>
          <w:rFonts w:ascii="Book Antiqua" w:hAnsi="Book Antiqua" w:cs="Arial"/>
        </w:rPr>
        <w:t xml:space="preserve"> </w:t>
      </w:r>
      <w:r w:rsidR="00905AF2" w:rsidRPr="00905AF2">
        <w:rPr>
          <w:rFonts w:ascii="Book Antiqua" w:hAnsi="Book Antiqua" w:cs="Arial"/>
          <w:i/>
        </w:rPr>
        <w:t xml:space="preserve">R, (on the applications of Ali </w:t>
      </w:r>
      <w:r w:rsidR="00FD6F11">
        <w:rPr>
          <w:rFonts w:ascii="Book Antiqua" w:hAnsi="Book Antiqua" w:cs="Arial"/>
          <w:i/>
        </w:rPr>
        <w:t>&amp;</w:t>
      </w:r>
      <w:r w:rsidR="00905AF2" w:rsidRPr="00905AF2">
        <w:rPr>
          <w:rFonts w:ascii="Book Antiqua" w:hAnsi="Book Antiqua" w:cs="Arial"/>
          <w:i/>
        </w:rPr>
        <w:t xml:space="preserve"> Bibi) v Secretary of State for the Home Department</w:t>
      </w:r>
      <w:r w:rsidR="00905AF2" w:rsidRPr="00905AF2">
        <w:rPr>
          <w:rFonts w:ascii="Book Antiqua" w:hAnsi="Book Antiqua" w:cs="Arial"/>
        </w:rPr>
        <w:t xml:space="preserve"> [2015] UKSC 68) and thus the Appellant must show she either meets the rule or should be excepted from it without question.</w:t>
      </w:r>
    </w:p>
    <w:p w:rsidR="005C2E83" w:rsidRDefault="005C2E83" w:rsidP="005C2E83">
      <w:pPr>
        <w:spacing w:before="240"/>
        <w:jc w:val="both"/>
        <w:rPr>
          <w:rFonts w:ascii="Book Antiqua" w:hAnsi="Book Antiqua" w:cs="Arial"/>
        </w:rPr>
      </w:pPr>
      <w:r w:rsidRPr="00CF7E9F">
        <w:rPr>
          <w:rFonts w:ascii="Book Antiqua" w:hAnsi="Book Antiqua" w:cs="Arial"/>
          <w:b/>
          <w:u w:val="single"/>
        </w:rPr>
        <w:t>Notice of Decision</w:t>
      </w:r>
    </w:p>
    <w:p w:rsidR="00AA7BB2" w:rsidRDefault="002707C6" w:rsidP="00CF7E9F">
      <w:pPr>
        <w:numPr>
          <w:ilvl w:val="0"/>
          <w:numId w:val="3"/>
        </w:numPr>
        <w:spacing w:before="240"/>
        <w:jc w:val="both"/>
        <w:rPr>
          <w:rFonts w:ascii="Book Antiqua" w:hAnsi="Book Antiqua" w:cs="Arial"/>
        </w:rPr>
      </w:pPr>
      <w:r>
        <w:rPr>
          <w:rFonts w:ascii="Book Antiqua" w:hAnsi="Book Antiqua" w:cs="Arial"/>
        </w:rPr>
        <w:t xml:space="preserve">The appeal is allowed on the basis that the decision is disproportionate </w:t>
      </w:r>
      <w:r w:rsidR="00AA7BB2">
        <w:rPr>
          <w:rFonts w:ascii="Book Antiqua" w:hAnsi="Book Antiqua" w:cs="Arial"/>
        </w:rPr>
        <w:t xml:space="preserve">in light of the above reasons, particularly </w:t>
      </w:r>
      <w:r>
        <w:rPr>
          <w:rFonts w:ascii="Book Antiqua" w:hAnsi="Book Antiqua" w:cs="Arial"/>
        </w:rPr>
        <w:t>given the Appellant’s ability to qualify for an extension of leave under paragraph 196A as set out above.</w:t>
      </w:r>
    </w:p>
    <w:p w:rsidR="00CF7E9F" w:rsidRPr="00AA7BB2" w:rsidRDefault="00CF7E9F" w:rsidP="00CF7E9F">
      <w:pPr>
        <w:numPr>
          <w:ilvl w:val="0"/>
          <w:numId w:val="3"/>
        </w:numPr>
        <w:spacing w:before="240"/>
        <w:jc w:val="both"/>
        <w:rPr>
          <w:rFonts w:ascii="Book Antiqua" w:hAnsi="Book Antiqua" w:cs="Arial"/>
        </w:rPr>
      </w:pPr>
      <w:r w:rsidRPr="00AA7BB2">
        <w:rPr>
          <w:rFonts w:ascii="Book Antiqua" w:hAnsi="Book Antiqua" w:cs="Arial"/>
        </w:rPr>
        <w:t>No anonymity direction is made.</w:t>
      </w:r>
    </w:p>
    <w:p w:rsidR="00CF7E9F" w:rsidRPr="00CF7E9F" w:rsidRDefault="00CF7E9F" w:rsidP="00CF7E9F">
      <w:pPr>
        <w:jc w:val="both"/>
        <w:rPr>
          <w:rFonts w:ascii="Book Antiqua" w:hAnsi="Book Antiqua" w:cs="Arial"/>
        </w:rPr>
      </w:pPr>
    </w:p>
    <w:p w:rsidR="00CF7E9F" w:rsidRPr="00F5664C" w:rsidRDefault="00CF7E9F"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9E1D51">
        <w:rPr>
          <w:rFonts w:ascii="Book Antiqua" w:hAnsi="Book Antiqua" w:cs="Arial"/>
        </w:rPr>
        <w:t xml:space="preserve">: 27.07.2018 </w:t>
      </w:r>
    </w:p>
    <w:p w:rsidR="001F2716" w:rsidRPr="00F5664C" w:rsidRDefault="001F2716" w:rsidP="000369F5">
      <w:pPr>
        <w:tabs>
          <w:tab w:val="left" w:pos="2520"/>
        </w:tabs>
        <w:jc w:val="both"/>
        <w:rPr>
          <w:rFonts w:ascii="Book Antiqua" w:hAnsi="Book Antiqua" w:cs="Arial"/>
        </w:rPr>
      </w:pPr>
    </w:p>
    <w:p w:rsidR="005B7789" w:rsidRDefault="00C33F41"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A26466">
        <w:rPr>
          <w:rFonts w:ascii="Book Antiqua" w:hAnsi="Book Antiqua" w:cs="Arial"/>
        </w:rPr>
        <w:t>Saini</w:t>
      </w:r>
    </w:p>
    <w:sectPr w:rsidR="005B778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558" w:rsidRDefault="003E6558">
      <w:r>
        <w:separator/>
      </w:r>
    </w:p>
  </w:endnote>
  <w:endnote w:type="continuationSeparator" w:id="0">
    <w:p w:rsidR="003E6558" w:rsidRDefault="003E6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AF2" w:rsidRPr="00F5664C" w:rsidRDefault="00905AF2"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81CAF">
      <w:rPr>
        <w:rStyle w:val="PageNumber"/>
        <w:rFonts w:ascii="Book Antiqua" w:hAnsi="Book Antiqua" w:cs="Arial"/>
        <w:noProof/>
        <w:sz w:val="16"/>
        <w:szCs w:val="16"/>
      </w:rPr>
      <w:t>7</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AF2" w:rsidRPr="00F5664C" w:rsidRDefault="00905AF2"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558" w:rsidRDefault="003E6558">
      <w:r>
        <w:separator/>
      </w:r>
    </w:p>
  </w:footnote>
  <w:footnote w:type="continuationSeparator" w:id="0">
    <w:p w:rsidR="003E6558" w:rsidRDefault="003E6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AF2" w:rsidRPr="00F5664C" w:rsidRDefault="00905AF2"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686704">
      <w:rPr>
        <w:rFonts w:ascii="Book Antiqua" w:hAnsi="Book Antiqua" w:cs="Arial"/>
        <w:sz w:val="16"/>
        <w:szCs w:val="16"/>
      </w:rPr>
      <w:t>HU</w:t>
    </w:r>
    <w:r>
      <w:rPr>
        <w:rFonts w:ascii="Book Antiqua" w:hAnsi="Book Antiqua" w:cs="Arial"/>
        <w:sz w:val="16"/>
        <w:szCs w:val="16"/>
      </w:rPr>
      <w:t>/01855/2017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AF2" w:rsidRPr="00F5664C" w:rsidRDefault="00905AF2">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DFE15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5F668EC"/>
    <w:multiLevelType w:val="multilevel"/>
    <w:tmpl w:val="FCFCD9D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4D60EB8"/>
    <w:multiLevelType w:val="multilevel"/>
    <w:tmpl w:val="2AE2675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6F24BB6"/>
    <w:multiLevelType w:val="multilevel"/>
    <w:tmpl w:val="9886D4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0B6618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6"/>
  </w:num>
  <w:num w:numId="3">
    <w:abstractNumId w:val="4"/>
  </w:num>
  <w:num w:numId="4">
    <w:abstractNumId w:val="12"/>
  </w:num>
  <w:num w:numId="5">
    <w:abstractNumId w:val="21"/>
  </w:num>
  <w:num w:numId="6">
    <w:abstractNumId w:val="13"/>
  </w:num>
  <w:num w:numId="7">
    <w:abstractNumId w:val="20"/>
  </w:num>
  <w:num w:numId="8">
    <w:abstractNumId w:val="10"/>
  </w:num>
  <w:num w:numId="9">
    <w:abstractNumId w:val="9"/>
  </w:num>
  <w:num w:numId="10">
    <w:abstractNumId w:val="19"/>
  </w:num>
  <w:num w:numId="11">
    <w:abstractNumId w:val="18"/>
  </w:num>
  <w:num w:numId="12">
    <w:abstractNumId w:val="3"/>
  </w:num>
  <w:num w:numId="13">
    <w:abstractNumId w:val="17"/>
  </w:num>
  <w:num w:numId="14">
    <w:abstractNumId w:val="1"/>
  </w:num>
  <w:num w:numId="15">
    <w:abstractNumId w:val="5"/>
  </w:num>
  <w:num w:numId="16">
    <w:abstractNumId w:val="7"/>
  </w:num>
  <w:num w:numId="17">
    <w:abstractNumId w:val="14"/>
  </w:num>
  <w:num w:numId="18">
    <w:abstractNumId w:val="11"/>
  </w:num>
  <w:num w:numId="19">
    <w:abstractNumId w:val="15"/>
  </w:num>
  <w:num w:numId="20">
    <w:abstractNumId w:val="2"/>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082"/>
    <w:rsid w:val="00000621"/>
    <w:rsid w:val="00000D2E"/>
    <w:rsid w:val="000036C2"/>
    <w:rsid w:val="00024934"/>
    <w:rsid w:val="00033D3D"/>
    <w:rsid w:val="00036032"/>
    <w:rsid w:val="000369F5"/>
    <w:rsid w:val="00040BEF"/>
    <w:rsid w:val="00042918"/>
    <w:rsid w:val="0006575E"/>
    <w:rsid w:val="00071A7E"/>
    <w:rsid w:val="000746C0"/>
    <w:rsid w:val="00074D1D"/>
    <w:rsid w:val="00075B23"/>
    <w:rsid w:val="00092580"/>
    <w:rsid w:val="000958B8"/>
    <w:rsid w:val="000D5D94"/>
    <w:rsid w:val="000E06C2"/>
    <w:rsid w:val="000E0906"/>
    <w:rsid w:val="001022B9"/>
    <w:rsid w:val="001165A7"/>
    <w:rsid w:val="001509E4"/>
    <w:rsid w:val="00151BB7"/>
    <w:rsid w:val="0016587F"/>
    <w:rsid w:val="00167D3A"/>
    <w:rsid w:val="00194848"/>
    <w:rsid w:val="001A1E2C"/>
    <w:rsid w:val="001C75FF"/>
    <w:rsid w:val="001F2716"/>
    <w:rsid w:val="0020133A"/>
    <w:rsid w:val="00207617"/>
    <w:rsid w:val="002137A5"/>
    <w:rsid w:val="00213C3F"/>
    <w:rsid w:val="00220C35"/>
    <w:rsid w:val="002263F1"/>
    <w:rsid w:val="00237033"/>
    <w:rsid w:val="00241B28"/>
    <w:rsid w:val="002707C6"/>
    <w:rsid w:val="0027751C"/>
    <w:rsid w:val="00280938"/>
    <w:rsid w:val="00283659"/>
    <w:rsid w:val="002A72E6"/>
    <w:rsid w:val="002B6D27"/>
    <w:rsid w:val="002C3569"/>
    <w:rsid w:val="002C4E73"/>
    <w:rsid w:val="002D68BF"/>
    <w:rsid w:val="00303C11"/>
    <w:rsid w:val="0031319C"/>
    <w:rsid w:val="00314D93"/>
    <w:rsid w:val="003234D3"/>
    <w:rsid w:val="00332987"/>
    <w:rsid w:val="003333C3"/>
    <w:rsid w:val="00336CBF"/>
    <w:rsid w:val="00343331"/>
    <w:rsid w:val="003546C8"/>
    <w:rsid w:val="0037049A"/>
    <w:rsid w:val="00376B61"/>
    <w:rsid w:val="00381CAF"/>
    <w:rsid w:val="00386C37"/>
    <w:rsid w:val="003A7CF2"/>
    <w:rsid w:val="003C5CE5"/>
    <w:rsid w:val="003E2186"/>
    <w:rsid w:val="003E267B"/>
    <w:rsid w:val="003E5E2A"/>
    <w:rsid w:val="003E6558"/>
    <w:rsid w:val="003E7CD1"/>
    <w:rsid w:val="003E7E9E"/>
    <w:rsid w:val="003F0699"/>
    <w:rsid w:val="00402B9E"/>
    <w:rsid w:val="004050AE"/>
    <w:rsid w:val="00405524"/>
    <w:rsid w:val="0041713B"/>
    <w:rsid w:val="00417F47"/>
    <w:rsid w:val="00423932"/>
    <w:rsid w:val="004249CB"/>
    <w:rsid w:val="0043033E"/>
    <w:rsid w:val="0044127D"/>
    <w:rsid w:val="004448DB"/>
    <w:rsid w:val="00446C9A"/>
    <w:rsid w:val="004517A6"/>
    <w:rsid w:val="004748D8"/>
    <w:rsid w:val="00477193"/>
    <w:rsid w:val="00485C18"/>
    <w:rsid w:val="004974CF"/>
    <w:rsid w:val="004A1848"/>
    <w:rsid w:val="004B56B7"/>
    <w:rsid w:val="004E2E3D"/>
    <w:rsid w:val="004F2A73"/>
    <w:rsid w:val="00502B91"/>
    <w:rsid w:val="00507FEC"/>
    <w:rsid w:val="00510F0E"/>
    <w:rsid w:val="005479E1"/>
    <w:rsid w:val="00554AD4"/>
    <w:rsid w:val="005570FD"/>
    <w:rsid w:val="005575EA"/>
    <w:rsid w:val="005733B0"/>
    <w:rsid w:val="0057790C"/>
    <w:rsid w:val="0058710B"/>
    <w:rsid w:val="00587AC3"/>
    <w:rsid w:val="00593795"/>
    <w:rsid w:val="005A75FF"/>
    <w:rsid w:val="005B1E80"/>
    <w:rsid w:val="005B7789"/>
    <w:rsid w:val="005C2E83"/>
    <w:rsid w:val="005D1931"/>
    <w:rsid w:val="00627592"/>
    <w:rsid w:val="00637754"/>
    <w:rsid w:val="0064475E"/>
    <w:rsid w:val="00646EEA"/>
    <w:rsid w:val="0065791C"/>
    <w:rsid w:val="006622E0"/>
    <w:rsid w:val="00667E48"/>
    <w:rsid w:val="00675380"/>
    <w:rsid w:val="0068180C"/>
    <w:rsid w:val="00686704"/>
    <w:rsid w:val="00690B8A"/>
    <w:rsid w:val="006D1DFA"/>
    <w:rsid w:val="006D506B"/>
    <w:rsid w:val="006E3C90"/>
    <w:rsid w:val="006F2E4C"/>
    <w:rsid w:val="006F574C"/>
    <w:rsid w:val="00704B61"/>
    <w:rsid w:val="007053A3"/>
    <w:rsid w:val="007220FB"/>
    <w:rsid w:val="007317A3"/>
    <w:rsid w:val="0073293D"/>
    <w:rsid w:val="00742A8D"/>
    <w:rsid w:val="007442BD"/>
    <w:rsid w:val="00745E6A"/>
    <w:rsid w:val="00746A10"/>
    <w:rsid w:val="00747430"/>
    <w:rsid w:val="00750E0C"/>
    <w:rsid w:val="007552A9"/>
    <w:rsid w:val="00757868"/>
    <w:rsid w:val="007601AF"/>
    <w:rsid w:val="00761858"/>
    <w:rsid w:val="00767D59"/>
    <w:rsid w:val="00776E97"/>
    <w:rsid w:val="00780FD7"/>
    <w:rsid w:val="007912AD"/>
    <w:rsid w:val="007A1F28"/>
    <w:rsid w:val="007A447D"/>
    <w:rsid w:val="007B0824"/>
    <w:rsid w:val="007C7A7A"/>
    <w:rsid w:val="00820CD0"/>
    <w:rsid w:val="008303B8"/>
    <w:rsid w:val="00833DCE"/>
    <w:rsid w:val="00841E14"/>
    <w:rsid w:val="00842418"/>
    <w:rsid w:val="00844A1F"/>
    <w:rsid w:val="0085573C"/>
    <w:rsid w:val="00871D34"/>
    <w:rsid w:val="00880BDD"/>
    <w:rsid w:val="00887BA0"/>
    <w:rsid w:val="008B270C"/>
    <w:rsid w:val="008C357D"/>
    <w:rsid w:val="008C363B"/>
    <w:rsid w:val="008C3D3D"/>
    <w:rsid w:val="008D099B"/>
    <w:rsid w:val="008D4131"/>
    <w:rsid w:val="008E7624"/>
    <w:rsid w:val="008F1932"/>
    <w:rsid w:val="008F294D"/>
    <w:rsid w:val="00905AF2"/>
    <w:rsid w:val="00921062"/>
    <w:rsid w:val="0093083E"/>
    <w:rsid w:val="009360A2"/>
    <w:rsid w:val="0093786F"/>
    <w:rsid w:val="00966ECF"/>
    <w:rsid w:val="009727A3"/>
    <w:rsid w:val="00975B23"/>
    <w:rsid w:val="00987774"/>
    <w:rsid w:val="009A11E8"/>
    <w:rsid w:val="009A6191"/>
    <w:rsid w:val="009E1D51"/>
    <w:rsid w:val="009E2824"/>
    <w:rsid w:val="009E4E62"/>
    <w:rsid w:val="009F5220"/>
    <w:rsid w:val="009F7C4D"/>
    <w:rsid w:val="00A15234"/>
    <w:rsid w:val="00A201AB"/>
    <w:rsid w:val="00A26466"/>
    <w:rsid w:val="00A31C8B"/>
    <w:rsid w:val="00A773FE"/>
    <w:rsid w:val="00A8254D"/>
    <w:rsid w:val="00A845DC"/>
    <w:rsid w:val="00A95E37"/>
    <w:rsid w:val="00A97AEE"/>
    <w:rsid w:val="00AA2129"/>
    <w:rsid w:val="00AA3005"/>
    <w:rsid w:val="00AA7BB2"/>
    <w:rsid w:val="00AB08A8"/>
    <w:rsid w:val="00AB2ABE"/>
    <w:rsid w:val="00AC5CF6"/>
    <w:rsid w:val="00AD10A9"/>
    <w:rsid w:val="00AD3B43"/>
    <w:rsid w:val="00AE7FF6"/>
    <w:rsid w:val="00B144FA"/>
    <w:rsid w:val="00B16F58"/>
    <w:rsid w:val="00B21696"/>
    <w:rsid w:val="00B30648"/>
    <w:rsid w:val="00B32A76"/>
    <w:rsid w:val="00B3524D"/>
    <w:rsid w:val="00B40F69"/>
    <w:rsid w:val="00B46616"/>
    <w:rsid w:val="00B575A2"/>
    <w:rsid w:val="00B610E3"/>
    <w:rsid w:val="00B61205"/>
    <w:rsid w:val="00B617C4"/>
    <w:rsid w:val="00B626FA"/>
    <w:rsid w:val="00B7040A"/>
    <w:rsid w:val="00B85E91"/>
    <w:rsid w:val="00B8762A"/>
    <w:rsid w:val="00B95425"/>
    <w:rsid w:val="00B96FA0"/>
    <w:rsid w:val="00BA7C9E"/>
    <w:rsid w:val="00BB6564"/>
    <w:rsid w:val="00BB6EFB"/>
    <w:rsid w:val="00BD4196"/>
    <w:rsid w:val="00BE279B"/>
    <w:rsid w:val="00BF22CA"/>
    <w:rsid w:val="00C1440A"/>
    <w:rsid w:val="00C26032"/>
    <w:rsid w:val="00C265B0"/>
    <w:rsid w:val="00C307DD"/>
    <w:rsid w:val="00C321B5"/>
    <w:rsid w:val="00C322DF"/>
    <w:rsid w:val="00C33F41"/>
    <w:rsid w:val="00C34220"/>
    <w:rsid w:val="00C345E1"/>
    <w:rsid w:val="00C60202"/>
    <w:rsid w:val="00C6583C"/>
    <w:rsid w:val="00C977BA"/>
    <w:rsid w:val="00CA0607"/>
    <w:rsid w:val="00CA0931"/>
    <w:rsid w:val="00CA519C"/>
    <w:rsid w:val="00CB6E35"/>
    <w:rsid w:val="00CB7C53"/>
    <w:rsid w:val="00CC0D83"/>
    <w:rsid w:val="00CC2641"/>
    <w:rsid w:val="00CC4699"/>
    <w:rsid w:val="00CE1A46"/>
    <w:rsid w:val="00CF20DB"/>
    <w:rsid w:val="00CF253F"/>
    <w:rsid w:val="00CF56B4"/>
    <w:rsid w:val="00CF7E9F"/>
    <w:rsid w:val="00D01849"/>
    <w:rsid w:val="00D01E18"/>
    <w:rsid w:val="00D159E8"/>
    <w:rsid w:val="00D20F09"/>
    <w:rsid w:val="00D22636"/>
    <w:rsid w:val="00D22AE0"/>
    <w:rsid w:val="00D371C7"/>
    <w:rsid w:val="00D40FD9"/>
    <w:rsid w:val="00D53769"/>
    <w:rsid w:val="00D71973"/>
    <w:rsid w:val="00D85C13"/>
    <w:rsid w:val="00D91BE3"/>
    <w:rsid w:val="00D94AFC"/>
    <w:rsid w:val="00D955E1"/>
    <w:rsid w:val="00DB70AE"/>
    <w:rsid w:val="00DB7231"/>
    <w:rsid w:val="00DD5071"/>
    <w:rsid w:val="00DD5C39"/>
    <w:rsid w:val="00DE26AF"/>
    <w:rsid w:val="00DE7DB7"/>
    <w:rsid w:val="00E00A0A"/>
    <w:rsid w:val="00E07F57"/>
    <w:rsid w:val="00E50BCE"/>
    <w:rsid w:val="00E531AD"/>
    <w:rsid w:val="00E60865"/>
    <w:rsid w:val="00E61292"/>
    <w:rsid w:val="00E72B54"/>
    <w:rsid w:val="00E75017"/>
    <w:rsid w:val="00E76309"/>
    <w:rsid w:val="00E77C4D"/>
    <w:rsid w:val="00E81321"/>
    <w:rsid w:val="00E81D01"/>
    <w:rsid w:val="00ED0FA9"/>
    <w:rsid w:val="00EE45D8"/>
    <w:rsid w:val="00EE63DE"/>
    <w:rsid w:val="00EF243C"/>
    <w:rsid w:val="00EF7666"/>
    <w:rsid w:val="00F004CD"/>
    <w:rsid w:val="00F22EDA"/>
    <w:rsid w:val="00F31082"/>
    <w:rsid w:val="00F3224D"/>
    <w:rsid w:val="00F33E0E"/>
    <w:rsid w:val="00F4738B"/>
    <w:rsid w:val="00F56588"/>
    <w:rsid w:val="00F5664C"/>
    <w:rsid w:val="00F56E33"/>
    <w:rsid w:val="00F64707"/>
    <w:rsid w:val="00F66B7C"/>
    <w:rsid w:val="00FA247C"/>
    <w:rsid w:val="00FB7E80"/>
    <w:rsid w:val="00FD6996"/>
    <w:rsid w:val="00FD6F11"/>
    <w:rsid w:val="00FF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3E7E9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3Char">
    <w:name w:val="Heading 3 Char"/>
    <w:link w:val="Heading3"/>
    <w:uiPriority w:val="9"/>
    <w:rsid w:val="003E7E9E"/>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058442">
      <w:bodyDiv w:val="1"/>
      <w:marLeft w:val="0"/>
      <w:marRight w:val="0"/>
      <w:marTop w:val="0"/>
      <w:marBottom w:val="0"/>
      <w:divBdr>
        <w:top w:val="none" w:sz="0" w:space="0" w:color="auto"/>
        <w:left w:val="none" w:sz="0" w:space="0" w:color="auto"/>
        <w:bottom w:val="none" w:sz="0" w:space="0" w:color="auto"/>
        <w:right w:val="none" w:sz="0" w:space="0" w:color="auto"/>
      </w:divBdr>
    </w:div>
    <w:div w:id="1321078383">
      <w:bodyDiv w:val="1"/>
      <w:marLeft w:val="0"/>
      <w:marRight w:val="0"/>
      <w:marTop w:val="0"/>
      <w:marBottom w:val="0"/>
      <w:divBdr>
        <w:top w:val="none" w:sz="0" w:space="0" w:color="auto"/>
        <w:left w:val="none" w:sz="0" w:space="0" w:color="auto"/>
        <w:bottom w:val="none" w:sz="0" w:space="0" w:color="auto"/>
        <w:right w:val="none" w:sz="0" w:space="0" w:color="auto"/>
      </w:divBdr>
    </w:div>
    <w:div w:id="168396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2869</Words>
  <Characters>14244</Characters>
  <Application>Microsoft Office Word</Application>
  <DocSecurity>0</DocSecurity>
  <Lines>118</Lines>
  <Paragraphs>34</Paragraphs>
  <ScaleCrop>false</ScaleCrop>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2018-08-17T10:35:00Z</dcterms:created>
  <dcterms:modified xsi:type="dcterms:W3CDTF">2018-08-17T10:35:00Z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