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A827CC" w:rsidRDefault="00542B9A" w:rsidP="00C321B5">
      <w:pPr>
        <w:jc w:val="center"/>
        <w:rPr>
          <w:rFonts w:ascii="Book Antiqua" w:hAnsi="Book Antiqua" w:cs="Arial"/>
          <w:sz w:val="16"/>
          <w:szCs w:val="16"/>
        </w:rPr>
      </w:pPr>
      <w:r w:rsidRPr="00A827CC">
        <w:rPr>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A827C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3278F6">
        <w:rPr>
          <w:rFonts w:ascii="Book Antiqua" w:hAnsi="Book Antiqua" w:cs="Arial"/>
          <w:b/>
        </w:rPr>
        <w:t>Tribunal</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624CF6">
        <w:rPr>
          <w:rFonts w:ascii="Book Antiqua" w:hAnsi="Book Antiqua" w:cs="Arial"/>
          <w:caps/>
        </w:rPr>
        <w:t>HU/01985</w:t>
      </w:r>
      <w:r w:rsidR="00CB4A10">
        <w:rPr>
          <w:rFonts w:ascii="Book Antiqua" w:hAnsi="Book Antiqua" w:cs="Arial"/>
          <w:caps/>
        </w:rPr>
        <w:t>/201</w:t>
      </w:r>
      <w:r w:rsidR="00624CF6">
        <w:rPr>
          <w:rFonts w:ascii="Book Antiqua" w:hAnsi="Book Antiqua" w:cs="Arial"/>
          <w:caps/>
        </w:rPr>
        <w:t>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Heard at </w:t>
            </w:r>
            <w:r w:rsidR="00AC31D7">
              <w:rPr>
                <w:rFonts w:ascii="Book Antiqua" w:hAnsi="Book Antiqua" w:cs="Arial"/>
                <w:b/>
              </w:rPr>
              <w:t xml:space="preserve">Birmingham </w:t>
            </w:r>
          </w:p>
        </w:tc>
        <w:tc>
          <w:tcPr>
            <w:tcW w:w="3960" w:type="dxa"/>
            <w:shd w:val="clear" w:color="auto" w:fill="auto"/>
          </w:tcPr>
          <w:p w:rsidR="00D22636" w:rsidRPr="00B26BAE" w:rsidRDefault="00C77259" w:rsidP="00B26BAE">
            <w:pPr>
              <w:jc w:val="both"/>
              <w:rPr>
                <w:rFonts w:ascii="Book Antiqua" w:hAnsi="Book Antiqua" w:cs="Arial"/>
                <w:b/>
              </w:rPr>
            </w:pPr>
            <w:r w:rsidRPr="00B26BAE">
              <w:rPr>
                <w:rFonts w:ascii="Book Antiqua" w:hAnsi="Book Antiqua" w:cs="Arial"/>
                <w:b/>
              </w:rPr>
              <w:t>Decision &amp; Reasons</w:t>
            </w:r>
            <w:r w:rsidR="00B768CA" w:rsidRPr="00B26BAE">
              <w:rPr>
                <w:rFonts w:ascii="Book Antiqua" w:hAnsi="Book Antiqua" w:cs="Arial"/>
                <w:b/>
              </w:rPr>
              <w:t xml:space="preserve"> Promulgated</w:t>
            </w:r>
            <w:r w:rsidR="008C63D4" w:rsidRPr="00B26BAE">
              <w:rPr>
                <w:rFonts w:ascii="Book Antiqua" w:hAnsi="Book Antiqua" w:cs="Arial"/>
                <w:b/>
              </w:rPr>
              <w:t xml:space="preserve"> </w:t>
            </w:r>
          </w:p>
        </w:tc>
      </w:tr>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On </w:t>
            </w:r>
            <w:r w:rsidR="00624CF6">
              <w:rPr>
                <w:rFonts w:ascii="Book Antiqua" w:hAnsi="Book Antiqua" w:cs="Arial"/>
                <w:b/>
              </w:rPr>
              <w:t>26</w:t>
            </w:r>
            <w:r w:rsidR="00624CF6" w:rsidRPr="00624CF6">
              <w:rPr>
                <w:rFonts w:ascii="Book Antiqua" w:hAnsi="Book Antiqua" w:cs="Arial"/>
                <w:b/>
                <w:vertAlign w:val="superscript"/>
              </w:rPr>
              <w:t>th</w:t>
            </w:r>
            <w:r w:rsidR="00624CF6">
              <w:rPr>
                <w:rFonts w:ascii="Book Antiqua" w:hAnsi="Book Antiqua" w:cs="Arial"/>
                <w:b/>
              </w:rPr>
              <w:t xml:space="preserve"> July</w:t>
            </w:r>
            <w:r w:rsidR="00CB4A10" w:rsidRPr="00B26BAE">
              <w:rPr>
                <w:rFonts w:ascii="Book Antiqua" w:hAnsi="Book Antiqua" w:cs="Arial"/>
                <w:b/>
              </w:rPr>
              <w:t xml:space="preserve"> 201</w:t>
            </w:r>
            <w:r w:rsidR="001233BA">
              <w:rPr>
                <w:rFonts w:ascii="Book Antiqua" w:hAnsi="Book Antiqua" w:cs="Arial"/>
                <w:b/>
              </w:rPr>
              <w:t>8</w:t>
            </w:r>
          </w:p>
        </w:tc>
        <w:tc>
          <w:tcPr>
            <w:tcW w:w="3960" w:type="dxa"/>
            <w:shd w:val="clear" w:color="auto" w:fill="auto"/>
          </w:tcPr>
          <w:p w:rsidR="00D22636" w:rsidRPr="00B26BAE" w:rsidRDefault="00542B9A" w:rsidP="00B26BAE">
            <w:pPr>
              <w:jc w:val="both"/>
              <w:rPr>
                <w:rFonts w:ascii="Book Antiqua" w:hAnsi="Book Antiqua" w:cs="Arial"/>
                <w:b/>
              </w:rPr>
            </w:pPr>
            <w:r>
              <w:rPr>
                <w:rFonts w:ascii="Book Antiqua" w:hAnsi="Book Antiqua" w:cs="Arial"/>
                <w:b/>
              </w:rPr>
              <w:t>On 6</w:t>
            </w:r>
            <w:r w:rsidRPr="00542B9A">
              <w:rPr>
                <w:rFonts w:ascii="Book Antiqua" w:hAnsi="Book Antiqua" w:cs="Arial"/>
                <w:b/>
                <w:vertAlign w:val="superscript"/>
              </w:rPr>
              <w:t>th</w:t>
            </w:r>
            <w:r>
              <w:rPr>
                <w:rFonts w:ascii="Book Antiqua" w:hAnsi="Book Antiqua" w:cs="Arial"/>
                <w:b/>
              </w:rPr>
              <w:t xml:space="preserve"> August 2018</w:t>
            </w:r>
          </w:p>
        </w:tc>
      </w:tr>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p>
        </w:tc>
        <w:tc>
          <w:tcPr>
            <w:tcW w:w="3960" w:type="dxa"/>
            <w:shd w:val="clear" w:color="auto" w:fill="auto"/>
          </w:tcPr>
          <w:p w:rsidR="00D22636" w:rsidRPr="00B26BAE" w:rsidRDefault="00D22636" w:rsidP="00B26BAE">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 xml:space="preserve">UPPER </w:t>
      </w:r>
      <w:r w:rsidR="003278F6">
        <w:rPr>
          <w:rFonts w:ascii="Book Antiqua" w:hAnsi="Book Antiqua" w:cs="Arial"/>
          <w:b/>
        </w:rPr>
        <w:t>TRIBUNAL</w:t>
      </w:r>
      <w:r w:rsidR="00707DB1">
        <w:rPr>
          <w:rFonts w:ascii="Book Antiqua" w:hAnsi="Book Antiqua" w:cs="Arial"/>
          <w:b/>
        </w:rPr>
        <w:t xml:space="preserve"> </w:t>
      </w:r>
      <w:r w:rsidR="00E1040E">
        <w:rPr>
          <w:rFonts w:ascii="Book Antiqua" w:hAnsi="Book Antiqua" w:cs="Arial"/>
          <w:b/>
        </w:rPr>
        <w:t xml:space="preserve">JUDGE </w:t>
      </w:r>
      <w:r w:rsidR="000E4845">
        <w:rPr>
          <w:rFonts w:ascii="Book Antiqua" w:hAnsi="Book Antiqua" w:cs="Arial"/>
          <w:b/>
        </w:rPr>
        <w:t>REEDS</w:t>
      </w:r>
    </w:p>
    <w:p w:rsidR="00B16F58" w:rsidRPr="00F5664C" w:rsidRDefault="00B16F58" w:rsidP="00A15234">
      <w:pPr>
        <w:jc w:val="center"/>
        <w:rPr>
          <w:rFonts w:ascii="Book Antiqua" w:hAnsi="Book Antiqua" w:cs="Arial"/>
          <w:b/>
        </w:rPr>
      </w:pPr>
    </w:p>
    <w:p w:rsidR="00A827CC" w:rsidRDefault="00A827C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624CF6" w:rsidP="00742A8D">
      <w:pPr>
        <w:jc w:val="center"/>
        <w:rPr>
          <w:rFonts w:ascii="Book Antiqua" w:hAnsi="Book Antiqua" w:cs="Arial"/>
          <w:b/>
          <w:caps/>
        </w:rPr>
      </w:pPr>
      <w:r>
        <w:rPr>
          <w:rFonts w:ascii="Book Antiqua" w:hAnsi="Book Antiqua" w:cs="Arial"/>
          <w:b/>
          <w:caps/>
        </w:rPr>
        <w:t>Damanjeet kaur</w:t>
      </w:r>
    </w:p>
    <w:p w:rsidR="00C77259" w:rsidRPr="00A827CC" w:rsidRDefault="00C77259" w:rsidP="00C77259">
      <w:pPr>
        <w:jc w:val="center"/>
        <w:rPr>
          <w:rFonts w:ascii="Book Antiqua" w:hAnsi="Book Antiqua" w:cs="Arial"/>
          <w:b/>
          <w:caps/>
          <w:sz w:val="22"/>
        </w:rPr>
      </w:pPr>
      <w:r w:rsidRPr="00A827CC">
        <w:rPr>
          <w:rFonts w:ascii="Book Antiqua" w:hAnsi="Book Antiqua" w:cs="Arial"/>
          <w:b/>
          <w:caps/>
          <w:sz w:val="22"/>
        </w:rPr>
        <w:t xml:space="preserve">(ANONYMITY DIRECTION </w:t>
      </w:r>
      <w:r w:rsidR="00B40B20" w:rsidRPr="00A827CC">
        <w:rPr>
          <w:rFonts w:ascii="Book Antiqua" w:hAnsi="Book Antiqua" w:cs="Arial"/>
          <w:b/>
          <w:caps/>
          <w:sz w:val="22"/>
        </w:rPr>
        <w:t xml:space="preserve">not </w:t>
      </w:r>
      <w:r w:rsidR="00CB4A10" w:rsidRPr="00A827CC">
        <w:rPr>
          <w:rFonts w:ascii="Book Antiqua" w:hAnsi="Book Antiqua" w:cs="Arial"/>
          <w:b/>
          <w:caps/>
          <w:sz w:val="22"/>
        </w:rPr>
        <w:t>made</w:t>
      </w:r>
      <w:r w:rsidRPr="00A827CC">
        <w:rPr>
          <w:rFonts w:ascii="Book Antiqua" w:hAnsi="Book Antiqua" w:cs="Arial"/>
          <w:b/>
          <w:caps/>
          <w:sz w:val="22"/>
        </w:rPr>
        <w:t>)</w:t>
      </w:r>
    </w:p>
    <w:p w:rsidR="00704B61" w:rsidRPr="00F5664C" w:rsidRDefault="003278F6"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3278F6"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1E47A5">
      <w:pPr>
        <w:tabs>
          <w:tab w:val="left" w:pos="2552"/>
        </w:tabs>
        <w:ind w:left="2520" w:hanging="2520"/>
        <w:rPr>
          <w:rFonts w:ascii="Book Antiqua" w:hAnsi="Book Antiqua" w:cs="Arial"/>
        </w:rPr>
      </w:pPr>
      <w:r w:rsidRPr="00F5664C">
        <w:rPr>
          <w:rFonts w:ascii="Book Antiqua" w:hAnsi="Book Antiqua" w:cs="Arial"/>
        </w:rPr>
        <w:t xml:space="preserve">For the </w:t>
      </w:r>
      <w:r w:rsidR="003278F6">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3278F6">
        <w:rPr>
          <w:rFonts w:ascii="Book Antiqua" w:hAnsi="Book Antiqua" w:cs="Arial"/>
        </w:rPr>
        <w:t>Mr Malik</w:t>
      </w:r>
      <w:r w:rsidR="001233BA">
        <w:rPr>
          <w:rFonts w:ascii="Book Antiqua" w:hAnsi="Book Antiqua" w:cs="Arial"/>
        </w:rPr>
        <w:t>,</w:t>
      </w:r>
      <w:r w:rsidR="001E47A5">
        <w:rPr>
          <w:rFonts w:ascii="Book Antiqua" w:hAnsi="Book Antiqua" w:cs="Arial"/>
        </w:rPr>
        <w:t xml:space="preserve"> instructed on behalf of the </w:t>
      </w:r>
      <w:r w:rsidR="003278F6">
        <w:rPr>
          <w:rFonts w:ascii="Book Antiqua" w:hAnsi="Book Antiqua" w:cs="Arial"/>
        </w:rPr>
        <w:t>Appellant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3278F6">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703C30">
        <w:rPr>
          <w:rFonts w:ascii="Book Antiqua" w:hAnsi="Book Antiqua" w:cs="Arial"/>
        </w:rPr>
        <w:t xml:space="preserve">Ms Aboni, </w:t>
      </w:r>
      <w:r w:rsidR="002B1371">
        <w:rPr>
          <w:rFonts w:ascii="Book Antiqua" w:hAnsi="Book Antiqua" w:cs="Arial"/>
        </w:rPr>
        <w:t>Senior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C7725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963953" w:rsidRPr="00963953" w:rsidRDefault="002B1371" w:rsidP="00963953">
      <w:pPr>
        <w:numPr>
          <w:ilvl w:val="0"/>
          <w:numId w:val="3"/>
        </w:numPr>
        <w:spacing w:before="240"/>
        <w:jc w:val="both"/>
        <w:rPr>
          <w:rFonts w:ascii="Book Antiqua" w:hAnsi="Book Antiqua" w:cs="Arial"/>
        </w:rPr>
      </w:pPr>
      <w:r>
        <w:rPr>
          <w:rFonts w:ascii="Book Antiqua" w:hAnsi="Book Antiqua" w:cs="Arial"/>
        </w:rPr>
        <w:t>Th</w:t>
      </w:r>
      <w:r w:rsidR="00723DEB">
        <w:rPr>
          <w:rFonts w:ascii="Book Antiqua" w:hAnsi="Book Antiqua" w:cs="Arial"/>
        </w:rPr>
        <w:t xml:space="preserve">e </w:t>
      </w:r>
      <w:r w:rsidR="003278F6">
        <w:rPr>
          <w:rFonts w:ascii="Book Antiqua" w:hAnsi="Book Antiqua" w:cs="Arial"/>
        </w:rPr>
        <w:t>Appellant</w:t>
      </w:r>
      <w:r w:rsidR="00624CF6">
        <w:rPr>
          <w:rFonts w:ascii="Book Antiqua" w:hAnsi="Book Antiqua" w:cs="Arial"/>
        </w:rPr>
        <w:t xml:space="preserve"> is a citizen of India</w:t>
      </w:r>
      <w:r>
        <w:rPr>
          <w:rFonts w:ascii="Book Antiqua" w:hAnsi="Book Antiqua" w:cs="Arial"/>
        </w:rPr>
        <w:t xml:space="preserve">.  </w:t>
      </w:r>
    </w:p>
    <w:p w:rsidR="002B1371" w:rsidRDefault="007D0CFC" w:rsidP="00B40B20">
      <w:pPr>
        <w:numPr>
          <w:ilvl w:val="0"/>
          <w:numId w:val="3"/>
        </w:numPr>
        <w:spacing w:before="240"/>
        <w:jc w:val="both"/>
        <w:rPr>
          <w:rFonts w:ascii="Book Antiqua" w:hAnsi="Book Antiqua" w:cs="Arial"/>
        </w:rPr>
      </w:pPr>
      <w:r w:rsidRPr="000D436D">
        <w:rPr>
          <w:rFonts w:ascii="Book Antiqua" w:hAnsi="Book Antiqua" w:cs="Arial"/>
        </w:rPr>
        <w:t xml:space="preserve">The </w:t>
      </w:r>
      <w:r w:rsidR="003278F6">
        <w:rPr>
          <w:rFonts w:ascii="Book Antiqua" w:hAnsi="Book Antiqua" w:cs="Arial"/>
        </w:rPr>
        <w:t>Appellant</w:t>
      </w:r>
      <w:r w:rsidR="00C44EFB">
        <w:rPr>
          <w:rFonts w:ascii="Book Antiqua" w:hAnsi="Book Antiqua" w:cs="Arial"/>
        </w:rPr>
        <w:t>,</w:t>
      </w:r>
      <w:r w:rsidR="00B5034A">
        <w:rPr>
          <w:rFonts w:ascii="Book Antiqua" w:hAnsi="Book Antiqua" w:cs="Arial"/>
        </w:rPr>
        <w:t xml:space="preserve"> with permission</w:t>
      </w:r>
      <w:r w:rsidR="00C44EFB">
        <w:rPr>
          <w:rFonts w:ascii="Book Antiqua" w:hAnsi="Book Antiqua" w:cs="Arial"/>
        </w:rPr>
        <w:t>,</w:t>
      </w:r>
      <w:r w:rsidRPr="000D436D">
        <w:rPr>
          <w:rFonts w:ascii="Book Antiqua" w:hAnsi="Book Antiqua" w:cs="Arial"/>
        </w:rPr>
        <w:t xml:space="preserve"> appeals against the decision of the </w:t>
      </w:r>
      <w:r w:rsidR="009C74C5" w:rsidRPr="000D436D">
        <w:rPr>
          <w:rFonts w:ascii="Book Antiqua" w:hAnsi="Book Antiqua" w:cs="Arial"/>
        </w:rPr>
        <w:t>First</w:t>
      </w:r>
      <w:r w:rsidRPr="000D436D">
        <w:rPr>
          <w:rFonts w:ascii="Book Antiqua" w:hAnsi="Book Antiqua" w:cs="Arial"/>
        </w:rPr>
        <w:t xml:space="preserve">-tier </w:t>
      </w:r>
      <w:r w:rsidR="003278F6">
        <w:rPr>
          <w:rFonts w:ascii="Book Antiqua" w:hAnsi="Book Antiqua" w:cs="Arial"/>
        </w:rPr>
        <w:t>Tribunal</w:t>
      </w:r>
      <w:r w:rsidR="00624CF6">
        <w:rPr>
          <w:rFonts w:ascii="Book Antiqua" w:hAnsi="Book Antiqua" w:cs="Arial"/>
        </w:rPr>
        <w:t xml:space="preserve"> Judge Taylor</w:t>
      </w:r>
      <w:r w:rsidRPr="000D436D">
        <w:rPr>
          <w:rFonts w:ascii="Book Antiqua" w:hAnsi="Book Antiqua" w:cs="Arial"/>
        </w:rPr>
        <w:t>, who, in a determination promulgated</w:t>
      </w:r>
      <w:r w:rsidR="001E47A5" w:rsidRPr="000D436D">
        <w:rPr>
          <w:rFonts w:ascii="Book Antiqua" w:hAnsi="Book Antiqua" w:cs="Arial"/>
        </w:rPr>
        <w:t xml:space="preserve"> on</w:t>
      </w:r>
      <w:r w:rsidRPr="000D436D">
        <w:rPr>
          <w:rFonts w:ascii="Book Antiqua" w:hAnsi="Book Antiqua" w:cs="Arial"/>
        </w:rPr>
        <w:t xml:space="preserve"> </w:t>
      </w:r>
      <w:r w:rsidR="00723DEB" w:rsidRPr="000D436D">
        <w:rPr>
          <w:rFonts w:ascii="Book Antiqua" w:hAnsi="Book Antiqua" w:cs="Arial"/>
        </w:rPr>
        <w:t xml:space="preserve">the </w:t>
      </w:r>
      <w:r w:rsidR="00624CF6">
        <w:rPr>
          <w:rFonts w:ascii="Book Antiqua" w:hAnsi="Book Antiqua" w:cs="Arial"/>
        </w:rPr>
        <w:t>19</w:t>
      </w:r>
      <w:r w:rsidR="00624CF6" w:rsidRPr="00624CF6">
        <w:rPr>
          <w:rFonts w:ascii="Book Antiqua" w:hAnsi="Book Antiqua" w:cs="Arial"/>
          <w:vertAlign w:val="superscript"/>
        </w:rPr>
        <w:t>th</w:t>
      </w:r>
      <w:r w:rsidR="00624CF6">
        <w:rPr>
          <w:rFonts w:ascii="Book Antiqua" w:hAnsi="Book Antiqua" w:cs="Arial"/>
        </w:rPr>
        <w:t xml:space="preserve"> December</w:t>
      </w:r>
      <w:r w:rsidR="001233BA">
        <w:rPr>
          <w:rFonts w:ascii="Book Antiqua" w:hAnsi="Book Antiqua" w:cs="Arial"/>
        </w:rPr>
        <w:t xml:space="preserve"> 2017</w:t>
      </w:r>
      <w:r w:rsidR="00B5034A">
        <w:rPr>
          <w:rFonts w:ascii="Book Antiqua" w:hAnsi="Book Antiqua" w:cs="Arial"/>
        </w:rPr>
        <w:t>,</w:t>
      </w:r>
      <w:r w:rsidR="00AC31D7">
        <w:rPr>
          <w:rFonts w:ascii="Book Antiqua" w:hAnsi="Book Antiqua" w:cs="Arial"/>
        </w:rPr>
        <w:t xml:space="preserve"> d</w:t>
      </w:r>
      <w:r w:rsidR="00624CF6">
        <w:rPr>
          <w:rFonts w:ascii="Book Antiqua" w:hAnsi="Book Antiqua" w:cs="Arial"/>
        </w:rPr>
        <w:t>ismissed her</w:t>
      </w:r>
      <w:r w:rsidR="00B40B20">
        <w:rPr>
          <w:rFonts w:ascii="Book Antiqua" w:hAnsi="Book Antiqua" w:cs="Arial"/>
        </w:rPr>
        <w:t xml:space="preserve"> appeal against the decision of the </w:t>
      </w:r>
      <w:r w:rsidR="003278F6">
        <w:rPr>
          <w:rFonts w:ascii="Book Antiqua" w:hAnsi="Book Antiqua" w:cs="Arial"/>
        </w:rPr>
        <w:t>Respondent</w:t>
      </w:r>
      <w:r w:rsidR="00624CF6">
        <w:rPr>
          <w:rFonts w:ascii="Book Antiqua" w:hAnsi="Book Antiqua" w:cs="Arial"/>
        </w:rPr>
        <w:t xml:space="preserve"> made on the 18</w:t>
      </w:r>
      <w:r w:rsidR="00624CF6" w:rsidRPr="00624CF6">
        <w:rPr>
          <w:rFonts w:ascii="Book Antiqua" w:hAnsi="Book Antiqua" w:cs="Arial"/>
          <w:vertAlign w:val="superscript"/>
        </w:rPr>
        <w:t>th</w:t>
      </w:r>
      <w:r w:rsidR="00624CF6">
        <w:rPr>
          <w:rFonts w:ascii="Book Antiqua" w:hAnsi="Book Antiqua" w:cs="Arial"/>
        </w:rPr>
        <w:t xml:space="preserve"> January 2017 to refuse her application for leave to remain on </w:t>
      </w:r>
      <w:r w:rsidR="003278F6">
        <w:rPr>
          <w:rFonts w:ascii="Book Antiqua" w:hAnsi="Book Antiqua" w:cs="Arial"/>
        </w:rPr>
        <w:t>Article</w:t>
      </w:r>
      <w:r w:rsidR="00624CF6">
        <w:rPr>
          <w:rFonts w:ascii="Book Antiqua" w:hAnsi="Book Antiqua" w:cs="Arial"/>
        </w:rPr>
        <w:t xml:space="preserve"> 8 grounds</w:t>
      </w:r>
      <w:r w:rsidR="00B40B20">
        <w:rPr>
          <w:rFonts w:ascii="Book Antiqua" w:hAnsi="Book Antiqua" w:cs="Arial"/>
        </w:rPr>
        <w:t>.</w:t>
      </w:r>
      <w:r w:rsidRPr="000D436D">
        <w:rPr>
          <w:rFonts w:ascii="Book Antiqua" w:hAnsi="Book Antiqua" w:cs="Arial"/>
        </w:rPr>
        <w:t xml:space="preserve"> </w:t>
      </w:r>
    </w:p>
    <w:p w:rsidR="00E71567" w:rsidRDefault="00E71567" w:rsidP="00E71567">
      <w:pPr>
        <w:numPr>
          <w:ilvl w:val="0"/>
          <w:numId w:val="3"/>
        </w:numPr>
        <w:spacing w:before="240"/>
        <w:jc w:val="both"/>
        <w:rPr>
          <w:rFonts w:ascii="Book Antiqua" w:hAnsi="Book Antiqua" w:cs="Arial"/>
        </w:rPr>
      </w:pPr>
      <w:r>
        <w:rPr>
          <w:rFonts w:ascii="Book Antiqua" w:hAnsi="Book Antiqua" w:cs="Arial"/>
        </w:rPr>
        <w:lastRenderedPageBreak/>
        <w:t>Permission</w:t>
      </w:r>
      <w:r w:rsidR="00624CF6">
        <w:rPr>
          <w:rFonts w:ascii="Book Antiqua" w:hAnsi="Book Antiqua" w:cs="Arial"/>
        </w:rPr>
        <w:t xml:space="preserve"> to appeal was granted</w:t>
      </w:r>
      <w:r>
        <w:rPr>
          <w:rFonts w:ascii="Book Antiqua" w:hAnsi="Book Antiqua" w:cs="Arial"/>
        </w:rPr>
        <w:t xml:space="preserve"> by the First-tier </w:t>
      </w:r>
      <w:r w:rsidR="003278F6">
        <w:rPr>
          <w:rFonts w:ascii="Book Antiqua" w:hAnsi="Book Antiqua" w:cs="Arial"/>
        </w:rPr>
        <w:t>Tribunal</w:t>
      </w:r>
      <w:r>
        <w:rPr>
          <w:rFonts w:ascii="Book Antiqua" w:hAnsi="Book Antiqua" w:cs="Arial"/>
        </w:rPr>
        <w:t xml:space="preserve"> </w:t>
      </w:r>
      <w:r w:rsidR="00624CF6">
        <w:rPr>
          <w:rFonts w:ascii="Book Antiqua" w:hAnsi="Book Antiqua" w:cs="Arial"/>
        </w:rPr>
        <w:t>(Judge Froom)</w:t>
      </w:r>
      <w:r>
        <w:rPr>
          <w:rFonts w:ascii="Book Antiqua" w:hAnsi="Book Antiqua" w:cs="Arial"/>
        </w:rPr>
        <w:t xml:space="preserve"> on the</w:t>
      </w:r>
      <w:r w:rsidR="00624CF6">
        <w:rPr>
          <w:rFonts w:ascii="Book Antiqua" w:hAnsi="Book Antiqua" w:cs="Arial"/>
        </w:rPr>
        <w:t xml:space="preserve"> 3</w:t>
      </w:r>
      <w:r w:rsidR="00624CF6" w:rsidRPr="00624CF6">
        <w:rPr>
          <w:rFonts w:ascii="Book Antiqua" w:hAnsi="Book Antiqua" w:cs="Arial"/>
          <w:vertAlign w:val="superscript"/>
        </w:rPr>
        <w:t>rd</w:t>
      </w:r>
      <w:r w:rsidR="00624CF6">
        <w:rPr>
          <w:rFonts w:ascii="Book Antiqua" w:hAnsi="Book Antiqua" w:cs="Arial"/>
        </w:rPr>
        <w:t xml:space="preserve"> May 2018</w:t>
      </w:r>
      <w:r w:rsidR="003278F6">
        <w:rPr>
          <w:rFonts w:ascii="Book Antiqua" w:hAnsi="Book Antiqua" w:cs="Arial"/>
        </w:rPr>
        <w:t xml:space="preserve"> in the following terms:</w:t>
      </w:r>
    </w:p>
    <w:p w:rsidR="003278F6" w:rsidRPr="00A827CC" w:rsidRDefault="003278F6" w:rsidP="00A827CC">
      <w:pPr>
        <w:spacing w:before="120"/>
        <w:ind w:left="1134" w:right="567"/>
        <w:jc w:val="both"/>
        <w:rPr>
          <w:rFonts w:ascii="Book Antiqua" w:hAnsi="Book Antiqua" w:cs="Arial"/>
          <w:sz w:val="22"/>
        </w:rPr>
      </w:pPr>
      <w:r w:rsidRPr="00A827CC">
        <w:rPr>
          <w:rFonts w:ascii="Book Antiqua" w:hAnsi="Book Antiqua" w:cs="Arial"/>
          <w:sz w:val="22"/>
        </w:rPr>
        <w:t>“The Appellant could not succeed under paragraph 276 ADE (1)(v) because at the date of the application, she had not spent half her life in the UK. However, at the date of the hearing she had and she was still under 25.</w:t>
      </w:r>
    </w:p>
    <w:p w:rsidR="003278F6" w:rsidRPr="00A827CC" w:rsidRDefault="003278F6" w:rsidP="00A827CC">
      <w:pPr>
        <w:spacing w:before="120"/>
        <w:ind w:left="1134" w:right="567"/>
        <w:jc w:val="both"/>
        <w:rPr>
          <w:rFonts w:ascii="Book Antiqua" w:hAnsi="Book Antiqua" w:cs="Arial"/>
          <w:sz w:val="22"/>
        </w:rPr>
      </w:pPr>
      <w:r w:rsidRPr="00A827CC">
        <w:rPr>
          <w:rFonts w:ascii="Book Antiqua" w:hAnsi="Book Antiqua" w:cs="Arial"/>
          <w:sz w:val="22"/>
        </w:rPr>
        <w:t xml:space="preserve">It is arguable the </w:t>
      </w:r>
      <w:proofErr w:type="spellStart"/>
      <w:r w:rsidRPr="00A827CC">
        <w:rPr>
          <w:rFonts w:ascii="Book Antiqua" w:hAnsi="Book Antiqua" w:cs="Arial"/>
          <w:sz w:val="22"/>
        </w:rPr>
        <w:t>FtTJ</w:t>
      </w:r>
      <w:proofErr w:type="spellEnd"/>
      <w:r w:rsidRPr="00A827CC">
        <w:rPr>
          <w:rFonts w:ascii="Book Antiqua" w:hAnsi="Book Antiqua" w:cs="Arial"/>
          <w:sz w:val="22"/>
        </w:rPr>
        <w:t>, when assessing the public interest, failed to grapple adequately with the tension between the effect of section 117B (5), which require little weight to be given to the appellant’s private life, and the effect of the respondent policy, expressed through the Rules, that spending more than half one’s life while still under the age of 25 should normally lead to a grant of leave.”</w:t>
      </w:r>
    </w:p>
    <w:p w:rsidR="00624CF6" w:rsidRDefault="00E71567" w:rsidP="00624CF6">
      <w:pPr>
        <w:numPr>
          <w:ilvl w:val="0"/>
          <w:numId w:val="3"/>
        </w:numPr>
        <w:spacing w:before="240"/>
        <w:jc w:val="both"/>
        <w:rPr>
          <w:rFonts w:ascii="Book Antiqua" w:hAnsi="Book Antiqua" w:cs="Arial"/>
        </w:rPr>
      </w:pPr>
      <w:r>
        <w:rPr>
          <w:rFonts w:ascii="Book Antiqua" w:hAnsi="Book Antiqua" w:cs="Arial"/>
        </w:rPr>
        <w:t xml:space="preserve">The </w:t>
      </w:r>
      <w:r w:rsidR="003278F6">
        <w:rPr>
          <w:rFonts w:ascii="Book Antiqua" w:hAnsi="Book Antiqua" w:cs="Arial"/>
        </w:rPr>
        <w:t>Appellant’s</w:t>
      </w:r>
      <w:r w:rsidR="00624CF6">
        <w:rPr>
          <w:rFonts w:ascii="Book Antiqua" w:hAnsi="Book Antiqua" w:cs="Arial"/>
        </w:rPr>
        <w:t xml:space="preserve"> immigration history is set out in the decision at a paragraph 1 and reference is made to a previous decision made by the FTT dismissing her earlier appeal at paragraph 11.</w:t>
      </w:r>
    </w:p>
    <w:p w:rsidR="003D6F6B" w:rsidRDefault="003D6F6B" w:rsidP="00624CF6">
      <w:pPr>
        <w:numPr>
          <w:ilvl w:val="0"/>
          <w:numId w:val="3"/>
        </w:numPr>
        <w:spacing w:before="240"/>
        <w:jc w:val="both"/>
        <w:rPr>
          <w:rFonts w:ascii="Book Antiqua" w:hAnsi="Book Antiqua" w:cs="Arial"/>
        </w:rPr>
      </w:pPr>
      <w:r>
        <w:rPr>
          <w:rFonts w:ascii="Book Antiqua" w:hAnsi="Book Antiqua" w:cs="Arial"/>
        </w:rPr>
        <w:t xml:space="preserve">On 25 August 2004 the </w:t>
      </w:r>
      <w:r w:rsidR="003278F6">
        <w:rPr>
          <w:rFonts w:ascii="Book Antiqua" w:hAnsi="Book Antiqua" w:cs="Arial"/>
        </w:rPr>
        <w:t>Appellant</w:t>
      </w:r>
      <w:r>
        <w:rPr>
          <w:rFonts w:ascii="Book Antiqua" w:hAnsi="Book Antiqua" w:cs="Arial"/>
        </w:rPr>
        <w:t xml:space="preserve">, her mother and elder sister entered the UK as visitors. The </w:t>
      </w:r>
      <w:r w:rsidR="003278F6">
        <w:rPr>
          <w:rFonts w:ascii="Book Antiqua" w:hAnsi="Book Antiqua" w:cs="Arial"/>
        </w:rPr>
        <w:t>Appellant</w:t>
      </w:r>
      <w:r>
        <w:rPr>
          <w:rFonts w:ascii="Book Antiqua" w:hAnsi="Book Antiqua" w:cs="Arial"/>
        </w:rPr>
        <w:t xml:space="preserve"> was aged 11 years and nine months. They were granted entry clearance valid until 9 February 2005.</w:t>
      </w:r>
    </w:p>
    <w:p w:rsidR="003D6F6B" w:rsidRDefault="003D6F6B" w:rsidP="00624CF6">
      <w:pPr>
        <w:numPr>
          <w:ilvl w:val="0"/>
          <w:numId w:val="3"/>
        </w:numPr>
        <w:spacing w:before="240"/>
        <w:jc w:val="both"/>
        <w:rPr>
          <w:rFonts w:ascii="Book Antiqua" w:hAnsi="Book Antiqua" w:cs="Arial"/>
        </w:rPr>
      </w:pPr>
      <w:r>
        <w:rPr>
          <w:rFonts w:ascii="Book Antiqua" w:hAnsi="Book Antiqua" w:cs="Arial"/>
        </w:rPr>
        <w:t xml:space="preserve">At the conclusion of the period of leave, the </w:t>
      </w:r>
      <w:r w:rsidR="003278F6">
        <w:rPr>
          <w:rFonts w:ascii="Book Antiqua" w:hAnsi="Book Antiqua" w:cs="Arial"/>
        </w:rPr>
        <w:t>Appellant</w:t>
      </w:r>
      <w:r>
        <w:rPr>
          <w:rFonts w:ascii="Book Antiqua" w:hAnsi="Book Antiqua" w:cs="Arial"/>
        </w:rPr>
        <w:t>,</w:t>
      </w:r>
      <w:r w:rsidR="00703C30">
        <w:rPr>
          <w:rFonts w:ascii="Book Antiqua" w:hAnsi="Book Antiqua" w:cs="Arial"/>
        </w:rPr>
        <w:t xml:space="preserve"> and her mother did</w:t>
      </w:r>
      <w:r>
        <w:rPr>
          <w:rFonts w:ascii="Book Antiqua" w:hAnsi="Book Antiqua" w:cs="Arial"/>
        </w:rPr>
        <w:t xml:space="preserve"> not return to India but remained in United Kingdom. It was only on 22 August 2011 (6 ½ years later) that the family members made an application so as to regularise their stay in United Kingdom.</w:t>
      </w:r>
    </w:p>
    <w:p w:rsidR="003D6F6B" w:rsidRDefault="003D6F6B" w:rsidP="00624CF6">
      <w:pPr>
        <w:numPr>
          <w:ilvl w:val="0"/>
          <w:numId w:val="3"/>
        </w:numPr>
        <w:spacing w:before="240"/>
        <w:jc w:val="both"/>
        <w:rPr>
          <w:rFonts w:ascii="Book Antiqua" w:hAnsi="Book Antiqua" w:cs="Arial"/>
        </w:rPr>
      </w:pPr>
      <w:r>
        <w:rPr>
          <w:rFonts w:ascii="Book Antiqua" w:hAnsi="Book Antiqua" w:cs="Arial"/>
        </w:rPr>
        <w:t>I</w:t>
      </w:r>
      <w:r w:rsidR="00703C30">
        <w:rPr>
          <w:rFonts w:ascii="Book Antiqua" w:hAnsi="Book Antiqua" w:cs="Arial"/>
        </w:rPr>
        <w:t>t is also a matter of record that</w:t>
      </w:r>
      <w:r>
        <w:rPr>
          <w:rFonts w:ascii="Book Antiqua" w:hAnsi="Book Antiqua" w:cs="Arial"/>
        </w:rPr>
        <w:t xml:space="preserve"> between 25 October 2004 and 30 October 2006 the </w:t>
      </w:r>
      <w:r w:rsidR="003278F6">
        <w:rPr>
          <w:rFonts w:ascii="Book Antiqua" w:hAnsi="Book Antiqua" w:cs="Arial"/>
        </w:rPr>
        <w:t>Appellant’s</w:t>
      </w:r>
      <w:r>
        <w:rPr>
          <w:rFonts w:ascii="Book Antiqua" w:hAnsi="Book Antiqua" w:cs="Arial"/>
        </w:rPr>
        <w:t xml:space="preserve"> mother made four visits to India in order to see her elderly parents.</w:t>
      </w:r>
    </w:p>
    <w:p w:rsidR="003D6F6B" w:rsidRDefault="003D6F6B" w:rsidP="00624CF6">
      <w:pPr>
        <w:numPr>
          <w:ilvl w:val="0"/>
          <w:numId w:val="3"/>
        </w:numPr>
        <w:spacing w:before="240"/>
        <w:jc w:val="both"/>
        <w:rPr>
          <w:rFonts w:ascii="Book Antiqua" w:hAnsi="Book Antiqua" w:cs="Arial"/>
        </w:rPr>
      </w:pPr>
      <w:r>
        <w:rPr>
          <w:rFonts w:ascii="Book Antiqua" w:hAnsi="Book Antiqua" w:cs="Arial"/>
        </w:rPr>
        <w:t xml:space="preserve">On 2 February 2012 the </w:t>
      </w:r>
      <w:r w:rsidR="003278F6">
        <w:rPr>
          <w:rFonts w:ascii="Book Antiqua" w:hAnsi="Book Antiqua" w:cs="Arial"/>
        </w:rPr>
        <w:t>Appellant’s</w:t>
      </w:r>
      <w:r>
        <w:rPr>
          <w:rFonts w:ascii="Book Antiqua" w:hAnsi="Book Antiqua" w:cs="Arial"/>
        </w:rPr>
        <w:t xml:space="preserve"> application was refused </w:t>
      </w:r>
      <w:r w:rsidR="00703C30">
        <w:rPr>
          <w:rFonts w:ascii="Book Antiqua" w:hAnsi="Book Antiqua" w:cs="Arial"/>
        </w:rPr>
        <w:t xml:space="preserve">with </w:t>
      </w:r>
      <w:r>
        <w:rPr>
          <w:rFonts w:ascii="Book Antiqua" w:hAnsi="Book Antiqua" w:cs="Arial"/>
        </w:rPr>
        <w:t>no right of appeal. She was served with an IS15A on 5 November 2013. It appears that further submissions were lodged and on 9 January 2014 the further submissions were refused and was served with an IS151B as an over stayer with a right of appeal.</w:t>
      </w:r>
    </w:p>
    <w:p w:rsidR="003D6F6B" w:rsidRDefault="003D6F6B" w:rsidP="00624CF6">
      <w:pPr>
        <w:numPr>
          <w:ilvl w:val="0"/>
          <w:numId w:val="3"/>
        </w:numPr>
        <w:spacing w:before="240"/>
        <w:jc w:val="both"/>
        <w:rPr>
          <w:rFonts w:ascii="Book Antiqua" w:hAnsi="Book Antiqua" w:cs="Arial"/>
        </w:rPr>
      </w:pPr>
      <w:r>
        <w:rPr>
          <w:rFonts w:ascii="Book Antiqua" w:hAnsi="Book Antiqua" w:cs="Arial"/>
        </w:rPr>
        <w:t>It was this ap</w:t>
      </w:r>
      <w:r w:rsidR="00703C30">
        <w:rPr>
          <w:rFonts w:ascii="Book Antiqua" w:hAnsi="Book Antiqua" w:cs="Arial"/>
        </w:rPr>
        <w:t>plication that came before the F</w:t>
      </w:r>
      <w:r>
        <w:rPr>
          <w:rFonts w:ascii="Book Antiqua" w:hAnsi="Book Antiqua" w:cs="Arial"/>
        </w:rPr>
        <w:t xml:space="preserve">irst-tier </w:t>
      </w:r>
      <w:r w:rsidR="003278F6">
        <w:rPr>
          <w:rFonts w:ascii="Book Antiqua" w:hAnsi="Book Antiqua" w:cs="Arial"/>
        </w:rPr>
        <w:t>Tribunal</w:t>
      </w:r>
      <w:r>
        <w:rPr>
          <w:rFonts w:ascii="Book Antiqua" w:hAnsi="Book Antiqua" w:cs="Arial"/>
        </w:rPr>
        <w:t xml:space="preserve"> on 19 May 2014. In a decision </w:t>
      </w:r>
      <w:r w:rsidR="00703C30">
        <w:rPr>
          <w:rFonts w:ascii="Book Antiqua" w:hAnsi="Book Antiqua" w:cs="Arial"/>
        </w:rPr>
        <w:t xml:space="preserve">promulgated on 3 June 2014 the </w:t>
      </w:r>
      <w:r w:rsidR="003278F6">
        <w:rPr>
          <w:rFonts w:ascii="Book Antiqua" w:hAnsi="Book Antiqua" w:cs="Arial"/>
        </w:rPr>
        <w:t>Tribunal</w:t>
      </w:r>
      <w:r>
        <w:rPr>
          <w:rFonts w:ascii="Book Antiqua" w:hAnsi="Book Antiqua" w:cs="Arial"/>
        </w:rPr>
        <w:t xml:space="preserve"> dismissed her appeal. Permission to appeal th</w:t>
      </w:r>
      <w:r w:rsidR="00703C30">
        <w:rPr>
          <w:rFonts w:ascii="Book Antiqua" w:hAnsi="Book Antiqua" w:cs="Arial"/>
        </w:rPr>
        <w:t>at decision was refused by the F</w:t>
      </w:r>
      <w:r>
        <w:rPr>
          <w:rFonts w:ascii="Book Antiqua" w:hAnsi="Book Antiqua" w:cs="Arial"/>
        </w:rPr>
        <w:t>irst</w:t>
      </w:r>
      <w:r w:rsidR="00703C30">
        <w:rPr>
          <w:rFonts w:ascii="Book Antiqua" w:hAnsi="Book Antiqua" w:cs="Arial"/>
        </w:rPr>
        <w:t xml:space="preserve">-tier </w:t>
      </w:r>
      <w:r w:rsidR="003278F6">
        <w:rPr>
          <w:rFonts w:ascii="Book Antiqua" w:hAnsi="Book Antiqua" w:cs="Arial"/>
        </w:rPr>
        <w:t>Tribunal</w:t>
      </w:r>
      <w:r w:rsidR="00703C30">
        <w:rPr>
          <w:rFonts w:ascii="Book Antiqua" w:hAnsi="Book Antiqua" w:cs="Arial"/>
        </w:rPr>
        <w:t xml:space="preserve"> and also by the U</w:t>
      </w:r>
      <w:r>
        <w:rPr>
          <w:rFonts w:ascii="Book Antiqua" w:hAnsi="Book Antiqua" w:cs="Arial"/>
        </w:rPr>
        <w:t xml:space="preserve">pper </w:t>
      </w:r>
      <w:r w:rsidR="003278F6">
        <w:rPr>
          <w:rFonts w:ascii="Book Antiqua" w:hAnsi="Book Antiqua" w:cs="Arial"/>
        </w:rPr>
        <w:t>Tribunal</w:t>
      </w:r>
      <w:r>
        <w:rPr>
          <w:rFonts w:ascii="Book Antiqua" w:hAnsi="Book Antiqua" w:cs="Arial"/>
        </w:rPr>
        <w:t xml:space="preserve"> and from 27 August 2014 the </w:t>
      </w:r>
      <w:r w:rsidR="003278F6">
        <w:rPr>
          <w:rFonts w:ascii="Book Antiqua" w:hAnsi="Book Antiqua" w:cs="Arial"/>
        </w:rPr>
        <w:t>Appellant</w:t>
      </w:r>
      <w:r>
        <w:rPr>
          <w:rFonts w:ascii="Book Antiqua" w:hAnsi="Book Antiqua" w:cs="Arial"/>
        </w:rPr>
        <w:t xml:space="preserve"> was </w:t>
      </w:r>
      <w:r w:rsidR="00703C30">
        <w:rPr>
          <w:rFonts w:ascii="Book Antiqua" w:hAnsi="Book Antiqua" w:cs="Arial"/>
        </w:rPr>
        <w:t xml:space="preserve">thus </w:t>
      </w:r>
      <w:r>
        <w:rPr>
          <w:rFonts w:ascii="Book Antiqua" w:hAnsi="Book Antiqua" w:cs="Arial"/>
        </w:rPr>
        <w:t>appeal rights exhausted.</w:t>
      </w:r>
    </w:p>
    <w:p w:rsidR="003D6F6B" w:rsidRDefault="003D6F6B" w:rsidP="00624CF6">
      <w:pPr>
        <w:numPr>
          <w:ilvl w:val="0"/>
          <w:numId w:val="3"/>
        </w:numPr>
        <w:spacing w:before="240"/>
        <w:jc w:val="both"/>
        <w:rPr>
          <w:rFonts w:ascii="Book Antiqua" w:hAnsi="Book Antiqua" w:cs="Arial"/>
        </w:rPr>
      </w:pPr>
      <w:r>
        <w:rPr>
          <w:rFonts w:ascii="Book Antiqua" w:hAnsi="Book Antiqua" w:cs="Arial"/>
        </w:rPr>
        <w:t xml:space="preserve">The </w:t>
      </w:r>
      <w:r w:rsidR="003278F6">
        <w:rPr>
          <w:rFonts w:ascii="Book Antiqua" w:hAnsi="Book Antiqua" w:cs="Arial"/>
        </w:rPr>
        <w:t>Appellant’s</w:t>
      </w:r>
      <w:r>
        <w:rPr>
          <w:rFonts w:ascii="Book Antiqua" w:hAnsi="Book Antiqua" w:cs="Arial"/>
        </w:rPr>
        <w:t xml:space="preserve"> mother lodged an application for judicial review on 18 September 2014 which was refused on 21 November 2014.</w:t>
      </w:r>
    </w:p>
    <w:p w:rsidR="003D6F6B" w:rsidRPr="003D6F6B" w:rsidRDefault="003D6F6B" w:rsidP="003D6F6B">
      <w:pPr>
        <w:numPr>
          <w:ilvl w:val="0"/>
          <w:numId w:val="3"/>
        </w:numPr>
        <w:spacing w:before="240"/>
        <w:jc w:val="both"/>
        <w:rPr>
          <w:rFonts w:ascii="Book Antiqua" w:hAnsi="Book Antiqua" w:cs="Arial"/>
        </w:rPr>
      </w:pPr>
      <w:r>
        <w:rPr>
          <w:rFonts w:ascii="Book Antiqua" w:hAnsi="Book Antiqua" w:cs="Arial"/>
        </w:rPr>
        <w:t xml:space="preserve">Thereafter the </w:t>
      </w:r>
      <w:r w:rsidR="003278F6">
        <w:rPr>
          <w:rFonts w:ascii="Book Antiqua" w:hAnsi="Book Antiqua" w:cs="Arial"/>
        </w:rPr>
        <w:t>Appellant</w:t>
      </w:r>
      <w:r>
        <w:rPr>
          <w:rFonts w:ascii="Book Antiqua" w:hAnsi="Book Antiqua" w:cs="Arial"/>
        </w:rPr>
        <w:t xml:space="preserve"> submitted a further application on the basis that she had spent at least half of her life living continuously in United Kingdom (unde</w:t>
      </w:r>
      <w:r w:rsidR="00703C30">
        <w:rPr>
          <w:rFonts w:ascii="Book Antiqua" w:hAnsi="Book Antiqua" w:cs="Arial"/>
        </w:rPr>
        <w:t xml:space="preserve">r paragraph 276 ADE (1) </w:t>
      </w:r>
      <w:r w:rsidR="003278F6">
        <w:rPr>
          <w:rFonts w:ascii="Book Antiqua" w:hAnsi="Book Antiqua" w:cs="Arial"/>
        </w:rPr>
        <w:t xml:space="preserve">(v) </w:t>
      </w:r>
      <w:r w:rsidR="00703C30">
        <w:rPr>
          <w:rFonts w:ascii="Book Antiqua" w:hAnsi="Book Antiqua" w:cs="Arial"/>
        </w:rPr>
        <w:t>of the R</w:t>
      </w:r>
      <w:r>
        <w:rPr>
          <w:rFonts w:ascii="Book Antiqua" w:hAnsi="Book Antiqua" w:cs="Arial"/>
        </w:rPr>
        <w:t>ules).</w:t>
      </w:r>
    </w:p>
    <w:p w:rsidR="003D6F6B" w:rsidRDefault="003D6F6B" w:rsidP="003D6F6B">
      <w:pPr>
        <w:numPr>
          <w:ilvl w:val="0"/>
          <w:numId w:val="3"/>
        </w:numPr>
        <w:spacing w:before="240"/>
        <w:jc w:val="both"/>
        <w:rPr>
          <w:rFonts w:ascii="Book Antiqua" w:hAnsi="Book Antiqua" w:cs="Arial"/>
        </w:rPr>
      </w:pPr>
      <w:r>
        <w:rPr>
          <w:rFonts w:ascii="Book Antiqua" w:hAnsi="Book Antiqua" w:cs="Arial"/>
        </w:rPr>
        <w:t xml:space="preserve">On 18 January 2017 the application for leave to remain on </w:t>
      </w:r>
      <w:r w:rsidR="003278F6">
        <w:rPr>
          <w:rFonts w:ascii="Book Antiqua" w:hAnsi="Book Antiqua" w:cs="Arial"/>
        </w:rPr>
        <w:t>Article</w:t>
      </w:r>
      <w:r w:rsidR="00703C30">
        <w:rPr>
          <w:rFonts w:ascii="Book Antiqua" w:hAnsi="Book Antiqua" w:cs="Arial"/>
        </w:rPr>
        <w:t xml:space="preserve"> 8 grounds was refused with a</w:t>
      </w:r>
      <w:r>
        <w:rPr>
          <w:rFonts w:ascii="Book Antiqua" w:hAnsi="Book Antiqua" w:cs="Arial"/>
        </w:rPr>
        <w:t xml:space="preserve"> right of appeal. </w:t>
      </w:r>
    </w:p>
    <w:p w:rsidR="00A827CC" w:rsidRDefault="00A827CC" w:rsidP="003D6F6B">
      <w:pPr>
        <w:spacing w:before="240"/>
        <w:jc w:val="both"/>
        <w:rPr>
          <w:rFonts w:ascii="Book Antiqua" w:hAnsi="Book Antiqua" w:cs="Arial"/>
          <w:u w:val="single"/>
        </w:rPr>
      </w:pPr>
    </w:p>
    <w:p w:rsidR="003D6F6B" w:rsidRPr="003D6F6B" w:rsidRDefault="003D6F6B" w:rsidP="003D6F6B">
      <w:pPr>
        <w:spacing w:before="240"/>
        <w:jc w:val="both"/>
        <w:rPr>
          <w:rFonts w:ascii="Book Antiqua" w:hAnsi="Book Antiqua" w:cs="Arial"/>
          <w:u w:val="single"/>
        </w:rPr>
      </w:pPr>
      <w:r w:rsidRPr="003D6F6B">
        <w:rPr>
          <w:rFonts w:ascii="Book Antiqua" w:hAnsi="Book Antiqua" w:cs="Arial"/>
          <w:u w:val="single"/>
        </w:rPr>
        <w:lastRenderedPageBreak/>
        <w:t xml:space="preserve">The decision </w:t>
      </w:r>
      <w:r>
        <w:rPr>
          <w:rFonts w:ascii="Book Antiqua" w:hAnsi="Book Antiqua" w:cs="Arial"/>
          <w:u w:val="single"/>
        </w:rPr>
        <w:t xml:space="preserve">made on 18 January 2017 </w:t>
      </w:r>
      <w:r w:rsidRPr="003D6F6B">
        <w:rPr>
          <w:rFonts w:ascii="Book Antiqua" w:hAnsi="Book Antiqua" w:cs="Arial"/>
          <w:u w:val="single"/>
        </w:rPr>
        <w:t>to refuse the application:</w:t>
      </w:r>
    </w:p>
    <w:p w:rsidR="003D6F6B" w:rsidRDefault="003D6F6B" w:rsidP="003D6F6B">
      <w:pPr>
        <w:numPr>
          <w:ilvl w:val="0"/>
          <w:numId w:val="3"/>
        </w:numPr>
        <w:spacing w:before="240"/>
        <w:jc w:val="both"/>
        <w:rPr>
          <w:rFonts w:ascii="Book Antiqua" w:hAnsi="Book Antiqua" w:cs="Arial"/>
        </w:rPr>
      </w:pPr>
      <w:r>
        <w:rPr>
          <w:rFonts w:ascii="Book Antiqua" w:hAnsi="Book Antiqua" w:cs="Arial"/>
        </w:rPr>
        <w:t xml:space="preserve">The Secretary of State set out the nature of her application which was that she sought consideration under private life in the United Kingdom (10 year route). The </w:t>
      </w:r>
      <w:r w:rsidR="003278F6">
        <w:rPr>
          <w:rFonts w:ascii="Book Antiqua" w:hAnsi="Book Antiqua" w:cs="Arial"/>
        </w:rPr>
        <w:t>Appellant</w:t>
      </w:r>
      <w:r>
        <w:rPr>
          <w:rFonts w:ascii="Book Antiqua" w:hAnsi="Book Antiqua" w:cs="Arial"/>
        </w:rPr>
        <w:t xml:space="preserve"> had also raised that she had family and friends in the UK who supported financially and emotionally and that she would wish to continue her studies in United Kingdom and undertake a </w:t>
      </w:r>
      <w:r w:rsidR="00703C30">
        <w:rPr>
          <w:rFonts w:ascii="Book Antiqua" w:hAnsi="Book Antiqua" w:cs="Arial"/>
        </w:rPr>
        <w:t xml:space="preserve">degree course. The </w:t>
      </w:r>
      <w:r w:rsidR="003278F6">
        <w:rPr>
          <w:rFonts w:ascii="Book Antiqua" w:hAnsi="Book Antiqua" w:cs="Arial"/>
        </w:rPr>
        <w:t>Respondent</w:t>
      </w:r>
      <w:r>
        <w:rPr>
          <w:rFonts w:ascii="Book Antiqua" w:hAnsi="Book Antiqua" w:cs="Arial"/>
        </w:rPr>
        <w:t xml:space="preserve"> considered her application for leave to remain on the basis of her family and private life contained within paragraphs 276 ADE (1)-CE of the immigration rules and outside the rules on the basis of </w:t>
      </w:r>
      <w:r w:rsidR="00703C30">
        <w:rPr>
          <w:rFonts w:ascii="Book Antiqua" w:hAnsi="Book Antiqua" w:cs="Arial"/>
        </w:rPr>
        <w:t>“</w:t>
      </w:r>
      <w:r>
        <w:rPr>
          <w:rFonts w:ascii="Book Antiqua" w:hAnsi="Book Antiqua" w:cs="Arial"/>
        </w:rPr>
        <w:t>exceptional circumstances</w:t>
      </w:r>
      <w:r w:rsidR="00703C30">
        <w:rPr>
          <w:rFonts w:ascii="Book Antiqua" w:hAnsi="Book Antiqua" w:cs="Arial"/>
        </w:rPr>
        <w:t>”</w:t>
      </w:r>
      <w:r>
        <w:rPr>
          <w:rFonts w:ascii="Book Antiqua" w:hAnsi="Book Antiqua" w:cs="Arial"/>
        </w:rPr>
        <w:t>.</w:t>
      </w:r>
    </w:p>
    <w:p w:rsidR="003D6F6B" w:rsidRDefault="003D6F6B" w:rsidP="003D6F6B">
      <w:pPr>
        <w:numPr>
          <w:ilvl w:val="0"/>
          <w:numId w:val="3"/>
        </w:numPr>
        <w:spacing w:before="240"/>
        <w:jc w:val="both"/>
        <w:rPr>
          <w:rFonts w:ascii="Book Antiqua" w:hAnsi="Book Antiqua" w:cs="Arial"/>
        </w:rPr>
      </w:pPr>
      <w:r>
        <w:rPr>
          <w:rFonts w:ascii="Book Antiqua" w:hAnsi="Book Antiqua" w:cs="Arial"/>
        </w:rPr>
        <w:t>As to the decision under the 10 year private life route, the Secretary of State accepted that she met the suitability requirements and therefore met the requirements of pa</w:t>
      </w:r>
      <w:r w:rsidR="003278F6">
        <w:rPr>
          <w:rFonts w:ascii="Book Antiqua" w:hAnsi="Book Antiqua" w:cs="Arial"/>
        </w:rPr>
        <w:t>ragraph 276 ADE (1) (i) of the Immigration R</w:t>
      </w:r>
      <w:r>
        <w:rPr>
          <w:rFonts w:ascii="Book Antiqua" w:hAnsi="Book Antiqua" w:cs="Arial"/>
        </w:rPr>
        <w:t>ules.</w:t>
      </w:r>
    </w:p>
    <w:p w:rsidR="003D6F6B" w:rsidRDefault="003D6F6B" w:rsidP="003D6F6B">
      <w:pPr>
        <w:numPr>
          <w:ilvl w:val="0"/>
          <w:numId w:val="3"/>
        </w:numPr>
        <w:spacing w:before="240"/>
        <w:jc w:val="both"/>
        <w:rPr>
          <w:rFonts w:ascii="Book Antiqua" w:hAnsi="Book Antiqua" w:cs="Arial"/>
        </w:rPr>
      </w:pPr>
      <w:r>
        <w:rPr>
          <w:rFonts w:ascii="Book Antiqua" w:hAnsi="Book Antiqua" w:cs="Arial"/>
        </w:rPr>
        <w:t xml:space="preserve">As to her circumstances, the </w:t>
      </w:r>
      <w:r w:rsidR="003278F6">
        <w:rPr>
          <w:rFonts w:ascii="Book Antiqua" w:hAnsi="Book Antiqua" w:cs="Arial"/>
        </w:rPr>
        <w:t>Respondent</w:t>
      </w:r>
      <w:r>
        <w:rPr>
          <w:rFonts w:ascii="Book Antiqua" w:hAnsi="Book Antiqua" w:cs="Arial"/>
        </w:rPr>
        <w:t xml:space="preserve"> took into account th</w:t>
      </w:r>
      <w:r w:rsidR="00685AF1">
        <w:rPr>
          <w:rFonts w:ascii="Book Antiqua" w:hAnsi="Book Antiqua" w:cs="Arial"/>
        </w:rPr>
        <w:t>e date of entry on 25 August 200</w:t>
      </w:r>
      <w:r>
        <w:rPr>
          <w:rFonts w:ascii="Book Antiqua" w:hAnsi="Book Antiqua" w:cs="Arial"/>
        </w:rPr>
        <w:t xml:space="preserve">4 and that at the date of her application she was 23 years and two months old. The </w:t>
      </w:r>
      <w:r w:rsidR="003278F6">
        <w:rPr>
          <w:rFonts w:ascii="Book Antiqua" w:hAnsi="Book Antiqua" w:cs="Arial"/>
        </w:rPr>
        <w:t>Respondent</w:t>
      </w:r>
      <w:r>
        <w:rPr>
          <w:rFonts w:ascii="Book Antiqua" w:hAnsi="Book Antiqua" w:cs="Arial"/>
        </w:rPr>
        <w:t xml:space="preserve"> concluded that she had therefore lived in the UK </w:t>
      </w:r>
      <w:r w:rsidR="00703C30">
        <w:rPr>
          <w:rFonts w:ascii="Book Antiqua" w:hAnsi="Book Antiqua" w:cs="Arial"/>
        </w:rPr>
        <w:t>for 11 years and five months but did not accept</w:t>
      </w:r>
      <w:r>
        <w:rPr>
          <w:rFonts w:ascii="Book Antiqua" w:hAnsi="Book Antiqua" w:cs="Arial"/>
        </w:rPr>
        <w:t xml:space="preserve"> that she had lived in the United Kingdom continuously for at least 20 years and thus could not meet paragraph 276 ADE (1) (iii). </w:t>
      </w:r>
    </w:p>
    <w:p w:rsidR="003D6F6B" w:rsidRDefault="003D6F6B" w:rsidP="003D6F6B">
      <w:pPr>
        <w:numPr>
          <w:ilvl w:val="0"/>
          <w:numId w:val="3"/>
        </w:numPr>
        <w:spacing w:before="240"/>
        <w:jc w:val="both"/>
        <w:rPr>
          <w:rFonts w:ascii="Book Antiqua" w:hAnsi="Book Antiqua" w:cs="Arial"/>
        </w:rPr>
      </w:pPr>
      <w:r>
        <w:rPr>
          <w:rFonts w:ascii="Book Antiqua" w:hAnsi="Book Antiqua" w:cs="Arial"/>
        </w:rPr>
        <w:t>It was also accepted that she was aged between 18 and 25 years and had lived in the UK for 11 years and five months. However it was not accepted that she had spent at least half of her life living continuou</w:t>
      </w:r>
      <w:r w:rsidR="003278F6">
        <w:rPr>
          <w:rFonts w:ascii="Book Antiqua" w:hAnsi="Book Antiqua" w:cs="Arial"/>
        </w:rPr>
        <w:t>sly in the UK and therefore</w:t>
      </w:r>
      <w:r>
        <w:rPr>
          <w:rFonts w:ascii="Book Antiqua" w:hAnsi="Book Antiqua" w:cs="Arial"/>
        </w:rPr>
        <w:t xml:space="preserve"> failed to meet the requirements of pa</w:t>
      </w:r>
      <w:r w:rsidR="003278F6">
        <w:rPr>
          <w:rFonts w:ascii="Book Antiqua" w:hAnsi="Book Antiqua" w:cs="Arial"/>
        </w:rPr>
        <w:t>ragraph 276 ADE (1) (v) of the Immigration R</w:t>
      </w:r>
      <w:r>
        <w:rPr>
          <w:rFonts w:ascii="Book Antiqua" w:hAnsi="Book Antiqua" w:cs="Arial"/>
        </w:rPr>
        <w:t>ules.</w:t>
      </w:r>
    </w:p>
    <w:p w:rsidR="003278F6" w:rsidRDefault="00703C30" w:rsidP="003278F6">
      <w:pPr>
        <w:numPr>
          <w:ilvl w:val="0"/>
          <w:numId w:val="3"/>
        </w:numPr>
        <w:spacing w:before="240"/>
        <w:jc w:val="both"/>
        <w:rPr>
          <w:rFonts w:ascii="Book Antiqua" w:hAnsi="Book Antiqua" w:cs="Arial"/>
        </w:rPr>
      </w:pPr>
      <w:r>
        <w:rPr>
          <w:rFonts w:ascii="Book Antiqua" w:hAnsi="Book Antiqua" w:cs="Arial"/>
        </w:rPr>
        <w:t>The Secretary of S</w:t>
      </w:r>
      <w:r w:rsidR="003D6F6B">
        <w:rPr>
          <w:rFonts w:ascii="Book Antiqua" w:hAnsi="Book Antiqua" w:cs="Arial"/>
        </w:rPr>
        <w:t xml:space="preserve">tate also considered whether she could meet the requirements of paragraph 276 ADE (1) (vi) and whether they would be </w:t>
      </w:r>
      <w:r>
        <w:rPr>
          <w:rFonts w:ascii="Book Antiqua" w:hAnsi="Book Antiqua" w:cs="Arial"/>
        </w:rPr>
        <w:t>“</w:t>
      </w:r>
      <w:r w:rsidR="003D6F6B">
        <w:rPr>
          <w:rFonts w:ascii="Book Antiqua" w:hAnsi="Book Antiqua" w:cs="Arial"/>
        </w:rPr>
        <w:t>very significant obstacles to her integration into the country to which she would have to go if required to leave the UK</w:t>
      </w:r>
      <w:r>
        <w:rPr>
          <w:rFonts w:ascii="Book Antiqua" w:hAnsi="Book Antiqua" w:cs="Arial"/>
        </w:rPr>
        <w:t>”</w:t>
      </w:r>
      <w:r w:rsidR="003D6F6B">
        <w:rPr>
          <w:rFonts w:ascii="Book Antiqua" w:hAnsi="Book Antiqua" w:cs="Arial"/>
        </w:rPr>
        <w:t xml:space="preserve">. In this regard it was not accepted that there would be </w:t>
      </w:r>
      <w:r>
        <w:rPr>
          <w:rFonts w:ascii="Book Antiqua" w:hAnsi="Book Antiqua" w:cs="Arial"/>
        </w:rPr>
        <w:t>“</w:t>
      </w:r>
      <w:r w:rsidR="003D6F6B">
        <w:rPr>
          <w:rFonts w:ascii="Book Antiqua" w:hAnsi="Book Antiqua" w:cs="Arial"/>
        </w:rPr>
        <w:t>very significant obstacles to her integration</w:t>
      </w:r>
      <w:r>
        <w:rPr>
          <w:rFonts w:ascii="Book Antiqua" w:hAnsi="Book Antiqua" w:cs="Arial"/>
        </w:rPr>
        <w:t>”</w:t>
      </w:r>
      <w:r w:rsidR="003D6F6B">
        <w:rPr>
          <w:rFonts w:ascii="Book Antiqua" w:hAnsi="Book Antiqua" w:cs="Arial"/>
        </w:rPr>
        <w:t xml:space="preserve"> into India because she had lived there until the age of 11, she retained knowledge of life and culture there. She spoke Punjabi and that this would further assist her to adapt to life in India. She therefore failed to meet the requirements under paragraph 276 </w:t>
      </w:r>
      <w:r w:rsidR="003278F6">
        <w:rPr>
          <w:rFonts w:ascii="Book Antiqua" w:hAnsi="Book Antiqua" w:cs="Arial"/>
        </w:rPr>
        <w:t>ADE (</w:t>
      </w:r>
      <w:r w:rsidR="003D6F6B">
        <w:rPr>
          <w:rFonts w:ascii="Book Antiqua" w:hAnsi="Book Antiqua" w:cs="Arial"/>
        </w:rPr>
        <w:t>1) (</w:t>
      </w:r>
      <w:r w:rsidR="003278F6">
        <w:rPr>
          <w:rFonts w:ascii="Book Antiqua" w:hAnsi="Book Antiqua" w:cs="Arial"/>
        </w:rPr>
        <w:t>VI) of the Immigration R</w:t>
      </w:r>
      <w:r w:rsidR="003D6F6B">
        <w:rPr>
          <w:rFonts w:ascii="Book Antiqua" w:hAnsi="Book Antiqua" w:cs="Arial"/>
        </w:rPr>
        <w:t>ules. She therefore did not</w:t>
      </w:r>
      <w:r>
        <w:rPr>
          <w:rFonts w:ascii="Book Antiqua" w:hAnsi="Book Antiqua" w:cs="Arial"/>
        </w:rPr>
        <w:t xml:space="preserve"> qualify for leave to remain under</w:t>
      </w:r>
      <w:r w:rsidR="003D6F6B">
        <w:rPr>
          <w:rFonts w:ascii="Book Antiqua" w:hAnsi="Book Antiqua" w:cs="Arial"/>
        </w:rPr>
        <w:t xml:space="preserve"> the 10 year private life route.</w:t>
      </w:r>
    </w:p>
    <w:p w:rsidR="003D6F6B" w:rsidRPr="003278F6" w:rsidRDefault="003D6F6B" w:rsidP="003278F6">
      <w:pPr>
        <w:numPr>
          <w:ilvl w:val="0"/>
          <w:numId w:val="3"/>
        </w:numPr>
        <w:spacing w:before="240"/>
        <w:jc w:val="both"/>
        <w:rPr>
          <w:rFonts w:ascii="Book Antiqua" w:hAnsi="Book Antiqua" w:cs="Arial"/>
        </w:rPr>
      </w:pPr>
      <w:r w:rsidRPr="003278F6">
        <w:rPr>
          <w:rFonts w:ascii="Book Antiqua" w:hAnsi="Book Antiqua" w:cs="Arial"/>
        </w:rPr>
        <w:t xml:space="preserve">As to </w:t>
      </w:r>
      <w:r w:rsidR="00703C30" w:rsidRPr="003278F6">
        <w:rPr>
          <w:rFonts w:ascii="Book Antiqua" w:hAnsi="Book Antiqua" w:cs="Arial"/>
        </w:rPr>
        <w:t>“</w:t>
      </w:r>
      <w:r w:rsidRPr="003278F6">
        <w:rPr>
          <w:rFonts w:ascii="Book Antiqua" w:hAnsi="Book Antiqua" w:cs="Arial"/>
        </w:rPr>
        <w:t>exceptional circumstances</w:t>
      </w:r>
      <w:r w:rsidR="00703C30" w:rsidRPr="003278F6">
        <w:rPr>
          <w:rFonts w:ascii="Book Antiqua" w:hAnsi="Book Antiqua" w:cs="Arial"/>
        </w:rPr>
        <w:t>”</w:t>
      </w:r>
      <w:r w:rsidRPr="003278F6">
        <w:rPr>
          <w:rFonts w:ascii="Book Antiqua" w:hAnsi="Book Antiqua" w:cs="Arial"/>
        </w:rPr>
        <w:t xml:space="preserve">, the </w:t>
      </w:r>
      <w:r w:rsidR="003278F6" w:rsidRPr="003278F6">
        <w:rPr>
          <w:rFonts w:ascii="Book Antiqua" w:hAnsi="Book Antiqua" w:cs="Arial"/>
        </w:rPr>
        <w:t>Respondent</w:t>
      </w:r>
      <w:r w:rsidRPr="003278F6">
        <w:rPr>
          <w:rFonts w:ascii="Book Antiqua" w:hAnsi="Book Antiqua" w:cs="Arial"/>
        </w:rPr>
        <w:t xml:space="preserve"> considered whether the application gave rise to a grant of leave to remain in the UK outs</w:t>
      </w:r>
      <w:r w:rsidR="00703C30" w:rsidRPr="003278F6">
        <w:rPr>
          <w:rFonts w:ascii="Book Antiqua" w:hAnsi="Book Antiqua" w:cs="Arial"/>
        </w:rPr>
        <w:t>ide of the requirements of the Immigration R</w:t>
      </w:r>
      <w:r w:rsidRPr="003278F6">
        <w:rPr>
          <w:rFonts w:ascii="Book Antiqua" w:hAnsi="Book Antiqua" w:cs="Arial"/>
        </w:rPr>
        <w:t xml:space="preserve">ules. The </w:t>
      </w:r>
      <w:r w:rsidR="003278F6" w:rsidRPr="003278F6">
        <w:rPr>
          <w:rFonts w:ascii="Book Antiqua" w:hAnsi="Book Antiqua" w:cs="Arial"/>
        </w:rPr>
        <w:t>Respondent</w:t>
      </w:r>
      <w:r w:rsidRPr="003278F6">
        <w:rPr>
          <w:rFonts w:ascii="Book Antiqua" w:hAnsi="Book Antiqua" w:cs="Arial"/>
        </w:rPr>
        <w:t xml:space="preserve"> considered a factual claim that she had family and friends in the UK and that they supporte</w:t>
      </w:r>
      <w:r w:rsidR="00703C30" w:rsidRPr="003278F6">
        <w:rPr>
          <w:rFonts w:ascii="Book Antiqua" w:hAnsi="Book Antiqua" w:cs="Arial"/>
        </w:rPr>
        <w:t xml:space="preserve">d her financially. However the </w:t>
      </w:r>
      <w:r w:rsidR="003278F6" w:rsidRPr="003278F6">
        <w:rPr>
          <w:rFonts w:ascii="Book Antiqua" w:hAnsi="Book Antiqua" w:cs="Arial"/>
        </w:rPr>
        <w:t>Respondent</w:t>
      </w:r>
      <w:r w:rsidRPr="003278F6">
        <w:rPr>
          <w:rFonts w:ascii="Book Antiqua" w:hAnsi="Book Antiqua" w:cs="Arial"/>
        </w:rPr>
        <w:t xml:space="preserve"> considered that she could remain in contact with friends and family via modern means of communication and such financial support could also be similarly continued. As to any wish to continue studies, it was stated that it was open to her to apply that the appropriate entry clearance to continue studies in United Kingdom or in the alternative could return to India and study their using the qualifications gained in the UK. Therefore it was decided that there were no such </w:t>
      </w:r>
      <w:r w:rsidR="00703C30" w:rsidRPr="003278F6">
        <w:rPr>
          <w:rFonts w:ascii="Book Antiqua" w:hAnsi="Book Antiqua" w:cs="Arial"/>
        </w:rPr>
        <w:t>“</w:t>
      </w:r>
      <w:r w:rsidRPr="003278F6">
        <w:rPr>
          <w:rFonts w:ascii="Book Antiqua" w:hAnsi="Book Antiqua" w:cs="Arial"/>
        </w:rPr>
        <w:t>exceptional circumstances</w:t>
      </w:r>
      <w:r w:rsidR="00703C30" w:rsidRPr="003278F6">
        <w:rPr>
          <w:rFonts w:ascii="Book Antiqua" w:hAnsi="Book Antiqua" w:cs="Arial"/>
        </w:rPr>
        <w:t>”</w:t>
      </w:r>
      <w:r w:rsidRPr="003278F6">
        <w:rPr>
          <w:rFonts w:ascii="Book Antiqua" w:hAnsi="Book Antiqua" w:cs="Arial"/>
        </w:rPr>
        <w:t xml:space="preserve"> to warrant a grant of</w:t>
      </w:r>
      <w:r w:rsidR="00703C30" w:rsidRPr="003278F6">
        <w:rPr>
          <w:rFonts w:ascii="Book Antiqua" w:hAnsi="Book Antiqua" w:cs="Arial"/>
        </w:rPr>
        <w:t xml:space="preserve"> leave outside of the R</w:t>
      </w:r>
      <w:r w:rsidRPr="003278F6">
        <w:rPr>
          <w:rFonts w:ascii="Book Antiqua" w:hAnsi="Book Antiqua" w:cs="Arial"/>
        </w:rPr>
        <w:t>ules.</w:t>
      </w:r>
    </w:p>
    <w:p w:rsidR="003D6F6B" w:rsidRPr="003D6F6B" w:rsidRDefault="003D6F6B" w:rsidP="003D6F6B">
      <w:pPr>
        <w:spacing w:before="240"/>
        <w:jc w:val="both"/>
        <w:rPr>
          <w:rFonts w:ascii="Book Antiqua" w:hAnsi="Book Antiqua" w:cs="Arial"/>
          <w:u w:val="single"/>
        </w:rPr>
      </w:pPr>
      <w:r w:rsidRPr="003D6F6B">
        <w:rPr>
          <w:rFonts w:ascii="Book Antiqua" w:hAnsi="Book Antiqua" w:cs="Arial"/>
          <w:u w:val="single"/>
        </w:rPr>
        <w:lastRenderedPageBreak/>
        <w:t xml:space="preserve">The hearing before the First-tier </w:t>
      </w:r>
      <w:r w:rsidR="003278F6">
        <w:rPr>
          <w:rFonts w:ascii="Book Antiqua" w:hAnsi="Book Antiqua" w:cs="Arial"/>
          <w:u w:val="single"/>
        </w:rPr>
        <w:t>Tribunal</w:t>
      </w:r>
      <w:r w:rsidRPr="003D6F6B">
        <w:rPr>
          <w:rFonts w:ascii="Book Antiqua" w:hAnsi="Book Antiqua" w:cs="Arial"/>
          <w:u w:val="single"/>
        </w:rPr>
        <w:t>:</w:t>
      </w:r>
    </w:p>
    <w:p w:rsidR="00E71567" w:rsidRDefault="003D6F6B" w:rsidP="003278F6">
      <w:pPr>
        <w:numPr>
          <w:ilvl w:val="0"/>
          <w:numId w:val="3"/>
        </w:numPr>
        <w:spacing w:before="240"/>
        <w:jc w:val="both"/>
        <w:rPr>
          <w:rFonts w:ascii="Book Antiqua" w:hAnsi="Book Antiqua" w:cs="Arial"/>
        </w:rPr>
      </w:pPr>
      <w:r>
        <w:rPr>
          <w:rFonts w:ascii="Book Antiqua" w:hAnsi="Book Antiqua" w:cs="Arial"/>
        </w:rPr>
        <w:t xml:space="preserve">On 31 January 2017 the </w:t>
      </w:r>
      <w:r w:rsidR="003278F6">
        <w:rPr>
          <w:rFonts w:ascii="Book Antiqua" w:hAnsi="Book Antiqua" w:cs="Arial"/>
        </w:rPr>
        <w:t>Appellant</w:t>
      </w:r>
      <w:r>
        <w:rPr>
          <w:rFonts w:ascii="Book Antiqua" w:hAnsi="Book Antiqua" w:cs="Arial"/>
        </w:rPr>
        <w:t xml:space="preserve"> submitted a notice of appeal</w:t>
      </w:r>
      <w:r w:rsidR="00E71567" w:rsidRPr="003D6F6B">
        <w:rPr>
          <w:rFonts w:ascii="Book Antiqua" w:hAnsi="Book Antiqua" w:cs="Arial"/>
        </w:rPr>
        <w:t xml:space="preserve"> </w:t>
      </w:r>
      <w:r w:rsidR="0062053B" w:rsidRPr="003D6F6B">
        <w:rPr>
          <w:rFonts w:ascii="Book Antiqua" w:hAnsi="Book Antiqua" w:cs="Arial"/>
        </w:rPr>
        <w:t>and the appeal came before the F</w:t>
      </w:r>
      <w:r w:rsidR="00E71567" w:rsidRPr="003D6F6B">
        <w:rPr>
          <w:rFonts w:ascii="Book Antiqua" w:hAnsi="Book Antiqua" w:cs="Arial"/>
        </w:rPr>
        <w:t xml:space="preserve">irst-tier </w:t>
      </w:r>
      <w:r w:rsidR="003278F6">
        <w:rPr>
          <w:rFonts w:ascii="Book Antiqua" w:hAnsi="Book Antiqua" w:cs="Arial"/>
        </w:rPr>
        <w:t>Tribunal</w:t>
      </w:r>
      <w:r w:rsidR="00AC31D7" w:rsidRPr="003D6F6B">
        <w:rPr>
          <w:rFonts w:ascii="Book Antiqua" w:hAnsi="Book Antiqua" w:cs="Arial"/>
        </w:rPr>
        <w:t xml:space="preserve"> on the </w:t>
      </w:r>
      <w:r w:rsidR="00624CF6" w:rsidRPr="003D6F6B">
        <w:rPr>
          <w:rFonts w:ascii="Book Antiqua" w:hAnsi="Book Antiqua" w:cs="Arial"/>
        </w:rPr>
        <w:t>16</w:t>
      </w:r>
      <w:r w:rsidR="00624CF6" w:rsidRPr="003D6F6B">
        <w:rPr>
          <w:rFonts w:ascii="Book Antiqua" w:hAnsi="Book Antiqua" w:cs="Arial"/>
          <w:vertAlign w:val="superscript"/>
        </w:rPr>
        <w:t>th</w:t>
      </w:r>
      <w:r w:rsidR="00624CF6" w:rsidRPr="003D6F6B">
        <w:rPr>
          <w:rFonts w:ascii="Book Antiqua" w:hAnsi="Book Antiqua" w:cs="Arial"/>
        </w:rPr>
        <w:t xml:space="preserve"> November</w:t>
      </w:r>
      <w:r w:rsidR="00AC31D7" w:rsidRPr="003D6F6B">
        <w:rPr>
          <w:rFonts w:ascii="Book Antiqua" w:hAnsi="Book Antiqua" w:cs="Arial"/>
        </w:rPr>
        <w:t xml:space="preserve"> </w:t>
      </w:r>
      <w:r w:rsidR="00E71567" w:rsidRPr="003D6F6B">
        <w:rPr>
          <w:rFonts w:ascii="Book Antiqua" w:hAnsi="Book Antiqua" w:cs="Arial"/>
        </w:rPr>
        <w:t>2017. In a deter</w:t>
      </w:r>
      <w:r w:rsidR="00624CF6" w:rsidRPr="003D6F6B">
        <w:rPr>
          <w:rFonts w:ascii="Book Antiqua" w:hAnsi="Book Antiqua" w:cs="Arial"/>
        </w:rPr>
        <w:t>mination promulgated on the 19</w:t>
      </w:r>
      <w:r w:rsidR="00624CF6" w:rsidRPr="003D6F6B">
        <w:rPr>
          <w:rFonts w:ascii="Book Antiqua" w:hAnsi="Book Antiqua" w:cs="Arial"/>
          <w:vertAlign w:val="superscript"/>
        </w:rPr>
        <w:t>th</w:t>
      </w:r>
      <w:r w:rsidR="00624CF6" w:rsidRPr="003D6F6B">
        <w:rPr>
          <w:rFonts w:ascii="Book Antiqua" w:hAnsi="Book Antiqua" w:cs="Arial"/>
        </w:rPr>
        <w:t xml:space="preserve"> December</w:t>
      </w:r>
      <w:r w:rsidR="00AC31D7" w:rsidRPr="003D6F6B">
        <w:rPr>
          <w:rFonts w:ascii="Book Antiqua" w:hAnsi="Book Antiqua" w:cs="Arial"/>
        </w:rPr>
        <w:t xml:space="preserve"> </w:t>
      </w:r>
      <w:r w:rsidR="00E71567" w:rsidRPr="003D6F6B">
        <w:rPr>
          <w:rFonts w:ascii="Book Antiqua" w:hAnsi="Book Antiqua" w:cs="Arial"/>
        </w:rPr>
        <w:t>2017 the</w:t>
      </w:r>
      <w:r w:rsidR="0062053B" w:rsidRPr="003D6F6B">
        <w:rPr>
          <w:rFonts w:ascii="Book Antiqua" w:hAnsi="Book Antiqua" w:cs="Arial"/>
        </w:rPr>
        <w:t xml:space="preserve"> J</w:t>
      </w:r>
      <w:r w:rsidR="00E71567" w:rsidRPr="003D6F6B">
        <w:rPr>
          <w:rFonts w:ascii="Book Antiqua" w:hAnsi="Book Antiqua" w:cs="Arial"/>
        </w:rPr>
        <w:t xml:space="preserve">udge </w:t>
      </w:r>
      <w:r w:rsidR="0062053B" w:rsidRPr="003D6F6B">
        <w:rPr>
          <w:rFonts w:ascii="Book Antiqua" w:hAnsi="Book Antiqua" w:cs="Arial"/>
        </w:rPr>
        <w:t>dismissed th</w:t>
      </w:r>
      <w:r w:rsidR="00AC31D7" w:rsidRPr="003D6F6B">
        <w:rPr>
          <w:rFonts w:ascii="Book Antiqua" w:hAnsi="Book Antiqua" w:cs="Arial"/>
        </w:rPr>
        <w:t>e appeal.</w:t>
      </w:r>
    </w:p>
    <w:p w:rsidR="003D6F6B" w:rsidRDefault="003D6F6B" w:rsidP="003278F6">
      <w:pPr>
        <w:numPr>
          <w:ilvl w:val="0"/>
          <w:numId w:val="3"/>
        </w:numPr>
        <w:spacing w:before="240"/>
        <w:jc w:val="both"/>
        <w:rPr>
          <w:rFonts w:ascii="Book Antiqua" w:hAnsi="Book Antiqua" w:cs="Arial"/>
        </w:rPr>
      </w:pPr>
      <w:r>
        <w:rPr>
          <w:rFonts w:ascii="Book Antiqua" w:hAnsi="Book Antiqua" w:cs="Arial"/>
        </w:rPr>
        <w:t xml:space="preserve">At paragraph 5, </w:t>
      </w:r>
      <w:r w:rsidRPr="003D6F6B">
        <w:rPr>
          <w:rFonts w:ascii="Book Antiqua" w:hAnsi="Book Antiqua" w:cs="Arial"/>
        </w:rPr>
        <w:t>the judge set out the</w:t>
      </w:r>
      <w:r>
        <w:rPr>
          <w:rFonts w:ascii="Book Antiqua" w:hAnsi="Book Antiqua" w:cs="Arial"/>
        </w:rPr>
        <w:t xml:space="preserve"> issues that had been identified by the parties; they related to paragraph 276 ADE and whether there would be “very significant obstacles to the </w:t>
      </w:r>
      <w:r w:rsidR="003278F6">
        <w:rPr>
          <w:rFonts w:ascii="Book Antiqua" w:hAnsi="Book Antiqua" w:cs="Arial"/>
        </w:rPr>
        <w:t>Appellant’s</w:t>
      </w:r>
      <w:r>
        <w:rPr>
          <w:rFonts w:ascii="Book Antiqua" w:hAnsi="Book Antiqua" w:cs="Arial"/>
        </w:rPr>
        <w:t xml:space="preserve"> integration”. It was conceded that at the date of the application (the 22</w:t>
      </w:r>
      <w:r w:rsidRPr="003D6F6B">
        <w:rPr>
          <w:rFonts w:ascii="Book Antiqua" w:hAnsi="Book Antiqua" w:cs="Arial"/>
          <w:vertAlign w:val="superscript"/>
        </w:rPr>
        <w:t>nd</w:t>
      </w:r>
      <w:r w:rsidR="00703C30">
        <w:rPr>
          <w:rFonts w:ascii="Book Antiqua" w:hAnsi="Book Antiqua" w:cs="Arial"/>
        </w:rPr>
        <w:t xml:space="preserve"> of February</w:t>
      </w:r>
      <w:r>
        <w:rPr>
          <w:rFonts w:ascii="Book Antiqua" w:hAnsi="Book Antiqua" w:cs="Arial"/>
        </w:rPr>
        <w:t xml:space="preserve"> 2016) the </w:t>
      </w:r>
      <w:r w:rsidR="003278F6">
        <w:rPr>
          <w:rFonts w:ascii="Book Antiqua" w:hAnsi="Book Antiqua" w:cs="Arial"/>
        </w:rPr>
        <w:t>Appellant</w:t>
      </w:r>
      <w:r>
        <w:rPr>
          <w:rFonts w:ascii="Book Antiqua" w:hAnsi="Book Antiqua" w:cs="Arial"/>
        </w:rPr>
        <w:t xml:space="preserve"> had not been in United Kingdom for half of her life </w:t>
      </w:r>
      <w:r w:rsidR="00703C30">
        <w:rPr>
          <w:rFonts w:ascii="Book Antiqua" w:hAnsi="Book Antiqua" w:cs="Arial"/>
        </w:rPr>
        <w:t xml:space="preserve">and thus </w:t>
      </w:r>
      <w:r>
        <w:rPr>
          <w:rFonts w:ascii="Book Antiqua" w:hAnsi="Book Antiqua" w:cs="Arial"/>
        </w:rPr>
        <w:t>fell short of this requiremen</w:t>
      </w:r>
      <w:r w:rsidR="00703C30">
        <w:rPr>
          <w:rFonts w:ascii="Book Antiqua" w:hAnsi="Book Antiqua" w:cs="Arial"/>
        </w:rPr>
        <w:t>t by approximately three months but that she had met that requirement at the date of the hearing.</w:t>
      </w:r>
      <w:r>
        <w:rPr>
          <w:rFonts w:ascii="Book Antiqua" w:hAnsi="Book Antiqua" w:cs="Arial"/>
        </w:rPr>
        <w:t xml:space="preserve"> It was submitted that as her birthday was the following Tuesday after the hearing and on that date she would be 25 years of age. There was no issue raised as to any “family life” established in United Kingdom.</w:t>
      </w:r>
    </w:p>
    <w:p w:rsidR="003D6F6B" w:rsidRDefault="003D6F6B" w:rsidP="003278F6">
      <w:pPr>
        <w:numPr>
          <w:ilvl w:val="0"/>
          <w:numId w:val="3"/>
        </w:numPr>
        <w:spacing w:before="240"/>
        <w:jc w:val="both"/>
        <w:rPr>
          <w:rFonts w:ascii="Book Antiqua" w:hAnsi="Book Antiqua" w:cs="Arial"/>
        </w:rPr>
      </w:pPr>
      <w:r>
        <w:rPr>
          <w:rFonts w:ascii="Book Antiqua" w:hAnsi="Book Antiqua" w:cs="Arial"/>
        </w:rPr>
        <w:t xml:space="preserve"> At paragraph 12 the judge set out a summary of the relevant findings of fact made by the FTT in 2014. </w:t>
      </w:r>
    </w:p>
    <w:p w:rsidR="003D6F6B" w:rsidRDefault="003D6F6B" w:rsidP="003278F6">
      <w:pPr>
        <w:numPr>
          <w:ilvl w:val="0"/>
          <w:numId w:val="3"/>
        </w:numPr>
        <w:spacing w:before="240"/>
        <w:jc w:val="both"/>
        <w:rPr>
          <w:rFonts w:ascii="Book Antiqua" w:hAnsi="Book Antiqua" w:cs="Arial"/>
        </w:rPr>
      </w:pPr>
      <w:r>
        <w:rPr>
          <w:rFonts w:ascii="Book Antiqua" w:hAnsi="Book Antiqua" w:cs="Arial"/>
        </w:rPr>
        <w:t>The judge accepted that the passage of time since that decision was taken (approximately 3 ½ years) was, in the context of the case, a sig</w:t>
      </w:r>
      <w:r w:rsidR="00703C30">
        <w:rPr>
          <w:rFonts w:ascii="Book Antiqua" w:hAnsi="Book Antiqua" w:cs="Arial"/>
        </w:rPr>
        <w:t>nificant period of time which was</w:t>
      </w:r>
      <w:r>
        <w:rPr>
          <w:rFonts w:ascii="Book Antiqua" w:hAnsi="Book Antiqua" w:cs="Arial"/>
        </w:rPr>
        <w:t xml:space="preserve"> </w:t>
      </w:r>
      <w:r w:rsidR="00703C30">
        <w:rPr>
          <w:rFonts w:ascii="Book Antiqua" w:hAnsi="Book Antiqua" w:cs="Arial"/>
        </w:rPr>
        <w:t>“</w:t>
      </w:r>
      <w:r>
        <w:rPr>
          <w:rFonts w:ascii="Book Antiqua" w:hAnsi="Book Antiqua" w:cs="Arial"/>
        </w:rPr>
        <w:t>likely to enhance her claim to be integrated into UK society</w:t>
      </w:r>
      <w:r w:rsidR="00703C30">
        <w:rPr>
          <w:rFonts w:ascii="Book Antiqua" w:hAnsi="Book Antiqua" w:cs="Arial"/>
        </w:rPr>
        <w:t>”</w:t>
      </w:r>
      <w:r>
        <w:rPr>
          <w:rFonts w:ascii="Book Antiqua" w:hAnsi="Book Antiqua" w:cs="Arial"/>
        </w:rPr>
        <w:t xml:space="preserve">. However having reviewed those findings, the judge was satisfied that they were relevant to </w:t>
      </w:r>
      <w:r w:rsidR="00703C30">
        <w:rPr>
          <w:rFonts w:ascii="Book Antiqua" w:hAnsi="Book Antiqua" w:cs="Arial"/>
        </w:rPr>
        <w:t xml:space="preserve">the considerations before this </w:t>
      </w:r>
      <w:r w:rsidR="003278F6">
        <w:rPr>
          <w:rFonts w:ascii="Book Antiqua" w:hAnsi="Book Antiqua" w:cs="Arial"/>
        </w:rPr>
        <w:t>Tribunal</w:t>
      </w:r>
      <w:r>
        <w:rPr>
          <w:rFonts w:ascii="Book Antiqua" w:hAnsi="Book Antiqua" w:cs="Arial"/>
        </w:rPr>
        <w:t xml:space="preserve"> and that they were a full assessment of the </w:t>
      </w:r>
      <w:r w:rsidR="003278F6">
        <w:rPr>
          <w:rFonts w:ascii="Book Antiqua" w:hAnsi="Book Antiqua" w:cs="Arial"/>
        </w:rPr>
        <w:t>Appellant’s</w:t>
      </w:r>
      <w:r>
        <w:rPr>
          <w:rFonts w:ascii="Book Antiqua" w:hAnsi="Book Antiqua" w:cs="Arial"/>
        </w:rPr>
        <w:t xml:space="preserve"> status at the time that it was made. The judge </w:t>
      </w:r>
      <w:r w:rsidR="00703C30">
        <w:rPr>
          <w:rFonts w:ascii="Book Antiqua" w:hAnsi="Book Antiqua" w:cs="Arial"/>
        </w:rPr>
        <w:t xml:space="preserve">therefore </w:t>
      </w:r>
      <w:r>
        <w:rPr>
          <w:rFonts w:ascii="Book Antiqua" w:hAnsi="Book Antiqua" w:cs="Arial"/>
        </w:rPr>
        <w:t xml:space="preserve">adopted those findings. </w:t>
      </w:r>
    </w:p>
    <w:p w:rsidR="003D6F6B" w:rsidRDefault="003D6F6B" w:rsidP="003278F6">
      <w:pPr>
        <w:numPr>
          <w:ilvl w:val="0"/>
          <w:numId w:val="3"/>
        </w:numPr>
        <w:spacing w:before="240"/>
        <w:jc w:val="both"/>
        <w:rPr>
          <w:rFonts w:ascii="Book Antiqua" w:hAnsi="Book Antiqua" w:cs="Arial"/>
        </w:rPr>
      </w:pPr>
      <w:r>
        <w:rPr>
          <w:rFonts w:ascii="Book Antiqua" w:hAnsi="Book Antiqua" w:cs="Arial"/>
        </w:rPr>
        <w:t>T</w:t>
      </w:r>
      <w:r w:rsidRPr="003D6F6B">
        <w:rPr>
          <w:rFonts w:ascii="Book Antiqua" w:hAnsi="Book Antiqua" w:cs="Arial"/>
        </w:rPr>
        <w:t xml:space="preserve">he judge’s </w:t>
      </w:r>
      <w:r w:rsidR="00703C30">
        <w:rPr>
          <w:rFonts w:ascii="Book Antiqua" w:hAnsi="Book Antiqua" w:cs="Arial"/>
        </w:rPr>
        <w:t xml:space="preserve">own </w:t>
      </w:r>
      <w:r w:rsidRPr="003D6F6B">
        <w:rPr>
          <w:rFonts w:ascii="Book Antiqua" w:hAnsi="Book Antiqua" w:cs="Arial"/>
        </w:rPr>
        <w:t xml:space="preserve">findings </w:t>
      </w:r>
      <w:r>
        <w:rPr>
          <w:rFonts w:ascii="Book Antiqua" w:hAnsi="Book Antiqua" w:cs="Arial"/>
        </w:rPr>
        <w:t xml:space="preserve">are set out at paragraphs 25 – 36 and </w:t>
      </w:r>
      <w:r w:rsidRPr="003D6F6B">
        <w:rPr>
          <w:rFonts w:ascii="Book Antiqua" w:hAnsi="Book Antiqua" w:cs="Arial"/>
        </w:rPr>
        <w:t>can be summarised as follows</w:t>
      </w:r>
      <w:r>
        <w:rPr>
          <w:rFonts w:ascii="Book Antiqua" w:hAnsi="Book Antiqua" w:cs="Arial"/>
        </w:rPr>
        <w:t>:-</w:t>
      </w:r>
    </w:p>
    <w:p w:rsidR="003D6F6B" w:rsidRDefault="003D6F6B" w:rsidP="00A827CC">
      <w:pPr>
        <w:numPr>
          <w:ilvl w:val="3"/>
          <w:numId w:val="3"/>
        </w:numPr>
        <w:tabs>
          <w:tab w:val="clear" w:pos="2268"/>
        </w:tabs>
        <w:spacing w:before="120"/>
        <w:ind w:left="1134"/>
        <w:jc w:val="both"/>
        <w:rPr>
          <w:rFonts w:ascii="Book Antiqua" w:hAnsi="Book Antiqua" w:cs="Arial"/>
        </w:rPr>
      </w:pPr>
      <w:r>
        <w:rPr>
          <w:rFonts w:ascii="Book Antiqua" w:hAnsi="Book Antiqua" w:cs="Arial"/>
        </w:rPr>
        <w:t xml:space="preserve">the </w:t>
      </w:r>
      <w:r w:rsidR="003278F6">
        <w:rPr>
          <w:rFonts w:ascii="Book Antiqua" w:hAnsi="Book Antiqua" w:cs="Arial"/>
        </w:rPr>
        <w:t>Appellant</w:t>
      </w:r>
      <w:r>
        <w:rPr>
          <w:rFonts w:ascii="Book Antiqua" w:hAnsi="Book Antiqua" w:cs="Arial"/>
        </w:rPr>
        <w:t xml:space="preserve"> has become well integrated into UK society over the years that she has been in United Kingdom which now amounts to over half of her life. This was as a result of having been educated at secondary level through to college and had participated in various educational opportunities. She had made friends both British and Asian, wore Western clothes and Indian clothes and enjoyed Western films and Indian films and western music and Bollywood music. The judge found that she was “highly regarded amongst family members in United Kingdom friends, many of whom had written statements which the judge are taken into account [25],</w:t>
      </w:r>
    </w:p>
    <w:p w:rsidR="003D6F6B" w:rsidRDefault="003D6F6B" w:rsidP="00A827CC">
      <w:pPr>
        <w:numPr>
          <w:ilvl w:val="3"/>
          <w:numId w:val="3"/>
        </w:numPr>
        <w:tabs>
          <w:tab w:val="clear" w:pos="2268"/>
        </w:tabs>
        <w:spacing w:before="120"/>
        <w:ind w:left="1134"/>
        <w:jc w:val="both"/>
        <w:rPr>
          <w:rFonts w:ascii="Book Antiqua" w:hAnsi="Book Antiqua" w:cs="Arial"/>
        </w:rPr>
      </w:pPr>
      <w:r>
        <w:rPr>
          <w:rFonts w:ascii="Book Antiqua" w:hAnsi="Book Antiqua" w:cs="Arial"/>
        </w:rPr>
        <w:t xml:space="preserve">the </w:t>
      </w:r>
      <w:r w:rsidR="003278F6">
        <w:rPr>
          <w:rFonts w:ascii="Book Antiqua" w:hAnsi="Book Antiqua" w:cs="Arial"/>
        </w:rPr>
        <w:t>Appellant</w:t>
      </w:r>
      <w:r>
        <w:rPr>
          <w:rFonts w:ascii="Book Antiqua" w:hAnsi="Book Antiqua" w:cs="Arial"/>
        </w:rPr>
        <w:t xml:space="preserve"> never had paid employment nor could she pursue education at degree level because of the immigration status. In terms of financial support you relied upon three maternal aunts United Kingdom and other family members and friends [26]</w:t>
      </w:r>
    </w:p>
    <w:p w:rsidR="003D6F6B" w:rsidRDefault="003278F6" w:rsidP="00A827CC">
      <w:pPr>
        <w:numPr>
          <w:ilvl w:val="3"/>
          <w:numId w:val="3"/>
        </w:numPr>
        <w:tabs>
          <w:tab w:val="clear" w:pos="2268"/>
        </w:tabs>
        <w:spacing w:before="120"/>
        <w:ind w:left="1134"/>
        <w:jc w:val="both"/>
        <w:rPr>
          <w:rFonts w:ascii="Book Antiqua" w:hAnsi="Book Antiqua" w:cs="Arial"/>
        </w:rPr>
      </w:pPr>
      <w:r>
        <w:rPr>
          <w:rFonts w:ascii="Book Antiqua" w:hAnsi="Book Antiqua" w:cs="Arial"/>
        </w:rPr>
        <w:t>She</w:t>
      </w:r>
      <w:r w:rsidR="003D6F6B">
        <w:rPr>
          <w:rFonts w:ascii="Book Antiqua" w:hAnsi="Book Antiqua" w:cs="Arial"/>
        </w:rPr>
        <w:t xml:space="preserve"> had a poor immigration history; but she could not be blamed for that as her mother brought her to the United Kingdom and had remained after the expiry of her visa and there was a gap of approximately 6 ½ years before any application was made to regularise</w:t>
      </w:r>
      <w:r>
        <w:rPr>
          <w:rFonts w:ascii="Book Antiqua" w:hAnsi="Book Antiqua" w:cs="Arial"/>
        </w:rPr>
        <w:t xml:space="preserve"> her</w:t>
      </w:r>
      <w:r w:rsidR="003D6F6B">
        <w:rPr>
          <w:rFonts w:ascii="Book Antiqua" w:hAnsi="Book Antiqua" w:cs="Arial"/>
        </w:rPr>
        <w:t xml:space="preserve"> immigration status.</w:t>
      </w:r>
      <w:r>
        <w:rPr>
          <w:rFonts w:ascii="Book Antiqua" w:hAnsi="Book Antiqua" w:cs="Arial"/>
        </w:rPr>
        <w:t xml:space="preserve"> </w:t>
      </w:r>
      <w:r w:rsidR="003D6F6B" w:rsidRPr="003D6F6B">
        <w:rPr>
          <w:rFonts w:ascii="Book Antiqua" w:hAnsi="Book Antiqua" w:cs="Arial"/>
        </w:rPr>
        <w:t>However those applicatio</w:t>
      </w:r>
      <w:r>
        <w:rPr>
          <w:rFonts w:ascii="Book Antiqua" w:hAnsi="Book Antiqua" w:cs="Arial"/>
        </w:rPr>
        <w:t xml:space="preserve">ns have </w:t>
      </w:r>
      <w:r>
        <w:rPr>
          <w:rFonts w:ascii="Book Antiqua" w:hAnsi="Book Antiqua" w:cs="Arial"/>
        </w:rPr>
        <w:lastRenderedPageBreak/>
        <w:t>all been unsuccessful and</w:t>
      </w:r>
      <w:r w:rsidR="003D6F6B" w:rsidRPr="003D6F6B">
        <w:rPr>
          <w:rFonts w:ascii="Book Antiqua" w:hAnsi="Book Antiqua" w:cs="Arial"/>
        </w:rPr>
        <w:t xml:space="preserve"> both the </w:t>
      </w:r>
      <w:r>
        <w:rPr>
          <w:rFonts w:ascii="Book Antiqua" w:hAnsi="Book Antiqua" w:cs="Arial"/>
        </w:rPr>
        <w:t>Appellant</w:t>
      </w:r>
      <w:r w:rsidR="003D6F6B" w:rsidRPr="003D6F6B">
        <w:rPr>
          <w:rFonts w:ascii="Book Antiqua" w:hAnsi="Book Antiqua" w:cs="Arial"/>
        </w:rPr>
        <w:t>, her mother and elder sister have at least twice resisted removal di</w:t>
      </w:r>
      <w:r>
        <w:rPr>
          <w:rFonts w:ascii="Book Antiqua" w:hAnsi="Book Antiqua" w:cs="Arial"/>
        </w:rPr>
        <w:t>rections. Some of the time she had</w:t>
      </w:r>
      <w:r w:rsidR="003D6F6B" w:rsidRPr="003D6F6B">
        <w:rPr>
          <w:rFonts w:ascii="Book Antiqua" w:hAnsi="Book Antiqua" w:cs="Arial"/>
        </w:rPr>
        <w:t xml:space="preserve"> been an adult although the judge acknowledged it was not “as bad as </w:t>
      </w:r>
      <w:r>
        <w:rPr>
          <w:rFonts w:ascii="Book Antiqua" w:hAnsi="Book Antiqua" w:cs="Arial"/>
        </w:rPr>
        <w:t>m</w:t>
      </w:r>
      <w:r w:rsidR="003D6F6B" w:rsidRPr="003D6F6B">
        <w:rPr>
          <w:rFonts w:ascii="Book Antiqua" w:hAnsi="Book Antiqua" w:cs="Arial"/>
        </w:rPr>
        <w:t>others immigration history</w:t>
      </w:r>
      <w:r w:rsidRPr="003D6F6B">
        <w:rPr>
          <w:rFonts w:ascii="Book Antiqua" w:hAnsi="Book Antiqua" w:cs="Arial"/>
        </w:rPr>
        <w:t>”</w:t>
      </w:r>
      <w:r>
        <w:rPr>
          <w:rFonts w:ascii="Book Antiqua" w:hAnsi="Book Antiqua" w:cs="Arial"/>
        </w:rPr>
        <w:t xml:space="preserve"> [</w:t>
      </w:r>
      <w:r w:rsidR="003D6F6B">
        <w:rPr>
          <w:rFonts w:ascii="Book Antiqua" w:hAnsi="Book Antiqua" w:cs="Arial"/>
        </w:rPr>
        <w:t>27].</w:t>
      </w:r>
    </w:p>
    <w:p w:rsidR="003D6F6B" w:rsidRDefault="003D6F6B" w:rsidP="00A827CC">
      <w:pPr>
        <w:numPr>
          <w:ilvl w:val="3"/>
          <w:numId w:val="3"/>
        </w:numPr>
        <w:tabs>
          <w:tab w:val="clear" w:pos="2268"/>
        </w:tabs>
        <w:spacing w:before="120"/>
        <w:ind w:left="1134"/>
        <w:jc w:val="both"/>
        <w:rPr>
          <w:rFonts w:ascii="Book Antiqua" w:hAnsi="Book Antiqua" w:cs="Arial"/>
        </w:rPr>
      </w:pPr>
      <w:r>
        <w:rPr>
          <w:rFonts w:ascii="Book Antiqua" w:hAnsi="Book Antiqua" w:cs="Arial"/>
        </w:rPr>
        <w:t>As to the argument that her case was a “near miss” with regard to paragraph 276 ADE (1</w:t>
      </w:r>
      <w:r w:rsidR="003278F6">
        <w:rPr>
          <w:rFonts w:ascii="Book Antiqua" w:hAnsi="Book Antiqua" w:cs="Arial"/>
        </w:rPr>
        <w:t>) (</w:t>
      </w:r>
      <w:r>
        <w:rPr>
          <w:rFonts w:ascii="Book Antiqua" w:hAnsi="Book Antiqua" w:cs="Arial"/>
        </w:rPr>
        <w:t>v) the judge did not accept that it was a “mere technicality” but found that it was a requirement of the rules. The judge did not know</w:t>
      </w:r>
      <w:r w:rsidR="00703C30">
        <w:rPr>
          <w:rFonts w:ascii="Book Antiqua" w:hAnsi="Book Antiqua" w:cs="Arial"/>
        </w:rPr>
        <w:t xml:space="preserve"> if</w:t>
      </w:r>
      <w:r>
        <w:rPr>
          <w:rFonts w:ascii="Book Antiqua" w:hAnsi="Book Antiqua" w:cs="Arial"/>
        </w:rPr>
        <w:t xml:space="preserve"> she was going to make a paid application in the future and did not attach any weight in this regard. However the judge stated </w:t>
      </w:r>
      <w:r w:rsidRPr="003278F6">
        <w:rPr>
          <w:rFonts w:ascii="Book Antiqua" w:hAnsi="Book Antiqua" w:cs="Arial"/>
        </w:rPr>
        <w:t xml:space="preserve">“I do accept that under the </w:t>
      </w:r>
      <w:r w:rsidR="003278F6" w:rsidRPr="003278F6">
        <w:rPr>
          <w:rFonts w:ascii="Book Antiqua" w:hAnsi="Book Antiqua" w:cs="Arial"/>
        </w:rPr>
        <w:t>Article</w:t>
      </w:r>
      <w:r w:rsidRPr="003278F6">
        <w:rPr>
          <w:rFonts w:ascii="Book Antiqua" w:hAnsi="Book Antiqua" w:cs="Arial"/>
        </w:rPr>
        <w:t xml:space="preserve"> 8 balancing exercise factor would be that she has spent over half her life in United Kingdom at the date of the hearing”</w:t>
      </w:r>
      <w:r w:rsidR="003278F6">
        <w:rPr>
          <w:rFonts w:ascii="Book Antiqua" w:hAnsi="Book Antiqua" w:cs="Arial"/>
        </w:rPr>
        <w:t xml:space="preserve"> ( at</w:t>
      </w:r>
      <w:r>
        <w:rPr>
          <w:rFonts w:ascii="Book Antiqua" w:hAnsi="Book Antiqua" w:cs="Arial"/>
        </w:rPr>
        <w:t>[28]</w:t>
      </w:r>
      <w:r w:rsidR="003278F6">
        <w:rPr>
          <w:rFonts w:ascii="Book Antiqua" w:hAnsi="Book Antiqua" w:cs="Arial"/>
        </w:rPr>
        <w:t>)</w:t>
      </w:r>
      <w:r>
        <w:rPr>
          <w:rFonts w:ascii="Book Antiqua" w:hAnsi="Book Antiqua" w:cs="Arial"/>
        </w:rPr>
        <w:t>.</w:t>
      </w:r>
    </w:p>
    <w:p w:rsidR="003D6F6B" w:rsidRDefault="003D6F6B" w:rsidP="00A827CC">
      <w:pPr>
        <w:numPr>
          <w:ilvl w:val="3"/>
          <w:numId w:val="3"/>
        </w:numPr>
        <w:tabs>
          <w:tab w:val="clear" w:pos="2268"/>
        </w:tabs>
        <w:spacing w:before="120"/>
        <w:ind w:left="1134"/>
        <w:jc w:val="both"/>
        <w:rPr>
          <w:rFonts w:ascii="Book Antiqua" w:hAnsi="Book Antiqua" w:cs="Arial"/>
        </w:rPr>
      </w:pPr>
      <w:r>
        <w:rPr>
          <w:rFonts w:ascii="Book Antiqua" w:hAnsi="Book Antiqua" w:cs="Arial"/>
        </w:rPr>
        <w:t xml:space="preserve">The </w:t>
      </w:r>
      <w:r w:rsidR="003278F6">
        <w:rPr>
          <w:rFonts w:ascii="Book Antiqua" w:hAnsi="Book Antiqua" w:cs="Arial"/>
        </w:rPr>
        <w:t>Appellant’s</w:t>
      </w:r>
      <w:r>
        <w:rPr>
          <w:rFonts w:ascii="Book Antiqua" w:hAnsi="Book Antiqua" w:cs="Arial"/>
        </w:rPr>
        <w:t xml:space="preserve"> mother and sister were in United Kingdom without any lawful leave and had made numerous applications to remain</w:t>
      </w:r>
      <w:r w:rsidR="003278F6">
        <w:rPr>
          <w:rFonts w:ascii="Book Antiqua" w:hAnsi="Book Antiqua" w:cs="Arial"/>
        </w:rPr>
        <w:t>; all</w:t>
      </w:r>
      <w:r>
        <w:rPr>
          <w:rFonts w:ascii="Book Antiqua" w:hAnsi="Book Antiqua" w:cs="Arial"/>
        </w:rPr>
        <w:t xml:space="preserve"> of which had been unsuccessful. Therefore they </w:t>
      </w:r>
      <w:r w:rsidR="00703C30">
        <w:rPr>
          <w:rFonts w:ascii="Book Antiqua" w:hAnsi="Book Antiqua" w:cs="Arial"/>
        </w:rPr>
        <w:t>could return</w:t>
      </w:r>
      <w:r>
        <w:rPr>
          <w:rFonts w:ascii="Book Antiqua" w:hAnsi="Book Antiqua" w:cs="Arial"/>
        </w:rPr>
        <w:t xml:space="preserve"> to India with the </w:t>
      </w:r>
      <w:r w:rsidR="003278F6">
        <w:rPr>
          <w:rFonts w:ascii="Book Antiqua" w:hAnsi="Book Antiqua" w:cs="Arial"/>
        </w:rPr>
        <w:t>Appellant</w:t>
      </w:r>
      <w:r>
        <w:rPr>
          <w:rFonts w:ascii="Book Antiqua" w:hAnsi="Book Antiqua" w:cs="Arial"/>
        </w:rPr>
        <w:t xml:space="preserve"> </w:t>
      </w:r>
      <w:r w:rsidR="00703C30">
        <w:rPr>
          <w:rFonts w:ascii="Book Antiqua" w:hAnsi="Book Antiqua" w:cs="Arial"/>
        </w:rPr>
        <w:t xml:space="preserve">and </w:t>
      </w:r>
      <w:r>
        <w:rPr>
          <w:rFonts w:ascii="Book Antiqua" w:hAnsi="Book Antiqua" w:cs="Arial"/>
        </w:rPr>
        <w:t>any difficulty that she may have in re-establishing herself could be “lessened or resolved</w:t>
      </w:r>
      <w:r w:rsidR="003278F6">
        <w:rPr>
          <w:rFonts w:ascii="Book Antiqua" w:hAnsi="Book Antiqua" w:cs="Arial"/>
        </w:rPr>
        <w:t>” [</w:t>
      </w:r>
      <w:r>
        <w:rPr>
          <w:rFonts w:ascii="Book Antiqua" w:hAnsi="Book Antiqua" w:cs="Arial"/>
        </w:rPr>
        <w:t>29].</w:t>
      </w:r>
    </w:p>
    <w:p w:rsidR="003D6F6B" w:rsidRDefault="003D6F6B" w:rsidP="00A827CC">
      <w:pPr>
        <w:numPr>
          <w:ilvl w:val="3"/>
          <w:numId w:val="3"/>
        </w:numPr>
        <w:tabs>
          <w:tab w:val="clear" w:pos="2268"/>
        </w:tabs>
        <w:spacing w:before="120"/>
        <w:ind w:left="1134"/>
        <w:jc w:val="both"/>
        <w:rPr>
          <w:rFonts w:ascii="Book Antiqua" w:hAnsi="Book Antiqua" w:cs="Arial"/>
        </w:rPr>
      </w:pPr>
      <w:r>
        <w:rPr>
          <w:rFonts w:ascii="Book Antiqua" w:hAnsi="Book Antiqua" w:cs="Arial"/>
        </w:rPr>
        <w:t xml:space="preserve">The </w:t>
      </w:r>
      <w:r w:rsidR="003278F6">
        <w:rPr>
          <w:rFonts w:ascii="Book Antiqua" w:hAnsi="Book Antiqua" w:cs="Arial"/>
        </w:rPr>
        <w:t>Appellant</w:t>
      </w:r>
      <w:r>
        <w:rPr>
          <w:rFonts w:ascii="Book Antiqua" w:hAnsi="Book Antiqua" w:cs="Arial"/>
        </w:rPr>
        <w:t xml:space="preserve"> was well integrated into UK society. However the judge found that it did not necessarily follow that they would be “very significant obstacles” to her integration to India if required to leave the United Kingdom. The judge accepted that most of her family was in United Kingdom and although she did have family in India she was not in contact with them and they would be unlikely to supply her with financial support. The judge found that she was bound to suffer some sort of “culture shock” because </w:t>
      </w:r>
      <w:r w:rsidR="00703C30">
        <w:rPr>
          <w:rFonts w:ascii="Book Antiqua" w:hAnsi="Book Antiqua" w:cs="Arial"/>
        </w:rPr>
        <w:t>of the long period of time she had</w:t>
      </w:r>
      <w:r>
        <w:rPr>
          <w:rFonts w:ascii="Book Antiqua" w:hAnsi="Book Antiqua" w:cs="Arial"/>
        </w:rPr>
        <w:t xml:space="preserve"> been away from India but that she would still have some memories of India and the Indian way of life and culture which will be reinforced by the Indian relatives that she had lived with in United Kingdom. To remove her to India would be harsh but could be lessened if accompanied by mot</w:t>
      </w:r>
      <w:r w:rsidR="00703C30">
        <w:rPr>
          <w:rFonts w:ascii="Book Antiqua" w:hAnsi="Book Antiqua" w:cs="Arial"/>
        </w:rPr>
        <w:t xml:space="preserve">her and sister. The </w:t>
      </w:r>
      <w:r w:rsidR="003278F6">
        <w:rPr>
          <w:rFonts w:ascii="Book Antiqua" w:hAnsi="Book Antiqua" w:cs="Arial"/>
        </w:rPr>
        <w:t>Appellant</w:t>
      </w:r>
      <w:r w:rsidR="00703C30">
        <w:rPr>
          <w:rFonts w:ascii="Book Antiqua" w:hAnsi="Book Antiqua" w:cs="Arial"/>
        </w:rPr>
        <w:t xml:space="preserve"> was described as </w:t>
      </w:r>
      <w:r w:rsidR="003278F6">
        <w:rPr>
          <w:rFonts w:ascii="Book Antiqua" w:hAnsi="Book Antiqua" w:cs="Arial"/>
        </w:rPr>
        <w:t>“intelligent</w:t>
      </w:r>
      <w:r>
        <w:rPr>
          <w:rFonts w:ascii="Book Antiqua" w:hAnsi="Book Antiqua" w:cs="Arial"/>
        </w:rPr>
        <w:t xml:space="preserve"> and </w:t>
      </w:r>
      <w:r w:rsidR="00703C30">
        <w:rPr>
          <w:rFonts w:ascii="Book Antiqua" w:hAnsi="Book Antiqua" w:cs="Arial"/>
        </w:rPr>
        <w:t>resourceful”</w:t>
      </w:r>
      <w:r>
        <w:rPr>
          <w:rFonts w:ascii="Book Antiqua" w:hAnsi="Book Antiqua" w:cs="Arial"/>
        </w:rPr>
        <w:t xml:space="preserve"> and would be prov</w:t>
      </w:r>
      <w:r w:rsidRPr="003D6F6B">
        <w:rPr>
          <w:rFonts w:ascii="Book Antiqua" w:hAnsi="Book Antiqua" w:cs="Arial"/>
        </w:rPr>
        <w:t>ided with funds by those who have been prepared to fund in Unit</w:t>
      </w:r>
      <w:r w:rsidR="00703C30">
        <w:rPr>
          <w:rFonts w:ascii="Book Antiqua" w:hAnsi="Book Antiqua" w:cs="Arial"/>
        </w:rPr>
        <w:t>ed Kingdom. T</w:t>
      </w:r>
      <w:r w:rsidRPr="003D6F6B">
        <w:rPr>
          <w:rFonts w:ascii="Book Antiqua" w:hAnsi="Book Antiqua" w:cs="Arial"/>
        </w:rPr>
        <w:t xml:space="preserve">he judge was satisfied that she would be able to find suitable accommodation and employment in India and any hardship she suffered would only be </w:t>
      </w:r>
      <w:r w:rsidR="00703C30">
        <w:rPr>
          <w:rFonts w:ascii="Book Antiqua" w:hAnsi="Book Antiqua" w:cs="Arial"/>
        </w:rPr>
        <w:t>“</w:t>
      </w:r>
      <w:r w:rsidRPr="003D6F6B">
        <w:rPr>
          <w:rFonts w:ascii="Book Antiqua" w:hAnsi="Book Antiqua" w:cs="Arial"/>
        </w:rPr>
        <w:t>temporary and significantly lessened</w:t>
      </w:r>
      <w:r w:rsidR="00703C30">
        <w:rPr>
          <w:rFonts w:ascii="Book Antiqua" w:hAnsi="Book Antiqua" w:cs="Arial"/>
        </w:rPr>
        <w:t>”</w:t>
      </w:r>
      <w:r w:rsidRPr="003D6F6B">
        <w:rPr>
          <w:rFonts w:ascii="Book Antiqua" w:hAnsi="Book Antiqua" w:cs="Arial"/>
        </w:rPr>
        <w:t xml:space="preserve"> if accompanied by her mother and sister who had no lawful rea</w:t>
      </w:r>
      <w:r>
        <w:rPr>
          <w:rFonts w:ascii="Book Antiqua" w:hAnsi="Book Antiqua" w:cs="Arial"/>
        </w:rPr>
        <w:t>son to remain in United Kingdom[30].</w:t>
      </w:r>
    </w:p>
    <w:p w:rsidR="003D6F6B" w:rsidRDefault="003D6F6B" w:rsidP="00A827CC">
      <w:pPr>
        <w:numPr>
          <w:ilvl w:val="3"/>
          <w:numId w:val="3"/>
        </w:numPr>
        <w:tabs>
          <w:tab w:val="clear" w:pos="2268"/>
        </w:tabs>
        <w:spacing w:before="120"/>
        <w:ind w:left="1134"/>
        <w:jc w:val="both"/>
        <w:rPr>
          <w:rFonts w:ascii="Book Antiqua" w:hAnsi="Book Antiqua" w:cs="Arial"/>
        </w:rPr>
      </w:pPr>
      <w:r>
        <w:rPr>
          <w:rFonts w:ascii="Book Antiqua" w:hAnsi="Book Antiqua" w:cs="Arial"/>
        </w:rPr>
        <w:t>As to the “near miss” the judge concluded that there was no such thing as a near miss principle but that it might amount to relevant evidence and a specific fact to take into account together with many other factors in the balancing e</w:t>
      </w:r>
      <w:r w:rsidR="00703C30">
        <w:rPr>
          <w:rFonts w:ascii="Book Antiqua" w:hAnsi="Book Antiqua" w:cs="Arial"/>
        </w:rPr>
        <w:t xml:space="preserve">xercise that is required under </w:t>
      </w:r>
      <w:r w:rsidR="003278F6">
        <w:rPr>
          <w:rFonts w:ascii="Book Antiqua" w:hAnsi="Book Antiqua" w:cs="Arial"/>
        </w:rPr>
        <w:t>Article</w:t>
      </w:r>
      <w:r>
        <w:rPr>
          <w:rFonts w:ascii="Book Antiqua" w:hAnsi="Book Antiqua" w:cs="Arial"/>
        </w:rPr>
        <w:t xml:space="preserve"> 8 [30].</w:t>
      </w:r>
    </w:p>
    <w:p w:rsidR="003D6F6B" w:rsidRDefault="003D6F6B" w:rsidP="00A827CC">
      <w:pPr>
        <w:numPr>
          <w:ilvl w:val="3"/>
          <w:numId w:val="3"/>
        </w:numPr>
        <w:tabs>
          <w:tab w:val="clear" w:pos="2268"/>
        </w:tabs>
        <w:spacing w:before="120"/>
        <w:ind w:left="1134"/>
        <w:jc w:val="both"/>
        <w:rPr>
          <w:rFonts w:ascii="Book Antiqua" w:hAnsi="Book Antiqua" w:cs="Arial"/>
        </w:rPr>
      </w:pPr>
      <w:r>
        <w:rPr>
          <w:rFonts w:ascii="Book Antiqua" w:hAnsi="Book Antiqua" w:cs="Arial"/>
        </w:rPr>
        <w:t>The judge concluded that it would not be unduly or unjustifiably harsh for her to be removed to India and that s</w:t>
      </w:r>
      <w:r w:rsidR="003278F6">
        <w:rPr>
          <w:rFonts w:ascii="Book Antiqua" w:hAnsi="Book Antiqua" w:cs="Arial"/>
        </w:rPr>
        <w:t>he could not succeed under the Immigration R</w:t>
      </w:r>
      <w:r>
        <w:rPr>
          <w:rFonts w:ascii="Book Antiqua" w:hAnsi="Book Antiqua" w:cs="Arial"/>
        </w:rPr>
        <w:t>ules as they would not be very significant obstacles to her integration</w:t>
      </w:r>
      <w:r w:rsidR="00703C30">
        <w:rPr>
          <w:rFonts w:ascii="Book Antiqua" w:hAnsi="Book Antiqua" w:cs="Arial"/>
        </w:rPr>
        <w:t xml:space="preserve"> </w:t>
      </w:r>
      <w:r>
        <w:rPr>
          <w:rFonts w:ascii="Book Antiqua" w:hAnsi="Book Antiqua" w:cs="Arial"/>
        </w:rPr>
        <w:t>[32].</w:t>
      </w:r>
    </w:p>
    <w:p w:rsidR="003D6F6B" w:rsidRDefault="003D6F6B" w:rsidP="00A827CC">
      <w:pPr>
        <w:numPr>
          <w:ilvl w:val="3"/>
          <w:numId w:val="3"/>
        </w:numPr>
        <w:tabs>
          <w:tab w:val="clear" w:pos="2268"/>
        </w:tabs>
        <w:spacing w:before="120"/>
        <w:ind w:left="1134"/>
        <w:jc w:val="both"/>
        <w:rPr>
          <w:rFonts w:ascii="Book Antiqua" w:hAnsi="Book Antiqua" w:cs="Arial"/>
        </w:rPr>
      </w:pPr>
      <w:r>
        <w:rPr>
          <w:rFonts w:ascii="Book Antiqua" w:hAnsi="Book Antiqua" w:cs="Arial"/>
        </w:rPr>
        <w:t xml:space="preserve">As to </w:t>
      </w:r>
      <w:r w:rsidR="003278F6">
        <w:rPr>
          <w:rFonts w:ascii="Book Antiqua" w:hAnsi="Book Antiqua" w:cs="Arial"/>
        </w:rPr>
        <w:t>Article</w:t>
      </w:r>
      <w:r>
        <w:rPr>
          <w:rFonts w:ascii="Book Antiqua" w:hAnsi="Book Antiqua" w:cs="Arial"/>
        </w:rPr>
        <w:t xml:space="preserve"> 8 outside th</w:t>
      </w:r>
      <w:r w:rsidR="00703C30">
        <w:rPr>
          <w:rFonts w:ascii="Book Antiqua" w:hAnsi="Book Antiqua" w:cs="Arial"/>
        </w:rPr>
        <w:t>e rules, the judge stated the “R</w:t>
      </w:r>
      <w:r>
        <w:rPr>
          <w:rFonts w:ascii="Book Antiqua" w:hAnsi="Book Antiqua" w:cs="Arial"/>
        </w:rPr>
        <w:t>ules will not necessarily be determinative”</w:t>
      </w:r>
      <w:r w:rsidR="00703C30">
        <w:rPr>
          <w:rFonts w:ascii="Book Antiqua" w:hAnsi="Book Antiqua" w:cs="Arial"/>
        </w:rPr>
        <w:t xml:space="preserve"> </w:t>
      </w:r>
      <w:r>
        <w:rPr>
          <w:rFonts w:ascii="Book Antiqua" w:hAnsi="Book Antiqua" w:cs="Arial"/>
        </w:rPr>
        <w:t>[33].</w:t>
      </w:r>
    </w:p>
    <w:p w:rsidR="003D6F6B" w:rsidRDefault="003278F6" w:rsidP="00A827CC">
      <w:pPr>
        <w:numPr>
          <w:ilvl w:val="3"/>
          <w:numId w:val="3"/>
        </w:numPr>
        <w:tabs>
          <w:tab w:val="clear" w:pos="2268"/>
        </w:tabs>
        <w:spacing w:before="120"/>
        <w:ind w:left="1134"/>
        <w:jc w:val="both"/>
        <w:rPr>
          <w:rFonts w:ascii="Book Antiqua" w:hAnsi="Book Antiqua" w:cs="Arial"/>
        </w:rPr>
      </w:pPr>
      <w:r>
        <w:rPr>
          <w:rFonts w:ascii="Book Antiqua" w:hAnsi="Book Antiqua" w:cs="Arial"/>
        </w:rPr>
        <w:lastRenderedPageBreak/>
        <w:t>The judge applied the S</w:t>
      </w:r>
      <w:r w:rsidR="003D6F6B">
        <w:rPr>
          <w:rFonts w:ascii="Book Antiqua" w:hAnsi="Book Antiqua" w:cs="Arial"/>
        </w:rPr>
        <w:t xml:space="preserve">ection 117 public interest considerations finding that the maintenance of effective immigration control is in the public interest and “deserving of great weight”. The judge found that the </w:t>
      </w:r>
      <w:r>
        <w:rPr>
          <w:rFonts w:ascii="Book Antiqua" w:hAnsi="Book Antiqua" w:cs="Arial"/>
        </w:rPr>
        <w:t>Appellant</w:t>
      </w:r>
      <w:r w:rsidR="003D6F6B">
        <w:rPr>
          <w:rFonts w:ascii="Book Antiqua" w:hAnsi="Book Antiqua" w:cs="Arial"/>
        </w:rPr>
        <w:t xml:space="preserve"> could speak English well but that she was not financially independent</w:t>
      </w:r>
      <w:r w:rsidR="00703C30">
        <w:rPr>
          <w:rFonts w:ascii="Book Antiqua" w:hAnsi="Book Antiqua" w:cs="Arial"/>
        </w:rPr>
        <w:t>-</w:t>
      </w:r>
      <w:r w:rsidR="003D6F6B">
        <w:rPr>
          <w:rFonts w:ascii="Book Antiqua" w:hAnsi="Book Antiqua" w:cs="Arial"/>
        </w:rPr>
        <w:t xml:space="preserve"> she relied upon funding and support from family and friends and therefore there was a risk that she would become a burden on taxpayers and would not fully integrate into society. The ju</w:t>
      </w:r>
      <w:r w:rsidR="00703C30">
        <w:rPr>
          <w:rFonts w:ascii="Book Antiqua" w:hAnsi="Book Antiqua" w:cs="Arial"/>
        </w:rPr>
        <w:t>dge however had found that she had in fact</w:t>
      </w:r>
      <w:r w:rsidR="003D6F6B">
        <w:rPr>
          <w:rFonts w:ascii="Book Antiqua" w:hAnsi="Book Antiqua" w:cs="Arial"/>
        </w:rPr>
        <w:t xml:space="preserve"> integrated into s</w:t>
      </w:r>
      <w:r w:rsidR="00703C30">
        <w:rPr>
          <w:rFonts w:ascii="Book Antiqua" w:hAnsi="Book Antiqua" w:cs="Arial"/>
        </w:rPr>
        <w:t>ociety to a significant degree i</w:t>
      </w:r>
      <w:r w:rsidR="003D6F6B">
        <w:rPr>
          <w:rFonts w:ascii="Book Antiqua" w:hAnsi="Book Antiqua" w:cs="Arial"/>
        </w:rPr>
        <w:t>f not completely. The judge noted that the weight should be given to a private life that was established by person at a time when in the country unlawfully – she had been in United Kingdom fr</w:t>
      </w:r>
      <w:r w:rsidR="00703C30">
        <w:rPr>
          <w:rFonts w:ascii="Book Antiqua" w:hAnsi="Book Antiqua" w:cs="Arial"/>
        </w:rPr>
        <w:t>om the time leave expired</w:t>
      </w:r>
      <w:r w:rsidR="003D6F6B">
        <w:rPr>
          <w:rFonts w:ascii="Book Antiqua" w:hAnsi="Book Antiqua" w:cs="Arial"/>
        </w:rPr>
        <w:t xml:space="preserve"> of approximately six and half years although she was child at that time and therefore “no adverse</w:t>
      </w:r>
      <w:r w:rsidR="00703C30">
        <w:rPr>
          <w:rFonts w:ascii="Book Antiqua" w:hAnsi="Book Antiqua" w:cs="Arial"/>
        </w:rPr>
        <w:t xml:space="preserve"> weight can be attributed</w:t>
      </w:r>
      <w:r w:rsidR="003D6F6B">
        <w:rPr>
          <w:rFonts w:ascii="Book Antiqua" w:hAnsi="Book Antiqua" w:cs="Arial"/>
        </w:rPr>
        <w:t xml:space="preserve"> to the </w:t>
      </w:r>
      <w:r>
        <w:rPr>
          <w:rFonts w:ascii="Book Antiqua" w:hAnsi="Book Antiqua" w:cs="Arial"/>
        </w:rPr>
        <w:t>Appellant</w:t>
      </w:r>
      <w:r w:rsidR="003D6F6B">
        <w:rPr>
          <w:rFonts w:ascii="Book Antiqua" w:hAnsi="Book Antiqua" w:cs="Arial"/>
        </w:rPr>
        <w:t xml:space="preserve"> at the time when she was a child.” However the judge found little weight should be given to a private life established at the time when her immigration status was precarious and that was that the position post-2011 when the </w:t>
      </w:r>
      <w:r>
        <w:rPr>
          <w:rFonts w:ascii="Book Antiqua" w:hAnsi="Book Antiqua" w:cs="Arial"/>
        </w:rPr>
        <w:t>Appellant</w:t>
      </w:r>
      <w:r w:rsidR="003D6F6B">
        <w:rPr>
          <w:rFonts w:ascii="Book Antiqua" w:hAnsi="Book Antiqua" w:cs="Arial"/>
        </w:rPr>
        <w:t xml:space="preserve"> was an adult and that some blame could be treated to her for that immigration record which was poor</w:t>
      </w:r>
      <w:r w:rsidR="00703C30">
        <w:rPr>
          <w:rFonts w:ascii="Book Antiqua" w:hAnsi="Book Antiqua" w:cs="Arial"/>
        </w:rPr>
        <w:t xml:space="preserve"> </w:t>
      </w:r>
      <w:r w:rsidR="003D6F6B">
        <w:rPr>
          <w:rFonts w:ascii="Book Antiqua" w:hAnsi="Book Antiqua" w:cs="Arial"/>
        </w:rPr>
        <w:t>[34].</w:t>
      </w:r>
    </w:p>
    <w:p w:rsidR="003D6F6B" w:rsidRDefault="003278F6" w:rsidP="00A827CC">
      <w:pPr>
        <w:numPr>
          <w:ilvl w:val="3"/>
          <w:numId w:val="3"/>
        </w:numPr>
        <w:tabs>
          <w:tab w:val="clear" w:pos="2268"/>
        </w:tabs>
        <w:spacing w:before="120"/>
        <w:ind w:left="1134"/>
        <w:jc w:val="both"/>
        <w:rPr>
          <w:rFonts w:ascii="Book Antiqua" w:hAnsi="Book Antiqua" w:cs="Arial"/>
        </w:rPr>
      </w:pPr>
      <w:r>
        <w:rPr>
          <w:rFonts w:ascii="Book Antiqua" w:hAnsi="Book Antiqua" w:cs="Arial"/>
        </w:rPr>
        <w:t xml:space="preserve">At [35] the judge referred to </w:t>
      </w:r>
      <w:r w:rsidR="003D6F6B">
        <w:rPr>
          <w:rFonts w:ascii="Book Antiqua" w:hAnsi="Book Antiqua" w:cs="Arial"/>
        </w:rPr>
        <w:t xml:space="preserve"> the length of time spent in United Kingdom and the general level of integration into UK society. On the other side of the balance, the judge was satisfied that the maintenance of effective immigration controls in the public interest and deserved “considerable weight which outweighs the matters that relate to the </w:t>
      </w:r>
      <w:r>
        <w:rPr>
          <w:rFonts w:ascii="Book Antiqua" w:hAnsi="Book Antiqua" w:cs="Arial"/>
        </w:rPr>
        <w:t>Appellant</w:t>
      </w:r>
      <w:r w:rsidR="003D6F6B">
        <w:rPr>
          <w:rFonts w:ascii="Book Antiqua" w:hAnsi="Book Antiqua" w:cs="Arial"/>
        </w:rPr>
        <w:t xml:space="preserve"> individually”. The judge therefore concluded that the balance was in favour of the </w:t>
      </w:r>
      <w:r>
        <w:rPr>
          <w:rFonts w:ascii="Book Antiqua" w:hAnsi="Book Antiqua" w:cs="Arial"/>
        </w:rPr>
        <w:t>Respondent</w:t>
      </w:r>
      <w:r w:rsidR="003D6F6B">
        <w:rPr>
          <w:rFonts w:ascii="Book Antiqua" w:hAnsi="Book Antiqua" w:cs="Arial"/>
        </w:rPr>
        <w:t xml:space="preserve"> and that any removal would not be disproportionate.</w:t>
      </w:r>
    </w:p>
    <w:p w:rsidR="003D6F6B" w:rsidRPr="003D6F6B" w:rsidRDefault="003D6F6B" w:rsidP="003D6F6B">
      <w:pPr>
        <w:spacing w:before="240"/>
        <w:jc w:val="both"/>
        <w:rPr>
          <w:rFonts w:ascii="Book Antiqua" w:hAnsi="Book Antiqua" w:cs="Arial"/>
          <w:u w:val="single"/>
        </w:rPr>
      </w:pPr>
      <w:r w:rsidRPr="003D6F6B">
        <w:rPr>
          <w:rFonts w:ascii="Book Antiqua" w:hAnsi="Book Antiqua" w:cs="Arial"/>
          <w:u w:val="single"/>
        </w:rPr>
        <w:t xml:space="preserve">The hearing before the Upper </w:t>
      </w:r>
      <w:r w:rsidR="003278F6">
        <w:rPr>
          <w:rFonts w:ascii="Book Antiqua" w:hAnsi="Book Antiqua" w:cs="Arial"/>
          <w:u w:val="single"/>
        </w:rPr>
        <w:t>Tribunal</w:t>
      </w:r>
      <w:r w:rsidRPr="003D6F6B">
        <w:rPr>
          <w:rFonts w:ascii="Book Antiqua" w:hAnsi="Book Antiqua" w:cs="Arial"/>
          <w:u w:val="single"/>
        </w:rPr>
        <w:t>:</w:t>
      </w:r>
    </w:p>
    <w:p w:rsidR="006C642C" w:rsidRDefault="00624CF6" w:rsidP="003278F6">
      <w:pPr>
        <w:numPr>
          <w:ilvl w:val="0"/>
          <w:numId w:val="3"/>
        </w:numPr>
        <w:spacing w:before="240"/>
        <w:jc w:val="both"/>
        <w:rPr>
          <w:rFonts w:ascii="Book Antiqua" w:hAnsi="Book Antiqua" w:cs="Arial"/>
        </w:rPr>
      </w:pPr>
      <w:r>
        <w:rPr>
          <w:rFonts w:ascii="Book Antiqua" w:hAnsi="Book Antiqua" w:cs="Arial"/>
        </w:rPr>
        <w:t>At the hearing Mr Malik</w:t>
      </w:r>
      <w:r w:rsidR="006C642C">
        <w:rPr>
          <w:rFonts w:ascii="Book Antiqua" w:hAnsi="Book Antiqua" w:cs="Arial"/>
        </w:rPr>
        <w:t xml:space="preserve"> relied upon the gr</w:t>
      </w:r>
      <w:r w:rsidR="003D6F6B">
        <w:rPr>
          <w:rFonts w:ascii="Book Antiqua" w:hAnsi="Book Antiqua" w:cs="Arial"/>
        </w:rPr>
        <w:t>ounds submitte</w:t>
      </w:r>
      <w:r w:rsidR="00703C30">
        <w:rPr>
          <w:rFonts w:ascii="Book Antiqua" w:hAnsi="Book Antiqua" w:cs="Arial"/>
        </w:rPr>
        <w:t>d. He accepted that it had been</w:t>
      </w:r>
      <w:r w:rsidR="003D6F6B">
        <w:rPr>
          <w:rFonts w:ascii="Book Antiqua" w:hAnsi="Book Antiqua" w:cs="Arial"/>
        </w:rPr>
        <w:t xml:space="preserve"> had conceded that in order for the applicant to succeed under paragraph 276 ADE the relevant date for the c</w:t>
      </w:r>
      <w:r w:rsidR="00703C30">
        <w:rPr>
          <w:rFonts w:ascii="Book Antiqua" w:hAnsi="Book Antiqua" w:cs="Arial"/>
        </w:rPr>
        <w:t xml:space="preserve">riteria had to be satisfied was the date of the application ( see decision in  </w:t>
      </w:r>
      <w:r w:rsidR="004A3262" w:rsidRPr="004A3262">
        <w:rPr>
          <w:rFonts w:ascii="Book Antiqua" w:hAnsi="Book Antiqua" w:cs="Arial"/>
          <w:u w:val="single"/>
        </w:rPr>
        <w:t>Koorie and others v SSHD</w:t>
      </w:r>
      <w:r w:rsidR="003278F6">
        <w:rPr>
          <w:rFonts w:ascii="Book Antiqua" w:hAnsi="Book Antiqua" w:cs="Arial"/>
        </w:rPr>
        <w:t xml:space="preserve"> [2016] EWCA Ci</w:t>
      </w:r>
      <w:r w:rsidR="004A3262">
        <w:rPr>
          <w:rFonts w:ascii="Book Antiqua" w:hAnsi="Book Antiqua" w:cs="Arial"/>
        </w:rPr>
        <w:t>v 552</w:t>
      </w:r>
      <w:r w:rsidR="00703C30">
        <w:rPr>
          <w:rFonts w:ascii="Book Antiqua" w:hAnsi="Book Antiqua" w:cs="Arial"/>
        </w:rPr>
        <w:t xml:space="preserve">). </w:t>
      </w:r>
      <w:r w:rsidR="003D6F6B">
        <w:rPr>
          <w:rFonts w:ascii="Book Antiqua" w:hAnsi="Book Antiqua" w:cs="Arial"/>
        </w:rPr>
        <w:t xml:space="preserve">However at the date of the hearing the </w:t>
      </w:r>
      <w:r w:rsidR="003278F6">
        <w:rPr>
          <w:rFonts w:ascii="Book Antiqua" w:hAnsi="Book Antiqua" w:cs="Arial"/>
        </w:rPr>
        <w:t>Appellant</w:t>
      </w:r>
      <w:r w:rsidR="003D6F6B">
        <w:rPr>
          <w:rFonts w:ascii="Book Antiqua" w:hAnsi="Book Antiqua" w:cs="Arial"/>
        </w:rPr>
        <w:t xml:space="preserve"> was 24 years and 11-month-old (and therefore was over 18 years and under 25 years) and also at the date of the hearing had spent at least half her life living continuously in the UK (see Paragraph </w:t>
      </w:r>
      <w:r w:rsidR="003278F6">
        <w:rPr>
          <w:rFonts w:ascii="Book Antiqua" w:hAnsi="Book Antiqua" w:cs="Arial"/>
        </w:rPr>
        <w:t>276ADE (</w:t>
      </w:r>
      <w:r w:rsidR="003D6F6B">
        <w:rPr>
          <w:rFonts w:ascii="Book Antiqua" w:hAnsi="Book Antiqua" w:cs="Arial"/>
        </w:rPr>
        <w:t>1</w:t>
      </w:r>
      <w:r w:rsidR="003278F6">
        <w:rPr>
          <w:rFonts w:ascii="Book Antiqua" w:hAnsi="Book Antiqua" w:cs="Arial"/>
        </w:rPr>
        <w:t>) (</w:t>
      </w:r>
      <w:r w:rsidR="003D6F6B">
        <w:rPr>
          <w:rFonts w:ascii="Book Antiqua" w:hAnsi="Book Antiqua" w:cs="Arial"/>
        </w:rPr>
        <w:t>v)</w:t>
      </w:r>
      <w:r w:rsidR="003278F6">
        <w:rPr>
          <w:rFonts w:ascii="Book Antiqua" w:hAnsi="Book Antiqua" w:cs="Arial"/>
        </w:rPr>
        <w:t>)</w:t>
      </w:r>
      <w:r w:rsidR="003D6F6B">
        <w:rPr>
          <w:rFonts w:ascii="Book Antiqua" w:hAnsi="Book Antiqua" w:cs="Arial"/>
        </w:rPr>
        <w:t>.</w:t>
      </w:r>
    </w:p>
    <w:p w:rsidR="003D6F6B" w:rsidRDefault="003D6F6B" w:rsidP="003278F6">
      <w:pPr>
        <w:numPr>
          <w:ilvl w:val="0"/>
          <w:numId w:val="3"/>
        </w:numPr>
        <w:spacing w:before="240"/>
        <w:jc w:val="both"/>
        <w:rPr>
          <w:rFonts w:ascii="Book Antiqua" w:hAnsi="Book Antiqua" w:cs="Arial"/>
        </w:rPr>
      </w:pPr>
      <w:r>
        <w:rPr>
          <w:rFonts w:ascii="Book Antiqua" w:hAnsi="Book Antiqua" w:cs="Arial"/>
        </w:rPr>
        <w:t>He submitted that the starting point to considering the</w:t>
      </w:r>
      <w:r w:rsidR="00703C30">
        <w:rPr>
          <w:rFonts w:ascii="Book Antiqua" w:hAnsi="Book Antiqua" w:cs="Arial"/>
        </w:rPr>
        <w:t xml:space="preserve"> </w:t>
      </w:r>
      <w:r w:rsidR="003278F6">
        <w:rPr>
          <w:rFonts w:ascii="Book Antiqua" w:hAnsi="Book Antiqua" w:cs="Arial"/>
        </w:rPr>
        <w:t>Article</w:t>
      </w:r>
      <w:r w:rsidR="00703C30">
        <w:rPr>
          <w:rFonts w:ascii="Book Antiqua" w:hAnsi="Book Antiqua" w:cs="Arial"/>
        </w:rPr>
        <w:t xml:space="preserve"> 8 application are the R</w:t>
      </w:r>
      <w:r>
        <w:rPr>
          <w:rFonts w:ascii="Book Antiqua" w:hAnsi="Book Antiqua" w:cs="Arial"/>
        </w:rPr>
        <w:t xml:space="preserve">ules themselves (applying </w:t>
      </w:r>
      <w:r w:rsidRPr="003D6F6B">
        <w:rPr>
          <w:rFonts w:ascii="Book Antiqua" w:hAnsi="Book Antiqua" w:cs="Arial"/>
          <w:u w:val="single"/>
        </w:rPr>
        <w:t>SSHD v SS (Congo) and others</w:t>
      </w:r>
      <w:r>
        <w:rPr>
          <w:rFonts w:ascii="Book Antiqua" w:hAnsi="Book Antiqua" w:cs="Arial"/>
        </w:rPr>
        <w:t xml:space="preserve"> [2015) EWCA</w:t>
      </w:r>
      <w:r w:rsidR="003278F6">
        <w:rPr>
          <w:rFonts w:ascii="Book Antiqua" w:hAnsi="Book Antiqua" w:cs="Arial"/>
        </w:rPr>
        <w:t xml:space="preserve"> </w:t>
      </w:r>
      <w:r>
        <w:rPr>
          <w:rFonts w:ascii="Book Antiqua" w:hAnsi="Book Antiqua" w:cs="Arial"/>
        </w:rPr>
        <w:t xml:space="preserve">Civ 387) and that the consideration of whether to grant leave outside of the </w:t>
      </w:r>
      <w:r w:rsidR="00703C30">
        <w:rPr>
          <w:rFonts w:ascii="Book Antiqua" w:hAnsi="Book Antiqua" w:cs="Arial"/>
        </w:rPr>
        <w:t xml:space="preserve">rules is necessary because the </w:t>
      </w:r>
      <w:r w:rsidR="003278F6">
        <w:rPr>
          <w:rFonts w:ascii="Book Antiqua" w:hAnsi="Book Antiqua" w:cs="Arial"/>
        </w:rPr>
        <w:t>Article</w:t>
      </w:r>
      <w:r>
        <w:rPr>
          <w:rFonts w:ascii="Book Antiqua" w:hAnsi="Book Antiqua" w:cs="Arial"/>
        </w:rPr>
        <w:t xml:space="preserve"> 8 provisions of the rules are evidence of the propor</w:t>
      </w:r>
      <w:r w:rsidR="00703C30">
        <w:rPr>
          <w:rFonts w:ascii="Book Antiqua" w:hAnsi="Book Antiqua" w:cs="Arial"/>
        </w:rPr>
        <w:t xml:space="preserve">tionality considerations under </w:t>
      </w:r>
      <w:r w:rsidR="003278F6">
        <w:rPr>
          <w:rFonts w:ascii="Book Antiqua" w:hAnsi="Book Antiqua" w:cs="Arial"/>
        </w:rPr>
        <w:t>Article</w:t>
      </w:r>
      <w:r>
        <w:rPr>
          <w:rFonts w:ascii="Book Antiqua" w:hAnsi="Book Antiqua" w:cs="Arial"/>
        </w:rPr>
        <w:t xml:space="preserve"> 8. Thus he submitted the </w:t>
      </w:r>
      <w:r w:rsidR="003278F6">
        <w:rPr>
          <w:rFonts w:ascii="Book Antiqua" w:hAnsi="Book Antiqua" w:cs="Arial"/>
        </w:rPr>
        <w:t>Respondent</w:t>
      </w:r>
      <w:r>
        <w:rPr>
          <w:rFonts w:ascii="Book Antiqua" w:hAnsi="Book Antiqua" w:cs="Arial"/>
        </w:rPr>
        <w:t xml:space="preserve"> in such cases should consider the position outside the rules unless such consideration would not add anything to the analysis. </w:t>
      </w:r>
    </w:p>
    <w:p w:rsidR="003D6F6B" w:rsidRDefault="00703C30" w:rsidP="003278F6">
      <w:pPr>
        <w:numPr>
          <w:ilvl w:val="0"/>
          <w:numId w:val="3"/>
        </w:numPr>
        <w:spacing w:before="240"/>
        <w:jc w:val="both"/>
        <w:rPr>
          <w:rFonts w:ascii="Book Antiqua" w:hAnsi="Book Antiqua" w:cs="Arial"/>
        </w:rPr>
      </w:pPr>
      <w:r>
        <w:rPr>
          <w:rFonts w:ascii="Book Antiqua" w:hAnsi="Book Antiqua" w:cs="Arial"/>
        </w:rPr>
        <w:t xml:space="preserve">He further submitted that the </w:t>
      </w:r>
      <w:r w:rsidR="003278F6">
        <w:rPr>
          <w:rFonts w:ascii="Book Antiqua" w:hAnsi="Book Antiqua" w:cs="Arial"/>
        </w:rPr>
        <w:t>Article</w:t>
      </w:r>
      <w:r w:rsidR="003D6F6B">
        <w:rPr>
          <w:rFonts w:ascii="Book Antiqua" w:hAnsi="Book Antiqua" w:cs="Arial"/>
        </w:rPr>
        <w:t xml:space="preserve"> 8 rel</w:t>
      </w:r>
      <w:r>
        <w:rPr>
          <w:rFonts w:ascii="Book Antiqua" w:hAnsi="Book Antiqua" w:cs="Arial"/>
        </w:rPr>
        <w:t>ated provisions of the Immigration R</w:t>
      </w:r>
      <w:r w:rsidR="003D6F6B">
        <w:rPr>
          <w:rFonts w:ascii="Book Antiqua" w:hAnsi="Book Antiqua" w:cs="Arial"/>
        </w:rPr>
        <w:t xml:space="preserve">ules are relevant even in an assessment </w:t>
      </w:r>
      <w:r>
        <w:rPr>
          <w:rFonts w:ascii="Book Antiqua" w:hAnsi="Book Antiqua" w:cs="Arial"/>
        </w:rPr>
        <w:t>of proportionality outside of the Immigration R</w:t>
      </w:r>
      <w:r w:rsidR="003D6F6B">
        <w:rPr>
          <w:rFonts w:ascii="Book Antiqua" w:hAnsi="Book Antiqua" w:cs="Arial"/>
        </w:rPr>
        <w:t xml:space="preserve">ules (relying on paragraph 32 of </w:t>
      </w:r>
      <w:r w:rsidR="003D6F6B" w:rsidRPr="003278F6">
        <w:rPr>
          <w:rFonts w:ascii="Book Antiqua" w:hAnsi="Book Antiqua" w:cs="Arial"/>
          <w:u w:val="single"/>
        </w:rPr>
        <w:t>SS Congo and others</w:t>
      </w:r>
      <w:r>
        <w:rPr>
          <w:rFonts w:ascii="Book Antiqua" w:hAnsi="Book Antiqua" w:cs="Arial"/>
        </w:rPr>
        <w:t>)</w:t>
      </w:r>
      <w:r w:rsidR="003D6F6B">
        <w:rPr>
          <w:rFonts w:ascii="Book Antiqua" w:hAnsi="Book Antiqua" w:cs="Arial"/>
        </w:rPr>
        <w:t xml:space="preserve">. Similarly the applicant’s failure to meet the requirements of immigration rule by a narrow margin, although not in itself </w:t>
      </w:r>
      <w:r w:rsidR="003D6F6B">
        <w:rPr>
          <w:rFonts w:ascii="Book Antiqua" w:hAnsi="Book Antiqua" w:cs="Arial"/>
        </w:rPr>
        <w:lastRenderedPageBreak/>
        <w:t xml:space="preserve">sufficient to justify leave outside of the immigration rules, is a relevant consideration (see paragraph 56 of </w:t>
      </w:r>
      <w:r w:rsidR="003D6F6B" w:rsidRPr="003278F6">
        <w:rPr>
          <w:rFonts w:ascii="Book Antiqua" w:hAnsi="Book Antiqua" w:cs="Arial"/>
          <w:u w:val="single"/>
        </w:rPr>
        <w:t>SS (Congo</w:t>
      </w:r>
      <w:r w:rsidR="003D6F6B">
        <w:rPr>
          <w:rFonts w:ascii="Book Antiqua" w:hAnsi="Book Antiqua" w:cs="Arial"/>
        </w:rPr>
        <w:t>)). I</w:t>
      </w:r>
      <w:r>
        <w:rPr>
          <w:rFonts w:ascii="Book Antiqua" w:hAnsi="Book Antiqua" w:cs="Arial"/>
        </w:rPr>
        <w:t xml:space="preserve">n the context of the post-2012 </w:t>
      </w:r>
      <w:r w:rsidR="003278F6">
        <w:rPr>
          <w:rFonts w:ascii="Book Antiqua" w:hAnsi="Book Antiqua" w:cs="Arial"/>
        </w:rPr>
        <w:t>Article</w:t>
      </w:r>
      <w:r>
        <w:rPr>
          <w:rFonts w:ascii="Book Antiqua" w:hAnsi="Book Antiqua" w:cs="Arial"/>
        </w:rPr>
        <w:t xml:space="preserve"> 8 provisions of the Immigration R</w:t>
      </w:r>
      <w:r w:rsidR="003D6F6B">
        <w:rPr>
          <w:rFonts w:ascii="Book Antiqua" w:hAnsi="Book Antiqua" w:cs="Arial"/>
        </w:rPr>
        <w:t>ules provide evidence of the appropriate balance to be struck between the rights of the individual and the public interest in the maintenance of immigration control. Therefore, even where an applicant is not</w:t>
      </w:r>
      <w:r>
        <w:rPr>
          <w:rFonts w:ascii="Book Antiqua" w:hAnsi="Book Antiqua" w:cs="Arial"/>
        </w:rPr>
        <w:t xml:space="preserve"> able to</w:t>
      </w:r>
      <w:r w:rsidR="003D6F6B">
        <w:rPr>
          <w:rFonts w:ascii="Book Antiqua" w:hAnsi="Book Antiqua" w:cs="Arial"/>
        </w:rPr>
        <w:t xml:space="preserve"> technically meet the requirements of the rules, the latter continue to be relevant to the proportionality consideration. When applied to this case, the applicant missed the qualification under the rules by only three months at</w:t>
      </w:r>
      <w:r w:rsidR="003278F6">
        <w:rPr>
          <w:rFonts w:ascii="Book Antiqua" w:hAnsi="Book Antiqua" w:cs="Arial"/>
        </w:rPr>
        <w:t xml:space="preserve"> the date of the application but </w:t>
      </w:r>
      <w:r w:rsidR="003D6F6B">
        <w:rPr>
          <w:rFonts w:ascii="Book Antiqua" w:hAnsi="Book Antiqua" w:cs="Arial"/>
        </w:rPr>
        <w:t xml:space="preserve">she met the requirements of the criteria on the day of the </w:t>
      </w:r>
      <w:r w:rsidR="003278F6">
        <w:rPr>
          <w:rFonts w:ascii="Book Antiqua" w:hAnsi="Book Antiqua" w:cs="Arial"/>
        </w:rPr>
        <w:t>Tribunal</w:t>
      </w:r>
      <w:r w:rsidR="003D6F6B">
        <w:rPr>
          <w:rFonts w:ascii="Book Antiqua" w:hAnsi="Book Antiqua" w:cs="Arial"/>
        </w:rPr>
        <w:t xml:space="preserve"> hearing.</w:t>
      </w:r>
    </w:p>
    <w:p w:rsidR="003D6F6B" w:rsidRDefault="003D6F6B" w:rsidP="003278F6">
      <w:pPr>
        <w:numPr>
          <w:ilvl w:val="0"/>
          <w:numId w:val="3"/>
        </w:numPr>
        <w:spacing w:before="240"/>
        <w:jc w:val="both"/>
        <w:rPr>
          <w:rFonts w:ascii="Book Antiqua" w:hAnsi="Book Antiqua" w:cs="Arial"/>
        </w:rPr>
      </w:pPr>
      <w:r>
        <w:rPr>
          <w:rFonts w:ascii="Book Antiqua" w:hAnsi="Book Antiqua" w:cs="Arial"/>
        </w:rPr>
        <w:t>Thus the thru</w:t>
      </w:r>
      <w:r w:rsidR="00703C30">
        <w:rPr>
          <w:rFonts w:ascii="Book Antiqua" w:hAnsi="Book Antiqua" w:cs="Arial"/>
        </w:rPr>
        <w:t xml:space="preserve">st of the grounds are that the </w:t>
      </w:r>
      <w:r w:rsidR="003278F6">
        <w:rPr>
          <w:rFonts w:ascii="Book Antiqua" w:hAnsi="Book Antiqua" w:cs="Arial"/>
        </w:rPr>
        <w:t>Tribunal</w:t>
      </w:r>
      <w:r>
        <w:rPr>
          <w:rFonts w:ascii="Book Antiqua" w:hAnsi="Book Antiqua" w:cs="Arial"/>
        </w:rPr>
        <w:t xml:space="preserve"> omitted to engage with that point w</w:t>
      </w:r>
      <w:r w:rsidR="00703C30">
        <w:rPr>
          <w:rFonts w:ascii="Book Antiqua" w:hAnsi="Book Antiqua" w:cs="Arial"/>
        </w:rPr>
        <w:t xml:space="preserve">ithin its decision. Whilst the </w:t>
      </w:r>
      <w:r w:rsidR="003278F6">
        <w:rPr>
          <w:rFonts w:ascii="Book Antiqua" w:hAnsi="Book Antiqua" w:cs="Arial"/>
        </w:rPr>
        <w:t>Tribunal</w:t>
      </w:r>
      <w:r>
        <w:rPr>
          <w:rFonts w:ascii="Book Antiqua" w:hAnsi="Book Antiqua" w:cs="Arial"/>
        </w:rPr>
        <w:t xml:space="preserve"> appeared to address the point </w:t>
      </w:r>
      <w:r w:rsidR="00703C30">
        <w:rPr>
          <w:rFonts w:ascii="Book Antiqua" w:hAnsi="Book Antiqua" w:cs="Arial"/>
        </w:rPr>
        <w:t xml:space="preserve">at </w:t>
      </w:r>
      <w:r>
        <w:rPr>
          <w:rFonts w:ascii="Book Antiqua" w:hAnsi="Book Antiqua" w:cs="Arial"/>
        </w:rPr>
        <w:t>paragraph 28 of the determination and stated t</w:t>
      </w:r>
      <w:r w:rsidR="003278F6">
        <w:rPr>
          <w:rFonts w:ascii="Book Antiqua" w:hAnsi="Book Antiqua" w:cs="Arial"/>
        </w:rPr>
        <w:t xml:space="preserve">hat the date of the application the inability to meet </w:t>
      </w:r>
      <w:r>
        <w:rPr>
          <w:rFonts w:ascii="Book Antiqua" w:hAnsi="Book Antiqua" w:cs="Arial"/>
        </w:rPr>
        <w:t xml:space="preserve"> paragraph 276 ADE was not a </w:t>
      </w:r>
      <w:r w:rsidR="003278F6">
        <w:rPr>
          <w:rFonts w:ascii="Book Antiqua" w:hAnsi="Book Antiqua" w:cs="Arial"/>
        </w:rPr>
        <w:t>“</w:t>
      </w:r>
      <w:r>
        <w:rPr>
          <w:rFonts w:ascii="Book Antiqua" w:hAnsi="Book Antiqua" w:cs="Arial"/>
        </w:rPr>
        <w:t>mere technicality</w:t>
      </w:r>
      <w:r w:rsidR="003278F6">
        <w:rPr>
          <w:rFonts w:ascii="Book Antiqua" w:hAnsi="Book Antiqua" w:cs="Arial"/>
        </w:rPr>
        <w:t>”</w:t>
      </w:r>
      <w:r>
        <w:rPr>
          <w:rFonts w:ascii="Book Antiqua" w:hAnsi="Book Antiqua" w:cs="Arial"/>
        </w:rPr>
        <w:t>, the statement overlooked the point being made on behalf of the applicant, namely the combination of the applicant only having missed qualification by three months of the date of the application taken with the fact that she met the criteria and the date of the hearing, showed s</w:t>
      </w:r>
      <w:r w:rsidR="003278F6">
        <w:rPr>
          <w:rFonts w:ascii="Book Antiqua" w:hAnsi="Book Antiqua" w:cs="Arial"/>
        </w:rPr>
        <w:t>ubstantial compliance with the R</w:t>
      </w:r>
      <w:r>
        <w:rPr>
          <w:rFonts w:ascii="Book Antiqua" w:hAnsi="Book Antiqua" w:cs="Arial"/>
        </w:rPr>
        <w:t>ules which shoul</w:t>
      </w:r>
      <w:r w:rsidR="00703C30">
        <w:rPr>
          <w:rFonts w:ascii="Book Antiqua" w:hAnsi="Book Antiqua" w:cs="Arial"/>
        </w:rPr>
        <w:t xml:space="preserve">d be taken into account in the </w:t>
      </w:r>
      <w:r w:rsidR="003278F6">
        <w:rPr>
          <w:rFonts w:ascii="Book Antiqua" w:hAnsi="Book Antiqua" w:cs="Arial"/>
        </w:rPr>
        <w:t>Article</w:t>
      </w:r>
      <w:r>
        <w:rPr>
          <w:rFonts w:ascii="Book Antiqua" w:hAnsi="Book Antiqua" w:cs="Arial"/>
        </w:rPr>
        <w:t xml:space="preserve"> 8 balancing act in the applicant</w:t>
      </w:r>
      <w:r w:rsidR="00703C30">
        <w:rPr>
          <w:rFonts w:ascii="Book Antiqua" w:hAnsi="Book Antiqua" w:cs="Arial"/>
        </w:rPr>
        <w:t>s</w:t>
      </w:r>
      <w:r>
        <w:rPr>
          <w:rFonts w:ascii="Book Antiqua" w:hAnsi="Book Antiqua" w:cs="Arial"/>
        </w:rPr>
        <w:t xml:space="preserve"> favour.</w:t>
      </w:r>
    </w:p>
    <w:p w:rsidR="003D6F6B" w:rsidRDefault="00B33772" w:rsidP="003278F6">
      <w:pPr>
        <w:numPr>
          <w:ilvl w:val="0"/>
          <w:numId w:val="3"/>
        </w:numPr>
        <w:spacing w:before="240"/>
        <w:jc w:val="both"/>
        <w:rPr>
          <w:rFonts w:ascii="Book Antiqua" w:hAnsi="Book Antiqua" w:cs="Arial"/>
        </w:rPr>
      </w:pPr>
      <w:r>
        <w:rPr>
          <w:rFonts w:ascii="Book Antiqua" w:hAnsi="Book Antiqua" w:cs="Arial"/>
        </w:rPr>
        <w:t xml:space="preserve">He submitted that at paragraph [28] of the determination clearly indicated that she had spent half of the life in the UK and it was implicit in that acceptance that she was under 25 at the date of the hearing and met the suitability criteria. However the judge appeared to have held against the </w:t>
      </w:r>
      <w:r w:rsidR="003278F6">
        <w:rPr>
          <w:rFonts w:ascii="Book Antiqua" w:hAnsi="Book Antiqua" w:cs="Arial"/>
        </w:rPr>
        <w:t>Appellant</w:t>
      </w:r>
      <w:r>
        <w:rPr>
          <w:rFonts w:ascii="Book Antiqua" w:hAnsi="Book Antiqua" w:cs="Arial"/>
        </w:rPr>
        <w:t xml:space="preserve"> that no application had been made but given the substantive requirements having been met, the judge did not factor that into the balancing exercise.</w:t>
      </w:r>
    </w:p>
    <w:p w:rsidR="00B33772" w:rsidRDefault="00B33772" w:rsidP="003278F6">
      <w:pPr>
        <w:numPr>
          <w:ilvl w:val="0"/>
          <w:numId w:val="3"/>
        </w:numPr>
        <w:spacing w:before="240"/>
        <w:jc w:val="both"/>
        <w:rPr>
          <w:rFonts w:ascii="Book Antiqua" w:hAnsi="Book Antiqua" w:cs="Arial"/>
        </w:rPr>
      </w:pPr>
      <w:r>
        <w:rPr>
          <w:rFonts w:ascii="Book Antiqua" w:hAnsi="Book Antiqua" w:cs="Arial"/>
        </w:rPr>
        <w:t xml:space="preserve">As to the public interest, Mr Malik relied upon the decision of </w:t>
      </w:r>
      <w:r w:rsidRPr="003278F6">
        <w:rPr>
          <w:rFonts w:ascii="Book Antiqua" w:hAnsi="Book Antiqua" w:cs="Arial"/>
          <w:u w:val="single"/>
        </w:rPr>
        <w:t>Kaur</w:t>
      </w:r>
      <w:r>
        <w:rPr>
          <w:rFonts w:ascii="Book Antiqua" w:hAnsi="Book Antiqua" w:cs="Arial"/>
        </w:rPr>
        <w:t xml:space="preserve"> </w:t>
      </w:r>
      <w:r w:rsidR="003278F6" w:rsidRPr="003278F6">
        <w:rPr>
          <w:rFonts w:ascii="Book Antiqua" w:hAnsi="Book Antiqua" w:cs="Arial"/>
        </w:rPr>
        <w:t xml:space="preserve">(as cited) </w:t>
      </w:r>
      <w:r>
        <w:rPr>
          <w:rFonts w:ascii="Book Antiqua" w:hAnsi="Book Antiqua" w:cs="Arial"/>
        </w:rPr>
        <w:t>and at paragraph</w:t>
      </w:r>
      <w:r w:rsidR="003278F6">
        <w:rPr>
          <w:rFonts w:ascii="Book Antiqua" w:hAnsi="Book Antiqua" w:cs="Arial"/>
        </w:rPr>
        <w:t>s</w:t>
      </w:r>
      <w:r>
        <w:rPr>
          <w:rFonts w:ascii="Book Antiqua" w:hAnsi="Book Antiqua" w:cs="Arial"/>
        </w:rPr>
        <w:t xml:space="preserve"> 25</w:t>
      </w:r>
      <w:r w:rsidR="003278F6">
        <w:rPr>
          <w:rFonts w:ascii="Book Antiqua" w:hAnsi="Book Antiqua" w:cs="Arial"/>
        </w:rPr>
        <w:t xml:space="preserve"> onwards</w:t>
      </w:r>
      <w:r>
        <w:rPr>
          <w:rFonts w:ascii="Book Antiqua" w:hAnsi="Book Antiqua" w:cs="Arial"/>
        </w:rPr>
        <w:t xml:space="preserve"> of that decision, when considering section </w:t>
      </w:r>
      <w:r w:rsidR="003278F6">
        <w:rPr>
          <w:rFonts w:ascii="Book Antiqua" w:hAnsi="Book Antiqua" w:cs="Arial"/>
        </w:rPr>
        <w:t>117B (5</w:t>
      </w:r>
      <w:r>
        <w:rPr>
          <w:rFonts w:ascii="Book Antiqua" w:hAnsi="Book Antiqua" w:cs="Arial"/>
        </w:rPr>
        <w:t xml:space="preserve">) he submitted that it was not a disqualifying provision and therefore it has to be a matter of statutory construction that a case can succeed under the private life provisions notwithstanding the application of section 117B. As the </w:t>
      </w:r>
      <w:r w:rsidR="003278F6">
        <w:rPr>
          <w:rFonts w:ascii="Book Antiqua" w:hAnsi="Book Antiqua" w:cs="Arial"/>
        </w:rPr>
        <w:t>Appellant</w:t>
      </w:r>
      <w:r>
        <w:rPr>
          <w:rFonts w:ascii="Book Antiqua" w:hAnsi="Book Antiqua" w:cs="Arial"/>
        </w:rPr>
        <w:t xml:space="preserve"> s</w:t>
      </w:r>
      <w:r w:rsidR="003278F6">
        <w:rPr>
          <w:rFonts w:ascii="Book Antiqua" w:hAnsi="Book Antiqua" w:cs="Arial"/>
        </w:rPr>
        <w:t>ubstantively complied with the Immigration R</w:t>
      </w:r>
      <w:r>
        <w:rPr>
          <w:rFonts w:ascii="Book Antiqua" w:hAnsi="Book Antiqua" w:cs="Arial"/>
        </w:rPr>
        <w:t xml:space="preserve">ules at the date of the hearing it must therefore follow that there is little or no public interest in her removal and to construe section 117B provisions through that </w:t>
      </w:r>
      <w:proofErr w:type="spellStart"/>
      <w:r>
        <w:rPr>
          <w:rFonts w:ascii="Book Antiqua" w:hAnsi="Book Antiqua" w:cs="Arial"/>
        </w:rPr>
        <w:t>lens</w:t>
      </w:r>
      <w:r w:rsidR="003278F6">
        <w:rPr>
          <w:rFonts w:ascii="Book Antiqua" w:hAnsi="Book Antiqua" w:cs="Arial"/>
        </w:rPr>
        <w:t>e</w:t>
      </w:r>
      <w:proofErr w:type="spellEnd"/>
      <w:r>
        <w:rPr>
          <w:rFonts w:ascii="Book Antiqua" w:hAnsi="Book Antiqua" w:cs="Arial"/>
        </w:rPr>
        <w:t xml:space="preserve">. </w:t>
      </w:r>
    </w:p>
    <w:p w:rsidR="00624CF6" w:rsidRDefault="006C642C" w:rsidP="003278F6">
      <w:pPr>
        <w:numPr>
          <w:ilvl w:val="0"/>
          <w:numId w:val="3"/>
        </w:numPr>
        <w:spacing w:before="240"/>
        <w:jc w:val="both"/>
        <w:rPr>
          <w:rFonts w:ascii="Book Antiqua" w:hAnsi="Book Antiqua" w:cs="Arial"/>
        </w:rPr>
      </w:pPr>
      <w:r w:rsidRPr="00624CF6">
        <w:rPr>
          <w:rFonts w:ascii="Book Antiqua" w:hAnsi="Book Antiqua" w:cs="Arial"/>
        </w:rPr>
        <w:t>M</w:t>
      </w:r>
      <w:r w:rsidR="00703C30">
        <w:rPr>
          <w:rFonts w:ascii="Book Antiqua" w:hAnsi="Book Antiqua" w:cs="Arial"/>
        </w:rPr>
        <w:t>s Aboni</w:t>
      </w:r>
      <w:r w:rsidRPr="00624CF6">
        <w:rPr>
          <w:rFonts w:ascii="Book Antiqua" w:hAnsi="Book Antiqua" w:cs="Arial"/>
        </w:rPr>
        <w:t xml:space="preserve"> on behalf of the </w:t>
      </w:r>
      <w:r w:rsidR="003278F6">
        <w:rPr>
          <w:rFonts w:ascii="Book Antiqua" w:hAnsi="Book Antiqua" w:cs="Arial"/>
        </w:rPr>
        <w:t>Respondent</w:t>
      </w:r>
      <w:r w:rsidRPr="00624CF6">
        <w:rPr>
          <w:rFonts w:ascii="Book Antiqua" w:hAnsi="Book Antiqua" w:cs="Arial"/>
        </w:rPr>
        <w:t xml:space="preserve"> relied upon t</w:t>
      </w:r>
      <w:r w:rsidR="00703C30">
        <w:rPr>
          <w:rFonts w:ascii="Book Antiqua" w:hAnsi="Book Antiqua" w:cs="Arial"/>
        </w:rPr>
        <w:t>he R</w:t>
      </w:r>
      <w:r w:rsidRPr="00624CF6">
        <w:rPr>
          <w:rFonts w:ascii="Book Antiqua" w:hAnsi="Book Antiqua" w:cs="Arial"/>
        </w:rPr>
        <w:t xml:space="preserve">ule 24 response </w:t>
      </w:r>
      <w:r w:rsidR="00624CF6" w:rsidRPr="00624CF6">
        <w:rPr>
          <w:rFonts w:ascii="Book Antiqua" w:hAnsi="Book Antiqua" w:cs="Arial"/>
        </w:rPr>
        <w:t>dated 28</w:t>
      </w:r>
      <w:r w:rsidR="00624CF6" w:rsidRPr="00624CF6">
        <w:rPr>
          <w:rFonts w:ascii="Book Antiqua" w:hAnsi="Book Antiqua" w:cs="Arial"/>
          <w:vertAlign w:val="superscript"/>
        </w:rPr>
        <w:t>th</w:t>
      </w:r>
      <w:r w:rsidR="00624CF6" w:rsidRPr="00624CF6">
        <w:rPr>
          <w:rFonts w:ascii="Book Antiqua" w:hAnsi="Book Antiqua" w:cs="Arial"/>
        </w:rPr>
        <w:t xml:space="preserve"> June 2018 </w:t>
      </w:r>
      <w:r w:rsidRPr="00624CF6">
        <w:rPr>
          <w:rFonts w:ascii="Book Antiqua" w:hAnsi="Book Antiqua" w:cs="Arial"/>
        </w:rPr>
        <w:t>in which it was stated that the judge directed himself appropriately</w:t>
      </w:r>
      <w:r w:rsidR="003D6F6B">
        <w:rPr>
          <w:rFonts w:ascii="Book Antiqua" w:hAnsi="Book Antiqua" w:cs="Arial"/>
        </w:rPr>
        <w:t xml:space="preserve"> and produce</w:t>
      </w:r>
      <w:r w:rsidR="00703C30">
        <w:rPr>
          <w:rFonts w:ascii="Book Antiqua" w:hAnsi="Book Antiqua" w:cs="Arial"/>
        </w:rPr>
        <w:t>d</w:t>
      </w:r>
      <w:r w:rsidR="003D6F6B">
        <w:rPr>
          <w:rFonts w:ascii="Book Antiqua" w:hAnsi="Book Antiqua" w:cs="Arial"/>
        </w:rPr>
        <w:t xml:space="preserve"> a thorough and legally sound decision. As </w:t>
      </w:r>
      <w:r w:rsidR="00703C30">
        <w:rPr>
          <w:rFonts w:ascii="Book Antiqua" w:hAnsi="Book Antiqua" w:cs="Arial"/>
        </w:rPr>
        <w:t xml:space="preserve">to </w:t>
      </w:r>
      <w:r w:rsidR="003D6F6B">
        <w:rPr>
          <w:rFonts w:ascii="Book Antiqua" w:hAnsi="Book Antiqua" w:cs="Arial"/>
        </w:rPr>
        <w:t xml:space="preserve">the chronology the judge recorded at [5] that the </w:t>
      </w:r>
      <w:r w:rsidR="003278F6">
        <w:rPr>
          <w:rFonts w:ascii="Book Antiqua" w:hAnsi="Book Antiqua" w:cs="Arial"/>
        </w:rPr>
        <w:t>Appellant</w:t>
      </w:r>
      <w:r w:rsidR="003D6F6B">
        <w:rPr>
          <w:rFonts w:ascii="Book Antiqua" w:hAnsi="Book Antiqua" w:cs="Arial"/>
        </w:rPr>
        <w:t xml:space="preserve"> had conceded that she could not meet the terms of paragraph 276 ADE (1) (v) and at [23) acknowledges her argument that she should benefit on the basis of being a “near mis</w:t>
      </w:r>
      <w:r w:rsidR="00703C30">
        <w:rPr>
          <w:rFonts w:ascii="Book Antiqua" w:hAnsi="Book Antiqua" w:cs="Arial"/>
        </w:rPr>
        <w:t>s”. Importantly at [28] and [35]</w:t>
      </w:r>
      <w:r w:rsidR="003D6F6B">
        <w:rPr>
          <w:rFonts w:ascii="Book Antiqua" w:hAnsi="Book Antiqua" w:cs="Arial"/>
        </w:rPr>
        <w:t xml:space="preserve"> the judge expressly stated that he had taken into account the </w:t>
      </w:r>
      <w:r w:rsidR="003278F6">
        <w:rPr>
          <w:rFonts w:ascii="Book Antiqua" w:hAnsi="Book Antiqua" w:cs="Arial"/>
        </w:rPr>
        <w:t>Appellant</w:t>
      </w:r>
      <w:r w:rsidR="003D6F6B">
        <w:rPr>
          <w:rFonts w:ascii="Book Antiqua" w:hAnsi="Book Antiqua" w:cs="Arial"/>
        </w:rPr>
        <w:t xml:space="preserve"> “near miss” into the balancing exercise which was what the judge was required to do. Consequently the challenge made on the grounds was no more than a disagreement with the decision reached.</w:t>
      </w:r>
    </w:p>
    <w:p w:rsidR="00624CF6" w:rsidRDefault="006C642C" w:rsidP="003278F6">
      <w:pPr>
        <w:numPr>
          <w:ilvl w:val="0"/>
          <w:numId w:val="3"/>
        </w:numPr>
        <w:spacing w:before="240"/>
        <w:jc w:val="both"/>
        <w:rPr>
          <w:rFonts w:ascii="Book Antiqua" w:hAnsi="Book Antiqua" w:cs="Arial"/>
        </w:rPr>
      </w:pPr>
      <w:r w:rsidRPr="00624CF6">
        <w:rPr>
          <w:rFonts w:ascii="Book Antiqua" w:hAnsi="Book Antiqua" w:cs="Arial"/>
        </w:rPr>
        <w:lastRenderedPageBreak/>
        <w:t>I</w:t>
      </w:r>
      <w:r w:rsidR="00703C30">
        <w:rPr>
          <w:rFonts w:ascii="Book Antiqua" w:hAnsi="Book Antiqua" w:cs="Arial"/>
        </w:rPr>
        <w:t xml:space="preserve">n her oral </w:t>
      </w:r>
      <w:r w:rsidR="003278F6">
        <w:rPr>
          <w:rFonts w:ascii="Book Antiqua" w:hAnsi="Book Antiqua" w:cs="Arial"/>
        </w:rPr>
        <w:t>submissions Ms</w:t>
      </w:r>
      <w:r w:rsidR="00703C30">
        <w:rPr>
          <w:rFonts w:ascii="Book Antiqua" w:hAnsi="Book Antiqua" w:cs="Arial"/>
        </w:rPr>
        <w:t xml:space="preserve"> </w:t>
      </w:r>
      <w:proofErr w:type="spellStart"/>
      <w:r w:rsidR="00703C30">
        <w:rPr>
          <w:rFonts w:ascii="Book Antiqua" w:hAnsi="Book Antiqua" w:cs="Arial"/>
        </w:rPr>
        <w:t>Aboni</w:t>
      </w:r>
      <w:proofErr w:type="spellEnd"/>
      <w:r w:rsidR="00624CF6">
        <w:rPr>
          <w:rFonts w:ascii="Book Antiqua" w:hAnsi="Book Antiqua" w:cs="Arial"/>
        </w:rPr>
        <w:t xml:space="preserve"> </w:t>
      </w:r>
      <w:r w:rsidRPr="00624CF6">
        <w:rPr>
          <w:rFonts w:ascii="Book Antiqua" w:hAnsi="Book Antiqua" w:cs="Arial"/>
        </w:rPr>
        <w:t xml:space="preserve">submitted that </w:t>
      </w:r>
      <w:r w:rsidR="00B33772">
        <w:rPr>
          <w:rFonts w:ascii="Book Antiqua" w:hAnsi="Book Antiqua" w:cs="Arial"/>
        </w:rPr>
        <w:t xml:space="preserve">the judge was aware of the length of time that should spend in United Kingdom at [28] and at [35]. The judge had given adequate consideration as to her circumstances and returning India and the findings of fact that whilst to remove out to India on her own would be harsh, it could be lessened if she were accompanied by her mother and sister. The judge found that any hardship would be temporary and the </w:t>
      </w:r>
      <w:r w:rsidR="003278F6">
        <w:rPr>
          <w:rFonts w:ascii="Book Antiqua" w:hAnsi="Book Antiqua" w:cs="Arial"/>
        </w:rPr>
        <w:t>Appellant</w:t>
      </w:r>
      <w:r w:rsidR="00B33772">
        <w:rPr>
          <w:rFonts w:ascii="Book Antiqua" w:hAnsi="Book Antiqua" w:cs="Arial"/>
        </w:rPr>
        <w:t xml:space="preserve"> was “intelligent and resourceful” (see [30]). The judge considered the section 117B public interest factors and that there should be little weight attached to her private life even taking into account that she was a child in the UK at the earlier part of her residence. The judge applied a balancing act and it was open to the judge to find that it would not be disproportionate for her removal.</w:t>
      </w:r>
    </w:p>
    <w:p w:rsidR="003D6F6B" w:rsidRPr="003D6F6B" w:rsidRDefault="003D6F6B" w:rsidP="003D6F6B">
      <w:pPr>
        <w:spacing w:before="240"/>
        <w:jc w:val="both"/>
        <w:rPr>
          <w:rFonts w:ascii="Book Antiqua" w:hAnsi="Book Antiqua" w:cs="Arial"/>
          <w:u w:val="single"/>
        </w:rPr>
      </w:pPr>
      <w:r w:rsidRPr="003D6F6B">
        <w:rPr>
          <w:rFonts w:ascii="Book Antiqua" w:hAnsi="Book Antiqua" w:cs="Arial"/>
          <w:u w:val="single"/>
        </w:rPr>
        <w:t>Discussion:</w:t>
      </w:r>
    </w:p>
    <w:p w:rsidR="003D6F6B" w:rsidRDefault="00F51D3D" w:rsidP="003278F6">
      <w:pPr>
        <w:numPr>
          <w:ilvl w:val="0"/>
          <w:numId w:val="3"/>
        </w:numPr>
        <w:spacing w:before="240"/>
        <w:jc w:val="both"/>
        <w:rPr>
          <w:rFonts w:ascii="Book Antiqua" w:hAnsi="Book Antiqua" w:cs="Arial"/>
        </w:rPr>
      </w:pPr>
      <w:r>
        <w:rPr>
          <w:rFonts w:ascii="Book Antiqua" w:hAnsi="Book Antiqua" w:cs="Arial"/>
        </w:rPr>
        <w:t xml:space="preserve">There can be no dispute as to the legal context of the appeal. Section 82 (Right of appeal to the </w:t>
      </w:r>
      <w:r w:rsidR="003278F6">
        <w:rPr>
          <w:rFonts w:ascii="Book Antiqua" w:hAnsi="Book Antiqua" w:cs="Arial"/>
        </w:rPr>
        <w:t>Tribunal</w:t>
      </w:r>
      <w:r>
        <w:rPr>
          <w:rFonts w:ascii="Book Antiqua" w:hAnsi="Book Antiqua" w:cs="Arial"/>
        </w:rPr>
        <w:t>) provides as follows:-</w:t>
      </w:r>
    </w:p>
    <w:p w:rsidR="00F51D3D" w:rsidRDefault="00F51D3D" w:rsidP="00A827CC">
      <w:pPr>
        <w:tabs>
          <w:tab w:val="left" w:pos="1701"/>
        </w:tabs>
        <w:spacing w:before="120"/>
        <w:ind w:left="1134"/>
        <w:jc w:val="both"/>
        <w:rPr>
          <w:rFonts w:ascii="Book Antiqua" w:hAnsi="Book Antiqua" w:cs="Arial"/>
        </w:rPr>
      </w:pPr>
      <w:r>
        <w:rPr>
          <w:rFonts w:ascii="Book Antiqua" w:hAnsi="Book Antiqua" w:cs="Arial"/>
        </w:rPr>
        <w:t>“(1)</w:t>
      </w:r>
      <w:r w:rsidR="00A827CC">
        <w:rPr>
          <w:rFonts w:ascii="Book Antiqua" w:hAnsi="Book Antiqua" w:cs="Arial"/>
        </w:rPr>
        <w:tab/>
      </w:r>
      <w:r>
        <w:rPr>
          <w:rFonts w:ascii="Book Antiqua" w:hAnsi="Book Antiqua" w:cs="Arial"/>
        </w:rPr>
        <w:t xml:space="preserve">A person (“P”) may appeal to the </w:t>
      </w:r>
      <w:r w:rsidR="003278F6">
        <w:rPr>
          <w:rFonts w:ascii="Book Antiqua" w:hAnsi="Book Antiqua" w:cs="Arial"/>
        </w:rPr>
        <w:t>Tribunal</w:t>
      </w:r>
      <w:r>
        <w:rPr>
          <w:rFonts w:ascii="Book Antiqua" w:hAnsi="Book Antiqua" w:cs="Arial"/>
        </w:rPr>
        <w:t xml:space="preserve"> where-</w:t>
      </w:r>
    </w:p>
    <w:p w:rsidR="00F51D3D" w:rsidRDefault="00F51D3D" w:rsidP="00A827CC">
      <w:pPr>
        <w:tabs>
          <w:tab w:val="left" w:pos="2268"/>
        </w:tabs>
        <w:spacing w:before="120"/>
        <w:ind w:left="1701"/>
        <w:jc w:val="both"/>
        <w:rPr>
          <w:rFonts w:ascii="Book Antiqua" w:hAnsi="Book Antiqua" w:cs="Arial"/>
        </w:rPr>
      </w:pPr>
      <w:r>
        <w:rPr>
          <w:rFonts w:ascii="Book Antiqua" w:hAnsi="Book Antiqua" w:cs="Arial"/>
        </w:rPr>
        <w:t>(b)</w:t>
      </w:r>
      <w:r w:rsidR="00A827CC">
        <w:rPr>
          <w:rFonts w:ascii="Book Antiqua" w:hAnsi="Book Antiqua" w:cs="Arial"/>
        </w:rPr>
        <w:tab/>
      </w:r>
      <w:r>
        <w:rPr>
          <w:rFonts w:ascii="Book Antiqua" w:hAnsi="Book Antiqua" w:cs="Arial"/>
        </w:rPr>
        <w:t>the Secretary of State has decided to refuse a human rights claim made by P,…..</w:t>
      </w:r>
    </w:p>
    <w:p w:rsidR="00F51D3D" w:rsidRDefault="00F51D3D" w:rsidP="00F51D3D">
      <w:pPr>
        <w:spacing w:before="240"/>
        <w:ind w:left="567"/>
        <w:jc w:val="both"/>
        <w:rPr>
          <w:rFonts w:ascii="Book Antiqua" w:hAnsi="Book Antiqua" w:cs="Arial"/>
        </w:rPr>
      </w:pPr>
      <w:r>
        <w:rPr>
          <w:rFonts w:ascii="Book Antiqua" w:hAnsi="Book Antiqua" w:cs="Arial"/>
        </w:rPr>
        <w:t>So far as is relevant, section 84 (Grounds of appeal) provides:-</w:t>
      </w:r>
    </w:p>
    <w:p w:rsidR="00F51D3D" w:rsidRDefault="00F51D3D" w:rsidP="00A827CC">
      <w:pPr>
        <w:tabs>
          <w:tab w:val="left" w:pos="1701"/>
        </w:tabs>
        <w:spacing w:before="120"/>
        <w:ind w:left="1134"/>
        <w:jc w:val="both"/>
        <w:rPr>
          <w:rFonts w:ascii="Book Antiqua" w:hAnsi="Book Antiqua" w:cs="Arial"/>
        </w:rPr>
      </w:pPr>
      <w:r>
        <w:rPr>
          <w:rFonts w:ascii="Book Antiqua" w:hAnsi="Book Antiqua" w:cs="Arial"/>
        </w:rPr>
        <w:t>“(2)</w:t>
      </w:r>
      <w:r w:rsidR="00A827CC">
        <w:rPr>
          <w:rFonts w:ascii="Book Antiqua" w:hAnsi="Book Antiqua" w:cs="Arial"/>
        </w:rPr>
        <w:tab/>
      </w:r>
      <w:r>
        <w:rPr>
          <w:rFonts w:ascii="Book Antiqua" w:hAnsi="Book Antiqua" w:cs="Arial"/>
        </w:rPr>
        <w:t>An appeal under section 82 (1) (b) 9 refusal of a human rights claim) must be brought on the ground that the decision is unlawful under section 6 of the Human Rights Act 1998.”</w:t>
      </w:r>
    </w:p>
    <w:p w:rsidR="00F51D3D" w:rsidRDefault="00B06B8A" w:rsidP="003278F6">
      <w:pPr>
        <w:numPr>
          <w:ilvl w:val="0"/>
          <w:numId w:val="3"/>
        </w:numPr>
        <w:spacing w:before="240"/>
        <w:jc w:val="both"/>
        <w:rPr>
          <w:rFonts w:ascii="Book Antiqua" w:hAnsi="Book Antiqua" w:cs="Arial"/>
        </w:rPr>
      </w:pPr>
      <w:r>
        <w:rPr>
          <w:rFonts w:ascii="Book Antiqua" w:hAnsi="Book Antiqua" w:cs="Arial"/>
        </w:rPr>
        <w:t>Section 6(1) o</w:t>
      </w:r>
      <w:r w:rsidR="00703C30">
        <w:rPr>
          <w:rFonts w:ascii="Book Antiqua" w:hAnsi="Book Antiqua" w:cs="Arial"/>
        </w:rPr>
        <w:t>f the 1998 A</w:t>
      </w:r>
      <w:r>
        <w:rPr>
          <w:rFonts w:ascii="Book Antiqua" w:hAnsi="Book Antiqua" w:cs="Arial"/>
        </w:rPr>
        <w:t>ct provides that it “is unlawful for a public authority to act in a way which is incompatible with the Convention rights.” Therefore in a human rights appeal,</w:t>
      </w:r>
      <w:r w:rsidR="00703C30">
        <w:rPr>
          <w:rFonts w:ascii="Book Antiqua" w:hAnsi="Book Antiqua" w:cs="Arial"/>
        </w:rPr>
        <w:t xml:space="preserve"> such as this, the task of the </w:t>
      </w:r>
      <w:r w:rsidR="003278F6">
        <w:rPr>
          <w:rFonts w:ascii="Book Antiqua" w:hAnsi="Book Antiqua" w:cs="Arial"/>
        </w:rPr>
        <w:t>Tribunal</w:t>
      </w:r>
      <w:r>
        <w:rPr>
          <w:rFonts w:ascii="Book Antiqua" w:hAnsi="Book Antiqua" w:cs="Arial"/>
        </w:rPr>
        <w:t xml:space="preserve"> is to decide whether such removal or requirement would violate any of the provisions of the ECHR and as here, the issue the judge had to decide was whether the removal or requirement to leave the United Kingdom,</w:t>
      </w:r>
      <w:r w:rsidR="00C541CB">
        <w:rPr>
          <w:rFonts w:ascii="Book Antiqua" w:hAnsi="Book Antiqua" w:cs="Arial"/>
        </w:rPr>
        <w:t xml:space="preserve"> would be contrary</w:t>
      </w:r>
      <w:r w:rsidR="00703C30">
        <w:rPr>
          <w:rFonts w:ascii="Book Antiqua" w:hAnsi="Book Antiqua" w:cs="Arial"/>
        </w:rPr>
        <w:t xml:space="preserve"> to </w:t>
      </w:r>
      <w:r w:rsidR="003278F6">
        <w:rPr>
          <w:rFonts w:ascii="Book Antiqua" w:hAnsi="Book Antiqua" w:cs="Arial"/>
        </w:rPr>
        <w:t>Article</w:t>
      </w:r>
      <w:r>
        <w:rPr>
          <w:rFonts w:ascii="Book Antiqua" w:hAnsi="Book Antiqua" w:cs="Arial"/>
        </w:rPr>
        <w:t xml:space="preserve"> 8 (private life).</w:t>
      </w:r>
    </w:p>
    <w:p w:rsidR="003D6528" w:rsidRDefault="00C541CB" w:rsidP="003278F6">
      <w:pPr>
        <w:numPr>
          <w:ilvl w:val="0"/>
          <w:numId w:val="3"/>
        </w:numPr>
        <w:spacing w:before="240"/>
        <w:jc w:val="both"/>
        <w:rPr>
          <w:rFonts w:ascii="Book Antiqua" w:hAnsi="Book Antiqua" w:cs="Arial"/>
        </w:rPr>
      </w:pPr>
      <w:r>
        <w:rPr>
          <w:rFonts w:ascii="Book Antiqua" w:hAnsi="Book Antiqua" w:cs="Arial"/>
        </w:rPr>
        <w:t xml:space="preserve">The Supreme Court in </w:t>
      </w:r>
      <w:r w:rsidRPr="001C246E">
        <w:rPr>
          <w:rFonts w:ascii="Book Antiqua" w:hAnsi="Book Antiqua" w:cs="Arial"/>
          <w:u w:val="single"/>
        </w:rPr>
        <w:t>Hesham Ali v SSHD</w:t>
      </w:r>
      <w:r>
        <w:rPr>
          <w:rFonts w:ascii="Book Antiqua" w:hAnsi="Book Antiqua" w:cs="Arial"/>
        </w:rPr>
        <w:t xml:space="preserve"> [2016] UKSC 60 consider</w:t>
      </w:r>
      <w:r w:rsidR="003D6528">
        <w:rPr>
          <w:rFonts w:ascii="Book Antiqua" w:hAnsi="Book Antiqua" w:cs="Arial"/>
        </w:rPr>
        <w:t>ed</w:t>
      </w:r>
      <w:r w:rsidR="00703C30">
        <w:rPr>
          <w:rFonts w:ascii="Book Antiqua" w:hAnsi="Book Antiqua" w:cs="Arial"/>
        </w:rPr>
        <w:t xml:space="preserve"> the proper approach to </w:t>
      </w:r>
      <w:r w:rsidR="003278F6">
        <w:rPr>
          <w:rFonts w:ascii="Book Antiqua" w:hAnsi="Book Antiqua" w:cs="Arial"/>
        </w:rPr>
        <w:t>Article</w:t>
      </w:r>
      <w:r>
        <w:rPr>
          <w:rFonts w:ascii="Book Antiqua" w:hAnsi="Book Antiqua" w:cs="Arial"/>
        </w:rPr>
        <w:t xml:space="preserve"> 8 in the context of deportation, however general principles in that case are equally applicable to other cases. </w:t>
      </w:r>
    </w:p>
    <w:p w:rsidR="003D6528" w:rsidRDefault="00703C30" w:rsidP="003278F6">
      <w:pPr>
        <w:numPr>
          <w:ilvl w:val="0"/>
          <w:numId w:val="3"/>
        </w:numPr>
        <w:spacing w:before="240"/>
        <w:jc w:val="both"/>
        <w:rPr>
          <w:rFonts w:ascii="Book Antiqua" w:hAnsi="Book Antiqua" w:cs="Arial"/>
        </w:rPr>
      </w:pPr>
      <w:r>
        <w:rPr>
          <w:rFonts w:ascii="Book Antiqua" w:hAnsi="Book Antiqua" w:cs="Arial"/>
        </w:rPr>
        <w:t xml:space="preserve">A </w:t>
      </w:r>
      <w:r w:rsidR="003278F6">
        <w:rPr>
          <w:rFonts w:ascii="Book Antiqua" w:hAnsi="Book Antiqua" w:cs="Arial"/>
        </w:rPr>
        <w:t>Tribunal</w:t>
      </w:r>
      <w:r w:rsidR="00C541CB">
        <w:rPr>
          <w:rFonts w:ascii="Book Antiqua" w:hAnsi="Book Antiqua" w:cs="Arial"/>
        </w:rPr>
        <w:t xml:space="preserve"> must decide whether removal is proportionate balancing the strength of the public interest in maintaining an effective system of immigration control against the impact on private and</w:t>
      </w:r>
      <w:r>
        <w:rPr>
          <w:rFonts w:ascii="Book Antiqua" w:hAnsi="Book Antiqua" w:cs="Arial"/>
        </w:rPr>
        <w:t xml:space="preserve"> family life. In doing so, the </w:t>
      </w:r>
      <w:r w:rsidR="003278F6">
        <w:rPr>
          <w:rFonts w:ascii="Book Antiqua" w:hAnsi="Book Antiqua" w:cs="Arial"/>
        </w:rPr>
        <w:t>Tribunal</w:t>
      </w:r>
      <w:r w:rsidR="00C541CB">
        <w:rPr>
          <w:rFonts w:ascii="Book Antiqua" w:hAnsi="Book Antiqua" w:cs="Arial"/>
        </w:rPr>
        <w:t xml:space="preserve"> must give appropriate weight to parliaments and the Secretary of State assessment of the strength of the general public interest, which is in prac</w:t>
      </w:r>
      <w:r>
        <w:rPr>
          <w:rFonts w:ascii="Book Antiqua" w:hAnsi="Book Antiqua" w:cs="Arial"/>
        </w:rPr>
        <w:t>tice reflected in the relevant Rules and S</w:t>
      </w:r>
      <w:r w:rsidR="00C541CB">
        <w:rPr>
          <w:rFonts w:ascii="Book Antiqua" w:hAnsi="Book Antiqua" w:cs="Arial"/>
        </w:rPr>
        <w:t>tatutes</w:t>
      </w:r>
      <w:r w:rsidR="008E4ED3">
        <w:rPr>
          <w:rFonts w:ascii="Book Antiqua" w:hAnsi="Book Antiqua" w:cs="Arial"/>
        </w:rPr>
        <w:t xml:space="preserve">. </w:t>
      </w:r>
    </w:p>
    <w:p w:rsidR="003D6528" w:rsidRPr="003D6528" w:rsidRDefault="003D6528" w:rsidP="003278F6">
      <w:pPr>
        <w:numPr>
          <w:ilvl w:val="0"/>
          <w:numId w:val="3"/>
        </w:numPr>
        <w:spacing w:before="240"/>
        <w:jc w:val="both"/>
        <w:rPr>
          <w:rFonts w:ascii="Book Antiqua" w:hAnsi="Book Antiqua" w:cs="Arial"/>
        </w:rPr>
      </w:pPr>
      <w:r w:rsidRPr="003D6528">
        <w:rPr>
          <w:rFonts w:ascii="Book Antiqua" w:hAnsi="Book Antiqua"/>
        </w:rPr>
        <w:t xml:space="preserve">Section 117A (2) of the 2002 Act provides that where a </w:t>
      </w:r>
      <w:r w:rsidR="003278F6">
        <w:rPr>
          <w:rFonts w:ascii="Book Antiqua" w:hAnsi="Book Antiqua"/>
        </w:rPr>
        <w:t>Tribunal</w:t>
      </w:r>
      <w:r w:rsidRPr="003D6528">
        <w:rPr>
          <w:rFonts w:ascii="Book Antiqua" w:hAnsi="Book Antiqua"/>
        </w:rPr>
        <w:t xml:space="preserve"> is required to determine whether a decision made under the Immigration Acts would be unlawful under section 6 of the Human Rights Act 1998 it must, in considering 'the public interest question', have regard in all cases to the considerations listed in section117B of </w:t>
      </w:r>
      <w:r w:rsidRPr="003D6528">
        <w:rPr>
          <w:rFonts w:ascii="Book Antiqua" w:hAnsi="Book Antiqua"/>
        </w:rPr>
        <w:lastRenderedPageBreak/>
        <w:t xml:space="preserve">the Nationality, Immigration and Asylum Act 2002 (as amended by the Immigration Act 2014). Section 117 (3) provides that the 'public interest question' means the question of whether an interference with a person's right to respect for private and family life is justified under </w:t>
      </w:r>
      <w:r w:rsidR="003278F6">
        <w:rPr>
          <w:rFonts w:ascii="Book Antiqua" w:hAnsi="Book Antiqua"/>
        </w:rPr>
        <w:t>Article</w:t>
      </w:r>
      <w:r w:rsidRPr="003D6528">
        <w:rPr>
          <w:rFonts w:ascii="Book Antiqua" w:hAnsi="Book Antiqua"/>
        </w:rPr>
        <w:t xml:space="preserve"> 8(2).</w:t>
      </w:r>
    </w:p>
    <w:p w:rsidR="00A827CC" w:rsidRDefault="00A827CC" w:rsidP="00A827CC">
      <w:pPr>
        <w:shd w:val="clear" w:color="auto" w:fill="FFFFFF"/>
        <w:spacing w:line="288" w:lineRule="atLeast"/>
        <w:ind w:left="567"/>
        <w:outlineLvl w:val="5"/>
        <w:rPr>
          <w:rStyle w:val="legamendingtext"/>
          <w:rFonts w:ascii="Book Antiqua" w:hAnsi="Book Antiqua" w:cs="Arial"/>
          <w:color w:val="000000"/>
          <w:lang w:val="en"/>
        </w:rPr>
      </w:pPr>
    </w:p>
    <w:p w:rsidR="003D6528" w:rsidRPr="00132A6C" w:rsidRDefault="003D6528" w:rsidP="00A827CC">
      <w:pPr>
        <w:numPr>
          <w:ilvl w:val="0"/>
          <w:numId w:val="3"/>
        </w:numPr>
        <w:shd w:val="clear" w:color="auto" w:fill="FFFFFF"/>
        <w:spacing w:line="288" w:lineRule="atLeast"/>
        <w:outlineLvl w:val="5"/>
        <w:rPr>
          <w:rFonts w:ascii="Book Antiqua" w:hAnsi="Book Antiqua" w:cs="Arial"/>
          <w:color w:val="000000"/>
          <w:lang w:val="en"/>
        </w:rPr>
      </w:pPr>
      <w:r w:rsidRPr="00132A6C">
        <w:rPr>
          <w:rStyle w:val="legamendingtext"/>
          <w:rFonts w:ascii="Book Antiqua" w:hAnsi="Book Antiqua" w:cs="Arial"/>
          <w:color w:val="000000"/>
          <w:lang w:val="en"/>
        </w:rPr>
        <w:t>117B</w:t>
      </w:r>
      <w:r w:rsidR="00A827CC">
        <w:rPr>
          <w:rStyle w:val="legamendingtext"/>
          <w:rFonts w:ascii="Book Antiqua" w:hAnsi="Book Antiqua" w:cs="Arial"/>
          <w:color w:val="000000"/>
          <w:lang w:val="en"/>
        </w:rPr>
        <w:t xml:space="preserve"> - </w:t>
      </w:r>
      <w:r w:rsidR="003278F6">
        <w:rPr>
          <w:rStyle w:val="legamendingtext"/>
          <w:rFonts w:ascii="Book Antiqua" w:hAnsi="Book Antiqua" w:cs="Arial"/>
          <w:color w:val="000000"/>
          <w:lang w:val="en"/>
        </w:rPr>
        <w:t>Article</w:t>
      </w:r>
      <w:r w:rsidRPr="00132A6C">
        <w:rPr>
          <w:rStyle w:val="legamendingtext"/>
          <w:rFonts w:ascii="Book Antiqua" w:hAnsi="Book Antiqua" w:cs="Arial"/>
          <w:color w:val="000000"/>
          <w:lang w:val="en"/>
        </w:rPr>
        <w:t xml:space="preserve"> 8: public interest considerations applicable in all cases</w:t>
      </w:r>
    </w:p>
    <w:p w:rsidR="003D6528" w:rsidRPr="00132A6C" w:rsidRDefault="003D6528" w:rsidP="00A827CC">
      <w:pPr>
        <w:pStyle w:val="legclearfix2"/>
        <w:tabs>
          <w:tab w:val="left" w:pos="1701"/>
        </w:tabs>
        <w:spacing w:before="120" w:after="0" w:line="240" w:lineRule="auto"/>
        <w:ind w:left="1134"/>
        <w:rPr>
          <w:rFonts w:ascii="Book Antiqua" w:hAnsi="Book Antiqua" w:cs="Arial"/>
          <w:sz w:val="24"/>
          <w:szCs w:val="24"/>
          <w:lang w:val="en"/>
        </w:rPr>
      </w:pPr>
      <w:r w:rsidRPr="00132A6C">
        <w:rPr>
          <w:rStyle w:val="legamendingtext"/>
          <w:rFonts w:ascii="Book Antiqua" w:hAnsi="Book Antiqua" w:cs="Arial"/>
          <w:sz w:val="24"/>
          <w:szCs w:val="24"/>
          <w:lang w:val="en"/>
        </w:rPr>
        <w:t>(1)</w:t>
      </w:r>
      <w:r w:rsidR="00A827CC">
        <w:rPr>
          <w:rStyle w:val="legamendingtext"/>
          <w:rFonts w:ascii="Book Antiqua" w:hAnsi="Book Antiqua" w:cs="Arial"/>
          <w:sz w:val="24"/>
          <w:szCs w:val="24"/>
          <w:lang w:val="en"/>
        </w:rPr>
        <w:tab/>
      </w:r>
      <w:r w:rsidRPr="00132A6C">
        <w:rPr>
          <w:rStyle w:val="legamendingtext"/>
          <w:rFonts w:ascii="Book Antiqua" w:hAnsi="Book Antiqua" w:cs="Arial"/>
          <w:sz w:val="24"/>
          <w:szCs w:val="24"/>
          <w:lang w:val="en"/>
        </w:rPr>
        <w:t>The maintenance of effective immigration controls is in the public interest.</w:t>
      </w:r>
    </w:p>
    <w:p w:rsidR="003D6528" w:rsidRPr="00132A6C" w:rsidRDefault="003D6528" w:rsidP="00A827CC">
      <w:pPr>
        <w:pStyle w:val="legclearfix2"/>
        <w:tabs>
          <w:tab w:val="left" w:pos="1701"/>
        </w:tabs>
        <w:spacing w:before="120" w:after="0" w:line="240" w:lineRule="auto"/>
        <w:ind w:left="1134"/>
        <w:rPr>
          <w:rFonts w:ascii="Book Antiqua" w:hAnsi="Book Antiqua" w:cs="Arial"/>
          <w:sz w:val="24"/>
          <w:szCs w:val="24"/>
          <w:lang w:val="en"/>
        </w:rPr>
      </w:pPr>
      <w:r w:rsidRPr="00132A6C">
        <w:rPr>
          <w:rStyle w:val="legamendingtext"/>
          <w:rFonts w:ascii="Book Antiqua" w:hAnsi="Book Antiqua" w:cs="Arial"/>
          <w:sz w:val="24"/>
          <w:szCs w:val="24"/>
          <w:lang w:val="en"/>
        </w:rPr>
        <w:t>(2)</w:t>
      </w:r>
      <w:r w:rsidR="00A827CC">
        <w:rPr>
          <w:rStyle w:val="legamendingtext"/>
          <w:rFonts w:ascii="Book Antiqua" w:hAnsi="Book Antiqua" w:cs="Arial"/>
          <w:sz w:val="24"/>
          <w:szCs w:val="24"/>
          <w:lang w:val="en"/>
        </w:rPr>
        <w:tab/>
      </w:r>
      <w:r w:rsidRPr="00132A6C">
        <w:rPr>
          <w:rStyle w:val="legamendingtext"/>
          <w:rFonts w:ascii="Book Antiqua" w:hAnsi="Book Antiqua" w:cs="Arial"/>
          <w:sz w:val="24"/>
          <w:szCs w:val="24"/>
          <w:lang w:val="en"/>
        </w:rPr>
        <w:t>It is in the public interest, and in particular in the interests of the economic well-being of the United Kingdom, that persons who seek to enter or remain in the United Kingdom are able to speak English, because persons who can speak English—</w:t>
      </w:r>
    </w:p>
    <w:p w:rsidR="003D6528" w:rsidRPr="00132A6C" w:rsidRDefault="003D6528" w:rsidP="00A827CC">
      <w:pPr>
        <w:pStyle w:val="legclearfix2"/>
        <w:tabs>
          <w:tab w:val="left" w:pos="2268"/>
        </w:tabs>
        <w:spacing w:before="120" w:after="0" w:line="240" w:lineRule="auto"/>
        <w:ind w:left="1701"/>
        <w:rPr>
          <w:rFonts w:ascii="Book Antiqua" w:hAnsi="Book Antiqua" w:cs="Arial"/>
          <w:sz w:val="24"/>
          <w:szCs w:val="24"/>
          <w:lang w:val="en"/>
        </w:rPr>
      </w:pPr>
      <w:r w:rsidRPr="00132A6C">
        <w:rPr>
          <w:rStyle w:val="legamendingtext"/>
          <w:rFonts w:ascii="Book Antiqua" w:hAnsi="Book Antiqua" w:cs="Arial"/>
          <w:sz w:val="24"/>
          <w:szCs w:val="24"/>
          <w:lang w:val="en"/>
        </w:rPr>
        <w:t>(a</w:t>
      </w:r>
      <w:r w:rsidR="003278F6" w:rsidRPr="00132A6C">
        <w:rPr>
          <w:rStyle w:val="legamendingtext"/>
          <w:rFonts w:ascii="Book Antiqua" w:hAnsi="Book Antiqua" w:cs="Arial"/>
          <w:sz w:val="24"/>
          <w:szCs w:val="24"/>
          <w:lang w:val="en"/>
        </w:rPr>
        <w:t>)</w:t>
      </w:r>
      <w:r w:rsidR="00A827CC">
        <w:rPr>
          <w:rStyle w:val="legamendingtext"/>
          <w:rFonts w:ascii="Book Antiqua" w:hAnsi="Book Antiqua" w:cs="Arial"/>
          <w:sz w:val="24"/>
          <w:szCs w:val="24"/>
          <w:lang w:val="en"/>
        </w:rPr>
        <w:tab/>
      </w:r>
      <w:r w:rsidR="003278F6" w:rsidRPr="00132A6C">
        <w:rPr>
          <w:rStyle w:val="legamendingtext"/>
          <w:rFonts w:ascii="Book Antiqua" w:hAnsi="Book Antiqua" w:cs="Arial"/>
          <w:sz w:val="24"/>
          <w:szCs w:val="24"/>
          <w:lang w:val="en"/>
        </w:rPr>
        <w:t>are</w:t>
      </w:r>
      <w:r w:rsidRPr="00132A6C">
        <w:rPr>
          <w:rStyle w:val="legamendingtext"/>
          <w:rFonts w:ascii="Book Antiqua" w:hAnsi="Book Antiqua" w:cs="Arial"/>
          <w:sz w:val="24"/>
          <w:szCs w:val="24"/>
          <w:lang w:val="en"/>
        </w:rPr>
        <w:t xml:space="preserve"> less of a burden on taxpayers, and</w:t>
      </w:r>
    </w:p>
    <w:p w:rsidR="003D6528" w:rsidRPr="00132A6C" w:rsidRDefault="003D6528" w:rsidP="00A827CC">
      <w:pPr>
        <w:pStyle w:val="legclearfix2"/>
        <w:tabs>
          <w:tab w:val="left" w:pos="2268"/>
        </w:tabs>
        <w:spacing w:before="120" w:after="0" w:line="240" w:lineRule="auto"/>
        <w:ind w:left="1701"/>
        <w:rPr>
          <w:rFonts w:ascii="Book Antiqua" w:hAnsi="Book Antiqua" w:cs="Arial"/>
          <w:sz w:val="24"/>
          <w:szCs w:val="24"/>
          <w:lang w:val="en"/>
        </w:rPr>
      </w:pPr>
      <w:r w:rsidRPr="00132A6C">
        <w:rPr>
          <w:rStyle w:val="legamendingtext"/>
          <w:rFonts w:ascii="Book Antiqua" w:hAnsi="Book Antiqua" w:cs="Arial"/>
          <w:sz w:val="24"/>
          <w:szCs w:val="24"/>
          <w:lang w:val="en"/>
        </w:rPr>
        <w:t>(b</w:t>
      </w:r>
      <w:r w:rsidR="003278F6" w:rsidRPr="00132A6C">
        <w:rPr>
          <w:rStyle w:val="legamendingtext"/>
          <w:rFonts w:ascii="Book Antiqua" w:hAnsi="Book Antiqua" w:cs="Arial"/>
          <w:sz w:val="24"/>
          <w:szCs w:val="24"/>
          <w:lang w:val="en"/>
        </w:rPr>
        <w:t>)</w:t>
      </w:r>
      <w:r w:rsidR="00A827CC">
        <w:rPr>
          <w:rStyle w:val="legamendingtext"/>
          <w:rFonts w:ascii="Book Antiqua" w:hAnsi="Book Antiqua" w:cs="Arial"/>
          <w:sz w:val="24"/>
          <w:szCs w:val="24"/>
          <w:lang w:val="en"/>
        </w:rPr>
        <w:tab/>
      </w:r>
      <w:r w:rsidR="003278F6" w:rsidRPr="00132A6C">
        <w:rPr>
          <w:rStyle w:val="legamendingtext"/>
          <w:rFonts w:ascii="Book Antiqua" w:hAnsi="Book Antiqua" w:cs="Arial"/>
          <w:sz w:val="24"/>
          <w:szCs w:val="24"/>
          <w:lang w:val="en"/>
        </w:rPr>
        <w:t>are</w:t>
      </w:r>
      <w:r w:rsidRPr="00132A6C">
        <w:rPr>
          <w:rStyle w:val="legamendingtext"/>
          <w:rFonts w:ascii="Book Antiqua" w:hAnsi="Book Antiqua" w:cs="Arial"/>
          <w:sz w:val="24"/>
          <w:szCs w:val="24"/>
          <w:lang w:val="en"/>
        </w:rPr>
        <w:t xml:space="preserve"> better able to integrate into society.</w:t>
      </w:r>
    </w:p>
    <w:p w:rsidR="003D6528" w:rsidRPr="00132A6C" w:rsidRDefault="003D6528" w:rsidP="00A827CC">
      <w:pPr>
        <w:pStyle w:val="legclearfix2"/>
        <w:tabs>
          <w:tab w:val="left" w:pos="1701"/>
        </w:tabs>
        <w:spacing w:before="120" w:after="0" w:line="240" w:lineRule="auto"/>
        <w:ind w:left="1134"/>
        <w:rPr>
          <w:rFonts w:ascii="Book Antiqua" w:hAnsi="Book Antiqua" w:cs="Arial"/>
          <w:sz w:val="24"/>
          <w:szCs w:val="24"/>
          <w:lang w:val="en"/>
        </w:rPr>
      </w:pPr>
      <w:r w:rsidRPr="00132A6C">
        <w:rPr>
          <w:rStyle w:val="legamendingtext"/>
          <w:rFonts w:ascii="Book Antiqua" w:hAnsi="Book Antiqua" w:cs="Arial"/>
          <w:sz w:val="24"/>
          <w:szCs w:val="24"/>
          <w:lang w:val="en"/>
        </w:rPr>
        <w:t>(3)</w:t>
      </w:r>
      <w:r w:rsidR="00A827CC">
        <w:rPr>
          <w:rStyle w:val="legamendingtext"/>
          <w:rFonts w:ascii="Book Antiqua" w:hAnsi="Book Antiqua" w:cs="Arial"/>
          <w:sz w:val="24"/>
          <w:szCs w:val="24"/>
          <w:lang w:val="en"/>
        </w:rPr>
        <w:tab/>
      </w:r>
      <w:r w:rsidRPr="00132A6C">
        <w:rPr>
          <w:rStyle w:val="legamendingtext"/>
          <w:rFonts w:ascii="Book Antiqua" w:hAnsi="Book Antiqua" w:cs="Arial"/>
          <w:sz w:val="24"/>
          <w:szCs w:val="24"/>
          <w:lang w:val="en"/>
        </w:rPr>
        <w:t>It is in the public interest, and in particular in the interests of the economic well-being of the United Kingdom, that persons who seek to enter or remain in the United Kingdom are financially independent, because such persons—</w:t>
      </w:r>
    </w:p>
    <w:p w:rsidR="003D6528" w:rsidRPr="00132A6C" w:rsidRDefault="003D6528" w:rsidP="00A827CC">
      <w:pPr>
        <w:pStyle w:val="legclearfix2"/>
        <w:tabs>
          <w:tab w:val="left" w:pos="2268"/>
        </w:tabs>
        <w:spacing w:before="120" w:after="0" w:line="240" w:lineRule="auto"/>
        <w:ind w:left="1701"/>
        <w:rPr>
          <w:rFonts w:ascii="Book Antiqua" w:hAnsi="Book Antiqua" w:cs="Arial"/>
          <w:sz w:val="24"/>
          <w:szCs w:val="24"/>
          <w:lang w:val="en"/>
        </w:rPr>
      </w:pPr>
      <w:r w:rsidRPr="00132A6C">
        <w:rPr>
          <w:rStyle w:val="legamendingtext"/>
          <w:rFonts w:ascii="Book Antiqua" w:hAnsi="Book Antiqua" w:cs="Arial"/>
          <w:sz w:val="24"/>
          <w:szCs w:val="24"/>
          <w:lang w:val="en"/>
        </w:rPr>
        <w:t>(a)</w:t>
      </w:r>
      <w:r w:rsidR="00A827CC">
        <w:rPr>
          <w:rStyle w:val="legamendingtext"/>
          <w:rFonts w:ascii="Book Antiqua" w:hAnsi="Book Antiqua" w:cs="Arial"/>
          <w:sz w:val="24"/>
          <w:szCs w:val="24"/>
          <w:lang w:val="en"/>
        </w:rPr>
        <w:tab/>
      </w:r>
      <w:r w:rsidRPr="00132A6C">
        <w:rPr>
          <w:rStyle w:val="legamendingtext"/>
          <w:rFonts w:ascii="Book Antiqua" w:hAnsi="Book Antiqua" w:cs="Arial"/>
          <w:sz w:val="24"/>
          <w:szCs w:val="24"/>
          <w:lang w:val="en"/>
        </w:rPr>
        <w:t>are not a burden on taxpayers, and</w:t>
      </w:r>
    </w:p>
    <w:p w:rsidR="003D6528" w:rsidRPr="00132A6C" w:rsidRDefault="003D6528" w:rsidP="00A827CC">
      <w:pPr>
        <w:pStyle w:val="legclearfix2"/>
        <w:tabs>
          <w:tab w:val="left" w:pos="2268"/>
        </w:tabs>
        <w:spacing w:before="120" w:after="0" w:line="240" w:lineRule="auto"/>
        <w:ind w:left="1701"/>
        <w:rPr>
          <w:rFonts w:ascii="Book Antiqua" w:hAnsi="Book Antiqua" w:cs="Arial"/>
          <w:sz w:val="24"/>
          <w:szCs w:val="24"/>
          <w:lang w:val="en"/>
        </w:rPr>
      </w:pPr>
      <w:r w:rsidRPr="00132A6C">
        <w:rPr>
          <w:rStyle w:val="legamendingtext"/>
          <w:rFonts w:ascii="Book Antiqua" w:hAnsi="Book Antiqua" w:cs="Arial"/>
          <w:sz w:val="24"/>
          <w:szCs w:val="24"/>
          <w:lang w:val="en"/>
        </w:rPr>
        <w:t>(b)</w:t>
      </w:r>
      <w:r w:rsidR="00A827CC">
        <w:rPr>
          <w:rStyle w:val="legamendingtext"/>
          <w:rFonts w:ascii="Book Antiqua" w:hAnsi="Book Antiqua" w:cs="Arial"/>
          <w:sz w:val="24"/>
          <w:szCs w:val="24"/>
          <w:lang w:val="en"/>
        </w:rPr>
        <w:tab/>
        <w:t>a</w:t>
      </w:r>
      <w:r w:rsidRPr="00132A6C">
        <w:rPr>
          <w:rStyle w:val="legamendingtext"/>
          <w:rFonts w:ascii="Book Antiqua" w:hAnsi="Book Antiqua" w:cs="Arial"/>
          <w:sz w:val="24"/>
          <w:szCs w:val="24"/>
          <w:lang w:val="en"/>
        </w:rPr>
        <w:t>re better able to integrate into society.</w:t>
      </w:r>
    </w:p>
    <w:p w:rsidR="003D6528" w:rsidRPr="00132A6C" w:rsidRDefault="003D6528" w:rsidP="00A827CC">
      <w:pPr>
        <w:pStyle w:val="legclearfix2"/>
        <w:tabs>
          <w:tab w:val="left" w:pos="1701"/>
        </w:tabs>
        <w:spacing w:before="120" w:after="0" w:line="240" w:lineRule="auto"/>
        <w:ind w:left="1134"/>
        <w:rPr>
          <w:rFonts w:ascii="Book Antiqua" w:hAnsi="Book Antiqua" w:cs="Arial"/>
          <w:sz w:val="24"/>
          <w:szCs w:val="24"/>
          <w:lang w:val="en"/>
        </w:rPr>
      </w:pPr>
      <w:r w:rsidRPr="00132A6C">
        <w:rPr>
          <w:rStyle w:val="legamendingtext"/>
          <w:rFonts w:ascii="Book Antiqua" w:hAnsi="Book Antiqua" w:cs="Arial"/>
          <w:sz w:val="24"/>
          <w:szCs w:val="24"/>
          <w:lang w:val="en"/>
        </w:rPr>
        <w:t>(4)</w:t>
      </w:r>
      <w:r w:rsidR="00A827CC">
        <w:rPr>
          <w:rStyle w:val="legamendingtext"/>
          <w:rFonts w:ascii="Book Antiqua" w:hAnsi="Book Antiqua" w:cs="Arial"/>
          <w:sz w:val="24"/>
          <w:szCs w:val="24"/>
          <w:lang w:val="en"/>
        </w:rPr>
        <w:tab/>
      </w:r>
      <w:r w:rsidRPr="00132A6C">
        <w:rPr>
          <w:rStyle w:val="legamendingtext"/>
          <w:rFonts w:ascii="Book Antiqua" w:hAnsi="Book Antiqua" w:cs="Arial"/>
          <w:sz w:val="24"/>
          <w:szCs w:val="24"/>
          <w:lang w:val="en"/>
        </w:rPr>
        <w:t>Little weight should be given to—</w:t>
      </w:r>
    </w:p>
    <w:p w:rsidR="003D6528" w:rsidRPr="00132A6C" w:rsidRDefault="003D6528" w:rsidP="00A827CC">
      <w:pPr>
        <w:pStyle w:val="legclearfix2"/>
        <w:tabs>
          <w:tab w:val="left" w:pos="2268"/>
        </w:tabs>
        <w:spacing w:before="120" w:after="0" w:line="240" w:lineRule="auto"/>
        <w:ind w:left="1701"/>
        <w:rPr>
          <w:rFonts w:ascii="Book Antiqua" w:hAnsi="Book Antiqua" w:cs="Arial"/>
          <w:sz w:val="24"/>
          <w:szCs w:val="24"/>
          <w:lang w:val="en"/>
        </w:rPr>
      </w:pPr>
      <w:r w:rsidRPr="00132A6C">
        <w:rPr>
          <w:rStyle w:val="legamendingtext"/>
          <w:rFonts w:ascii="Book Antiqua" w:hAnsi="Book Antiqua" w:cs="Arial"/>
          <w:sz w:val="24"/>
          <w:szCs w:val="24"/>
          <w:lang w:val="en"/>
        </w:rPr>
        <w:t>(a)</w:t>
      </w:r>
      <w:r w:rsidR="00A827CC">
        <w:rPr>
          <w:rStyle w:val="legamendingtext"/>
          <w:rFonts w:ascii="Book Antiqua" w:hAnsi="Book Antiqua" w:cs="Arial"/>
          <w:sz w:val="24"/>
          <w:szCs w:val="24"/>
          <w:lang w:val="en"/>
        </w:rPr>
        <w:tab/>
      </w:r>
      <w:r w:rsidRPr="00132A6C">
        <w:rPr>
          <w:rStyle w:val="legamendingtext"/>
          <w:rFonts w:ascii="Book Antiqua" w:hAnsi="Book Antiqua" w:cs="Arial"/>
          <w:sz w:val="24"/>
          <w:szCs w:val="24"/>
          <w:lang w:val="en"/>
        </w:rPr>
        <w:t>a private life, or</w:t>
      </w:r>
    </w:p>
    <w:p w:rsidR="003D6528" w:rsidRPr="00132A6C" w:rsidRDefault="003D6528" w:rsidP="00A827CC">
      <w:pPr>
        <w:pStyle w:val="legclearfix2"/>
        <w:tabs>
          <w:tab w:val="left" w:pos="2268"/>
        </w:tabs>
        <w:spacing w:before="120" w:after="0" w:line="240" w:lineRule="auto"/>
        <w:ind w:left="1701"/>
        <w:rPr>
          <w:rFonts w:ascii="Book Antiqua" w:hAnsi="Book Antiqua" w:cs="Arial"/>
          <w:sz w:val="24"/>
          <w:szCs w:val="24"/>
          <w:lang w:val="en"/>
        </w:rPr>
      </w:pPr>
      <w:r w:rsidRPr="00132A6C">
        <w:rPr>
          <w:rStyle w:val="legamendingtext"/>
          <w:rFonts w:ascii="Book Antiqua" w:hAnsi="Book Antiqua" w:cs="Arial"/>
          <w:sz w:val="24"/>
          <w:szCs w:val="24"/>
          <w:lang w:val="en"/>
        </w:rPr>
        <w:t>(b)</w:t>
      </w:r>
      <w:r w:rsidR="00A827CC">
        <w:rPr>
          <w:rStyle w:val="legamendingtext"/>
          <w:rFonts w:ascii="Book Antiqua" w:hAnsi="Book Antiqua" w:cs="Arial"/>
          <w:sz w:val="24"/>
          <w:szCs w:val="24"/>
          <w:lang w:val="en"/>
        </w:rPr>
        <w:tab/>
      </w:r>
      <w:r w:rsidRPr="00132A6C">
        <w:rPr>
          <w:rStyle w:val="legamendingtext"/>
          <w:rFonts w:ascii="Book Antiqua" w:hAnsi="Book Antiqua" w:cs="Arial"/>
          <w:sz w:val="24"/>
          <w:szCs w:val="24"/>
          <w:lang w:val="en"/>
        </w:rPr>
        <w:t>a relationship formed with a qualifying partner,</w:t>
      </w:r>
    </w:p>
    <w:p w:rsidR="003D6528" w:rsidRPr="00132A6C" w:rsidRDefault="003D6528" w:rsidP="00A827CC">
      <w:pPr>
        <w:pStyle w:val="legrhs1"/>
        <w:spacing w:before="120" w:after="0" w:line="240" w:lineRule="auto"/>
        <w:ind w:left="1701"/>
        <w:jc w:val="left"/>
        <w:rPr>
          <w:rFonts w:ascii="Book Antiqua" w:hAnsi="Book Antiqua" w:cs="Arial"/>
          <w:sz w:val="24"/>
          <w:szCs w:val="24"/>
          <w:lang w:val="en"/>
        </w:rPr>
      </w:pPr>
      <w:r w:rsidRPr="00132A6C">
        <w:rPr>
          <w:rStyle w:val="legamendingtext"/>
          <w:rFonts w:ascii="Book Antiqua" w:hAnsi="Book Antiqua" w:cs="Arial"/>
          <w:sz w:val="24"/>
          <w:szCs w:val="24"/>
          <w:lang w:val="en"/>
        </w:rPr>
        <w:t>that is established by a person at a time when the person is in the United Kingdom unlawfully.</w:t>
      </w:r>
      <w:r w:rsidRPr="00132A6C">
        <w:rPr>
          <w:rFonts w:ascii="Book Antiqua" w:hAnsi="Book Antiqua" w:cs="Arial"/>
          <w:sz w:val="24"/>
          <w:szCs w:val="24"/>
          <w:lang w:val="en"/>
        </w:rPr>
        <w:t xml:space="preserve"> </w:t>
      </w:r>
    </w:p>
    <w:p w:rsidR="003D6528" w:rsidRPr="00132A6C" w:rsidRDefault="003D6528" w:rsidP="00A827CC">
      <w:pPr>
        <w:pStyle w:val="legclearfix2"/>
        <w:tabs>
          <w:tab w:val="left" w:pos="1701"/>
        </w:tabs>
        <w:spacing w:before="120" w:after="0" w:line="240" w:lineRule="auto"/>
        <w:ind w:left="1134"/>
        <w:rPr>
          <w:rFonts w:ascii="Book Antiqua" w:hAnsi="Book Antiqua" w:cs="Arial"/>
          <w:sz w:val="24"/>
          <w:szCs w:val="24"/>
          <w:lang w:val="en"/>
        </w:rPr>
      </w:pPr>
      <w:r w:rsidRPr="00132A6C">
        <w:rPr>
          <w:rStyle w:val="legamendingtext"/>
          <w:rFonts w:ascii="Book Antiqua" w:hAnsi="Book Antiqua" w:cs="Arial"/>
          <w:sz w:val="24"/>
          <w:szCs w:val="24"/>
          <w:lang w:val="en"/>
        </w:rPr>
        <w:t>(5)</w:t>
      </w:r>
      <w:r w:rsidR="00A827CC">
        <w:rPr>
          <w:rStyle w:val="legamendingtext"/>
          <w:rFonts w:ascii="Book Antiqua" w:hAnsi="Book Antiqua" w:cs="Arial"/>
          <w:sz w:val="24"/>
          <w:szCs w:val="24"/>
          <w:lang w:val="en"/>
        </w:rPr>
        <w:tab/>
      </w:r>
      <w:r w:rsidRPr="00132A6C">
        <w:rPr>
          <w:rStyle w:val="legamendingtext"/>
          <w:rFonts w:ascii="Book Antiqua" w:hAnsi="Book Antiqua" w:cs="Arial"/>
          <w:sz w:val="24"/>
          <w:szCs w:val="24"/>
          <w:lang w:val="en"/>
        </w:rPr>
        <w:t>Little weight should be given to a private life established by a person at a time when the person’s immigration status is precarious.</w:t>
      </w:r>
    </w:p>
    <w:p w:rsidR="003D6528" w:rsidRPr="00132A6C" w:rsidRDefault="003D6528" w:rsidP="00A827CC">
      <w:pPr>
        <w:pStyle w:val="legclearfix2"/>
        <w:tabs>
          <w:tab w:val="left" w:pos="1701"/>
        </w:tabs>
        <w:spacing w:before="120" w:after="0" w:line="240" w:lineRule="auto"/>
        <w:ind w:left="1134"/>
        <w:rPr>
          <w:rFonts w:ascii="Book Antiqua" w:hAnsi="Book Antiqua" w:cs="Arial"/>
          <w:sz w:val="24"/>
          <w:szCs w:val="24"/>
          <w:lang w:val="en"/>
        </w:rPr>
      </w:pPr>
      <w:r w:rsidRPr="00132A6C">
        <w:rPr>
          <w:rStyle w:val="legamendingtext"/>
          <w:rFonts w:ascii="Book Antiqua" w:hAnsi="Book Antiqua" w:cs="Arial"/>
          <w:sz w:val="24"/>
          <w:szCs w:val="24"/>
          <w:lang w:val="en"/>
        </w:rPr>
        <w:t>(6)</w:t>
      </w:r>
      <w:r w:rsidR="00A827CC">
        <w:rPr>
          <w:rStyle w:val="legamendingtext"/>
          <w:rFonts w:ascii="Book Antiqua" w:hAnsi="Book Antiqua" w:cs="Arial"/>
          <w:sz w:val="24"/>
          <w:szCs w:val="24"/>
          <w:lang w:val="en"/>
        </w:rPr>
        <w:tab/>
        <w:t>I</w:t>
      </w:r>
      <w:r w:rsidRPr="00132A6C">
        <w:rPr>
          <w:rStyle w:val="legamendingtext"/>
          <w:rFonts w:ascii="Book Antiqua" w:hAnsi="Book Antiqua" w:cs="Arial"/>
          <w:sz w:val="24"/>
          <w:szCs w:val="24"/>
          <w:lang w:val="en"/>
        </w:rPr>
        <w:t>n the case of a person who is not liable to deportation, the public interest does not require the person’s removal where—</w:t>
      </w:r>
    </w:p>
    <w:p w:rsidR="003D6528" w:rsidRPr="00132A6C" w:rsidRDefault="003D6528" w:rsidP="00A827CC">
      <w:pPr>
        <w:pStyle w:val="legclearfix2"/>
        <w:tabs>
          <w:tab w:val="left" w:pos="2268"/>
        </w:tabs>
        <w:spacing w:before="120" w:after="0" w:line="240" w:lineRule="auto"/>
        <w:ind w:left="1701"/>
        <w:rPr>
          <w:rFonts w:ascii="Book Antiqua" w:hAnsi="Book Antiqua" w:cs="Arial"/>
          <w:sz w:val="24"/>
          <w:szCs w:val="24"/>
          <w:lang w:val="en"/>
        </w:rPr>
      </w:pPr>
      <w:r w:rsidRPr="00132A6C">
        <w:rPr>
          <w:rStyle w:val="legamendingtext"/>
          <w:rFonts w:ascii="Book Antiqua" w:hAnsi="Book Antiqua" w:cs="Arial"/>
          <w:sz w:val="24"/>
          <w:szCs w:val="24"/>
          <w:lang w:val="en"/>
        </w:rPr>
        <w:t>(a)</w:t>
      </w:r>
      <w:r w:rsidR="00A827CC">
        <w:rPr>
          <w:rStyle w:val="legamendingtext"/>
          <w:rFonts w:ascii="Book Antiqua" w:hAnsi="Book Antiqua" w:cs="Arial"/>
          <w:sz w:val="24"/>
          <w:szCs w:val="24"/>
          <w:lang w:val="en"/>
        </w:rPr>
        <w:tab/>
      </w:r>
      <w:r w:rsidRPr="00132A6C">
        <w:rPr>
          <w:rStyle w:val="legamendingtext"/>
          <w:rFonts w:ascii="Book Antiqua" w:hAnsi="Book Antiqua" w:cs="Arial"/>
          <w:sz w:val="24"/>
          <w:szCs w:val="24"/>
          <w:lang w:val="en"/>
        </w:rPr>
        <w:t>the person has a genuine and subsisting parental relationship with a qualifying child, and</w:t>
      </w:r>
    </w:p>
    <w:p w:rsidR="003D6528" w:rsidRPr="00132A6C" w:rsidRDefault="003D6528" w:rsidP="00A827CC">
      <w:pPr>
        <w:pStyle w:val="legclearfix2"/>
        <w:tabs>
          <w:tab w:val="left" w:pos="2268"/>
        </w:tabs>
        <w:spacing w:before="120" w:after="0" w:line="240" w:lineRule="auto"/>
        <w:ind w:left="1701"/>
        <w:rPr>
          <w:rFonts w:ascii="Book Antiqua" w:hAnsi="Book Antiqua" w:cs="Arial"/>
          <w:sz w:val="24"/>
          <w:szCs w:val="24"/>
          <w:lang w:val="en"/>
        </w:rPr>
      </w:pPr>
      <w:r w:rsidRPr="00132A6C">
        <w:rPr>
          <w:rStyle w:val="legamendingtext"/>
          <w:rFonts w:ascii="Book Antiqua" w:hAnsi="Book Antiqua" w:cs="Arial"/>
          <w:sz w:val="24"/>
          <w:szCs w:val="24"/>
          <w:lang w:val="en"/>
        </w:rPr>
        <w:t>(b)</w:t>
      </w:r>
      <w:r w:rsidR="00A827CC">
        <w:rPr>
          <w:rStyle w:val="legamendingtext"/>
          <w:rFonts w:ascii="Book Antiqua" w:hAnsi="Book Antiqua" w:cs="Arial"/>
          <w:sz w:val="24"/>
          <w:szCs w:val="24"/>
          <w:lang w:val="en"/>
        </w:rPr>
        <w:tab/>
      </w:r>
      <w:r w:rsidRPr="00132A6C">
        <w:rPr>
          <w:rStyle w:val="legamendingtext"/>
          <w:rFonts w:ascii="Book Antiqua" w:hAnsi="Book Antiqua" w:cs="Arial"/>
          <w:sz w:val="24"/>
          <w:szCs w:val="24"/>
          <w:lang w:val="en"/>
        </w:rPr>
        <w:t>it would not be reasonable to expect the child to leave the United Kingdom.</w:t>
      </w:r>
    </w:p>
    <w:p w:rsidR="003D6528" w:rsidRDefault="003D6528" w:rsidP="00A827CC">
      <w:pPr>
        <w:numPr>
          <w:ilvl w:val="0"/>
          <w:numId w:val="3"/>
        </w:numPr>
        <w:spacing w:before="240"/>
        <w:jc w:val="both"/>
        <w:rPr>
          <w:rFonts w:ascii="Book Antiqua" w:hAnsi="Book Antiqua"/>
        </w:rPr>
      </w:pPr>
      <w:r>
        <w:rPr>
          <w:rFonts w:ascii="Book Antiqua" w:hAnsi="Book Antiqua"/>
        </w:rPr>
        <w:t>The judge was required to consider whether there were any “sufficiently compelling” circumstances to outweigh the public interest because the refusal of leave would result in “unjustifiably harsh consequences” (see decision in Agyarko at [48]).</w:t>
      </w:r>
    </w:p>
    <w:p w:rsidR="00683644" w:rsidRDefault="00683644" w:rsidP="00A827CC">
      <w:pPr>
        <w:numPr>
          <w:ilvl w:val="0"/>
          <w:numId w:val="3"/>
        </w:numPr>
        <w:spacing w:before="240"/>
        <w:jc w:val="both"/>
        <w:rPr>
          <w:rFonts w:ascii="Book Antiqua" w:hAnsi="Book Antiqua"/>
        </w:rPr>
      </w:pPr>
      <w:r>
        <w:rPr>
          <w:rFonts w:ascii="Book Antiqua" w:hAnsi="Book Antiqua"/>
        </w:rPr>
        <w:t xml:space="preserve">It was against this background that the factual circumstances of the </w:t>
      </w:r>
      <w:r w:rsidR="003278F6">
        <w:rPr>
          <w:rFonts w:ascii="Book Antiqua" w:hAnsi="Book Antiqua"/>
        </w:rPr>
        <w:t>Appellant</w:t>
      </w:r>
      <w:r>
        <w:rPr>
          <w:rFonts w:ascii="Book Antiqua" w:hAnsi="Book Antiqua"/>
        </w:rPr>
        <w:t xml:space="preserve"> were important. The facts that were not in dispute were that the </w:t>
      </w:r>
      <w:r w:rsidR="003278F6">
        <w:rPr>
          <w:rFonts w:ascii="Book Antiqua" w:hAnsi="Book Antiqua"/>
        </w:rPr>
        <w:t>Appellant</w:t>
      </w:r>
      <w:r>
        <w:rPr>
          <w:rFonts w:ascii="Book Antiqua" w:hAnsi="Book Antiqua"/>
        </w:rPr>
        <w:t xml:space="preserve"> arrived in United Kingdom with her mother on 25 August 2004 aged 11 years and nine months. It was accepted by the judge that unlike her mother she had not returned to India and had remained in the United Kingdom since that date. </w:t>
      </w:r>
    </w:p>
    <w:p w:rsidR="00683644" w:rsidRDefault="00683644" w:rsidP="00A827CC">
      <w:pPr>
        <w:numPr>
          <w:ilvl w:val="0"/>
          <w:numId w:val="3"/>
        </w:numPr>
        <w:spacing w:before="240"/>
        <w:jc w:val="both"/>
        <w:rPr>
          <w:rFonts w:ascii="Book Antiqua" w:hAnsi="Book Antiqua"/>
        </w:rPr>
      </w:pPr>
      <w:r>
        <w:rPr>
          <w:rFonts w:ascii="Book Antiqua" w:hAnsi="Book Antiqua"/>
        </w:rPr>
        <w:lastRenderedPageBreak/>
        <w:t xml:space="preserve">When she had made her application for leave to remain on 22 May 2016 she had been in the UK for 11 years and six months and was aged 23 years and two months and therefore had not lived in the UK for over half of her life. However there is also no dispute that at the date of the hearing she was aged 24 years and 11 months and had spent more than half of her life in United Kingdom. The judge recognised her level of integration by reason of the length of residence and the years which that private life integration had occurred. In the findings of fact made by the judge he found that the </w:t>
      </w:r>
      <w:r w:rsidR="003278F6">
        <w:rPr>
          <w:rFonts w:ascii="Book Antiqua" w:hAnsi="Book Antiqua"/>
        </w:rPr>
        <w:t>Appellant</w:t>
      </w:r>
      <w:r>
        <w:rPr>
          <w:rFonts w:ascii="Book Antiqua" w:hAnsi="Book Antiqua"/>
        </w:rPr>
        <w:t xml:space="preserve"> had become “well integrated into UK society over the years that she’d been in United Kingdom” (see [25]) this was because she had been educated at secondary level through to college, she participated in various educational opportunities, and made friends both British and Asian, or Western clothes and enjoyed Western films. The judge was satisfied that she had “integrated in society to a significant degree if not completely” (see [34]).</w:t>
      </w:r>
    </w:p>
    <w:p w:rsidR="00683644" w:rsidRDefault="00683644" w:rsidP="00A827CC">
      <w:pPr>
        <w:numPr>
          <w:ilvl w:val="0"/>
          <w:numId w:val="3"/>
        </w:numPr>
        <w:spacing w:before="240"/>
        <w:jc w:val="both"/>
        <w:rPr>
          <w:rFonts w:ascii="Book Antiqua" w:hAnsi="Book Antiqua"/>
        </w:rPr>
      </w:pPr>
      <w:r>
        <w:rPr>
          <w:rFonts w:ascii="Book Antiqua" w:hAnsi="Book Antiqua"/>
        </w:rPr>
        <w:t xml:space="preserve">The decision letter that was under challenge accepted that the </w:t>
      </w:r>
      <w:r w:rsidR="003278F6">
        <w:rPr>
          <w:rFonts w:ascii="Book Antiqua" w:hAnsi="Book Antiqua"/>
        </w:rPr>
        <w:t>Appellant</w:t>
      </w:r>
      <w:r>
        <w:rPr>
          <w:rFonts w:ascii="Book Antiqua" w:hAnsi="Book Antiqua"/>
        </w:rPr>
        <w:t xml:space="preserve"> met the suitability criteria set out in paragraph 276 ADE (1</w:t>
      </w:r>
      <w:r w:rsidR="003278F6">
        <w:rPr>
          <w:rFonts w:ascii="Book Antiqua" w:hAnsi="Book Antiqua"/>
        </w:rPr>
        <w:t>) (</w:t>
      </w:r>
      <w:proofErr w:type="spellStart"/>
      <w:r>
        <w:rPr>
          <w:rFonts w:ascii="Book Antiqua" w:hAnsi="Book Antiqua"/>
        </w:rPr>
        <w:t>i</w:t>
      </w:r>
      <w:proofErr w:type="spellEnd"/>
      <w:r w:rsidR="003278F6">
        <w:rPr>
          <w:rFonts w:ascii="Book Antiqua" w:hAnsi="Book Antiqua"/>
        </w:rPr>
        <w:t>) that</w:t>
      </w:r>
      <w:r>
        <w:rPr>
          <w:rFonts w:ascii="Book Antiqua" w:hAnsi="Book Antiqua"/>
        </w:rPr>
        <w:t xml:space="preserve"> she had made a valid application and was between the ages of 18 and 25 years. She had not spent over half of her life in the UK at that stage being approximately short by three months. As set out above, by the date of the hearing the </w:t>
      </w:r>
      <w:r w:rsidR="003278F6">
        <w:rPr>
          <w:rFonts w:ascii="Book Antiqua" w:hAnsi="Book Antiqua"/>
        </w:rPr>
        <w:t>Appellant</w:t>
      </w:r>
      <w:r>
        <w:rPr>
          <w:rFonts w:ascii="Book Antiqua" w:hAnsi="Book Antiqua"/>
        </w:rPr>
        <w:t xml:space="preserve"> had met that substantive requirement (see [25] and [28]).</w:t>
      </w:r>
    </w:p>
    <w:p w:rsidR="001F5238" w:rsidRDefault="00683644" w:rsidP="00A827CC">
      <w:pPr>
        <w:numPr>
          <w:ilvl w:val="0"/>
          <w:numId w:val="3"/>
        </w:numPr>
        <w:spacing w:before="240"/>
        <w:jc w:val="both"/>
        <w:rPr>
          <w:rFonts w:ascii="Book Antiqua" w:hAnsi="Book Antiqua"/>
        </w:rPr>
      </w:pPr>
      <w:r>
        <w:rPr>
          <w:rFonts w:ascii="Book Antiqua" w:hAnsi="Book Antiqua"/>
        </w:rPr>
        <w:t>Whilst the judge considered the relevant rule</w:t>
      </w:r>
      <w:r w:rsidR="001F5238">
        <w:rPr>
          <w:rFonts w:ascii="Book Antiqua" w:hAnsi="Book Antiqua"/>
        </w:rPr>
        <w:t xml:space="preserve"> (P</w:t>
      </w:r>
      <w:r>
        <w:rPr>
          <w:rFonts w:ascii="Book Antiqua" w:hAnsi="Book Antiqua"/>
        </w:rPr>
        <w:t>aragraph 276 ADE (1</w:t>
      </w:r>
      <w:r w:rsidR="003278F6">
        <w:rPr>
          <w:rFonts w:ascii="Book Antiqua" w:hAnsi="Book Antiqua"/>
        </w:rPr>
        <w:t>) (</w:t>
      </w:r>
      <w:r>
        <w:rPr>
          <w:rFonts w:ascii="Book Antiqua" w:hAnsi="Book Antiqua"/>
        </w:rPr>
        <w:t xml:space="preserve">v) as Mr Malik set out he did not dispute that the </w:t>
      </w:r>
      <w:r w:rsidR="003278F6">
        <w:rPr>
          <w:rFonts w:ascii="Book Antiqua" w:hAnsi="Book Antiqua"/>
        </w:rPr>
        <w:t>Appellant</w:t>
      </w:r>
      <w:r>
        <w:rPr>
          <w:rFonts w:ascii="Book Antiqua" w:hAnsi="Book Antiqua"/>
        </w:rPr>
        <w:t xml:space="preserve"> could </w:t>
      </w:r>
      <w:r w:rsidR="001F5238">
        <w:rPr>
          <w:rFonts w:ascii="Book Antiqua" w:hAnsi="Book Antiqua"/>
        </w:rPr>
        <w:t>meet the R</w:t>
      </w:r>
      <w:r>
        <w:rPr>
          <w:rFonts w:ascii="Book Antiqua" w:hAnsi="Book Antiqua"/>
        </w:rPr>
        <w:t>ules at the date of the application because the necessary period had not accrued.</w:t>
      </w:r>
      <w:r w:rsidR="001F5238">
        <w:rPr>
          <w:rFonts w:ascii="Book Antiqua" w:hAnsi="Book Antiqua"/>
        </w:rPr>
        <w:t xml:space="preserve"> Therefore the judge was</w:t>
      </w:r>
      <w:r>
        <w:rPr>
          <w:rFonts w:ascii="Book Antiqua" w:hAnsi="Book Antiqua"/>
        </w:rPr>
        <w:t xml:space="preserve"> required to consider whether there were good reasons to proceed to consider </w:t>
      </w:r>
      <w:r w:rsidR="003278F6">
        <w:rPr>
          <w:rFonts w:ascii="Book Antiqua" w:hAnsi="Book Antiqua"/>
        </w:rPr>
        <w:t>Article</w:t>
      </w:r>
      <w:r>
        <w:rPr>
          <w:rFonts w:ascii="Book Antiqua" w:hAnsi="Book Antiqua"/>
        </w:rPr>
        <w:t xml:space="preserve"> 8 outside of the rules, which is a process properly followed by the judge (see [33]).</w:t>
      </w:r>
      <w:r w:rsidR="001F5238">
        <w:rPr>
          <w:rFonts w:ascii="Book Antiqua" w:hAnsi="Book Antiqua"/>
        </w:rPr>
        <w:t xml:space="preserve"> </w:t>
      </w:r>
    </w:p>
    <w:p w:rsidR="00683644" w:rsidRDefault="001F5238" w:rsidP="00A827CC">
      <w:pPr>
        <w:numPr>
          <w:ilvl w:val="0"/>
          <w:numId w:val="3"/>
        </w:numPr>
        <w:spacing w:before="240"/>
        <w:jc w:val="both"/>
        <w:rPr>
          <w:rFonts w:ascii="Book Antiqua" w:hAnsi="Book Antiqua"/>
        </w:rPr>
      </w:pPr>
      <w:r>
        <w:rPr>
          <w:rFonts w:ascii="Book Antiqua" w:hAnsi="Book Antiqua"/>
        </w:rPr>
        <w:t>It is that</w:t>
      </w:r>
      <w:r w:rsidR="00683644">
        <w:rPr>
          <w:rFonts w:ascii="Book Antiqua" w:hAnsi="Book Antiqua"/>
        </w:rPr>
        <w:t xml:space="preserve"> process which Mr Malik seeks to challenge in his submissions. </w:t>
      </w:r>
      <w:r w:rsidR="003F4B1E">
        <w:rPr>
          <w:rFonts w:ascii="Book Antiqua" w:hAnsi="Book Antiqua"/>
        </w:rPr>
        <w:t xml:space="preserve">The judge properly noted that </w:t>
      </w:r>
      <w:r w:rsidR="003278F6">
        <w:rPr>
          <w:rFonts w:ascii="Book Antiqua" w:hAnsi="Book Antiqua"/>
        </w:rPr>
        <w:t>Article</w:t>
      </w:r>
      <w:r w:rsidR="003F4B1E">
        <w:rPr>
          <w:rFonts w:ascii="Book Antiqua" w:hAnsi="Book Antiqua"/>
        </w:rPr>
        <w:t xml:space="preserve"> 8 was engaged and that the decision to refuse leave would amount to an interference with </w:t>
      </w:r>
      <w:r w:rsidR="003278F6">
        <w:rPr>
          <w:rFonts w:ascii="Book Antiqua" w:hAnsi="Book Antiqua"/>
        </w:rPr>
        <w:t>Article</w:t>
      </w:r>
      <w:r w:rsidR="003F4B1E">
        <w:rPr>
          <w:rFonts w:ascii="Book Antiqua" w:hAnsi="Book Antiqua"/>
        </w:rPr>
        <w:t xml:space="preserve"> 8 rights. The question the judge had to resolve was whether the decision was a lawful one taken in pursuit of a legitimate aim and proportionate to that aim taking into account all the relevant factors.</w:t>
      </w:r>
    </w:p>
    <w:p w:rsidR="003F4B1E" w:rsidRDefault="003F4B1E" w:rsidP="00A827CC">
      <w:pPr>
        <w:numPr>
          <w:ilvl w:val="0"/>
          <w:numId w:val="3"/>
        </w:numPr>
        <w:spacing w:before="240"/>
        <w:jc w:val="both"/>
        <w:rPr>
          <w:rFonts w:ascii="Book Antiqua" w:hAnsi="Book Antiqua"/>
        </w:rPr>
      </w:pPr>
      <w:r>
        <w:rPr>
          <w:rFonts w:ascii="Book Antiqua" w:hAnsi="Book Antiqua"/>
        </w:rPr>
        <w:t>I accept the submission made by Mr Malik that it is in that assessment the judge failed to properly take into account the powerful and weighty factor that she had met the substanti</w:t>
      </w:r>
      <w:r w:rsidR="001F5238">
        <w:rPr>
          <w:rFonts w:ascii="Book Antiqua" w:hAnsi="Book Antiqua"/>
        </w:rPr>
        <w:t>ve requirements set out in the R</w:t>
      </w:r>
      <w:r>
        <w:rPr>
          <w:rFonts w:ascii="Book Antiqua" w:hAnsi="Book Antiqua"/>
        </w:rPr>
        <w:t xml:space="preserve">ules at the date of the hearing. It had been accepted that she met the specific age range (18 – 25), and that spent over half of the life in the UK and had met all of the suitability requirements. They were the “substantive requirements” of the rules rather than the procedural requirement of a “valid application”. </w:t>
      </w:r>
    </w:p>
    <w:p w:rsidR="003F4B1E" w:rsidRDefault="003F4B1E" w:rsidP="00A827CC">
      <w:pPr>
        <w:numPr>
          <w:ilvl w:val="0"/>
          <w:numId w:val="3"/>
        </w:numPr>
        <w:spacing w:before="240"/>
        <w:jc w:val="both"/>
        <w:rPr>
          <w:rFonts w:ascii="Book Antiqua" w:hAnsi="Book Antiqua"/>
        </w:rPr>
      </w:pPr>
      <w:r>
        <w:rPr>
          <w:rFonts w:ascii="Book Antiqua" w:hAnsi="Book Antiqua"/>
        </w:rPr>
        <w:t xml:space="preserve">The judge had already reached findings of fact as to the level of her integration in the UK during her period of residence (more than half of her life) and which were indicative of a young woman who had significantly integrated in the UK which is the underlying rationale which underpins the rule in question. The judge had found at [34] that she had integrated into society “to a significant degree if not completely”. </w:t>
      </w:r>
      <w:r w:rsidR="005D1586">
        <w:rPr>
          <w:rFonts w:ascii="Book Antiqua" w:hAnsi="Book Antiqua"/>
        </w:rPr>
        <w:t xml:space="preserve">The judge accepted that most of the family was in United Kingdom and although she did </w:t>
      </w:r>
      <w:r w:rsidR="005D1586">
        <w:rPr>
          <w:rFonts w:ascii="Book Antiqua" w:hAnsi="Book Antiqua"/>
        </w:rPr>
        <w:lastRenderedPageBreak/>
        <w:t>have family in India she was not in contact with them and that they would be unlikely to support financially (see [30</w:t>
      </w:r>
      <w:r w:rsidR="003278F6">
        <w:rPr>
          <w:rFonts w:ascii="Book Antiqua" w:hAnsi="Book Antiqua"/>
        </w:rPr>
        <w:t>])</w:t>
      </w:r>
      <w:r w:rsidR="005D1586">
        <w:rPr>
          <w:rFonts w:ascii="Book Antiqua" w:hAnsi="Book Antiqua"/>
        </w:rPr>
        <w:t>.</w:t>
      </w:r>
      <w:r>
        <w:rPr>
          <w:rFonts w:ascii="Book Antiqua" w:hAnsi="Book Antiqua"/>
        </w:rPr>
        <w:t xml:space="preserve">That being so, given that she met the requirements as at the date of the hearing it is difficult to see what in fact remained in the balance on the </w:t>
      </w:r>
      <w:r w:rsidR="003278F6">
        <w:rPr>
          <w:rFonts w:ascii="Book Antiqua" w:hAnsi="Book Antiqua"/>
        </w:rPr>
        <w:t>Respondent</w:t>
      </w:r>
      <w:r>
        <w:rPr>
          <w:rFonts w:ascii="Book Antiqua" w:hAnsi="Book Antiqua"/>
        </w:rPr>
        <w:t xml:space="preserve">s side. Ms Aboni makes reference to the “little weight” that the judge attached to her private life given that it was established at a time when she was in the UK either unlawfully or at a time when it was precarious and thus had a poor immigration history (see [27] and [34]). By way of reply Mr Malik relies on the decision in </w:t>
      </w:r>
      <w:r w:rsidRPr="003278F6">
        <w:rPr>
          <w:rFonts w:ascii="Book Antiqua" w:hAnsi="Book Antiqua"/>
          <w:u w:val="single"/>
        </w:rPr>
        <w:t>Kaur</w:t>
      </w:r>
      <w:r w:rsidR="003278F6" w:rsidRPr="003278F6">
        <w:rPr>
          <w:rFonts w:ascii="Book Antiqua" w:hAnsi="Book Antiqua"/>
          <w:u w:val="single"/>
        </w:rPr>
        <w:t xml:space="preserve"> (Children’s best interest/public interest interface)</w:t>
      </w:r>
      <w:r w:rsidR="003278F6">
        <w:rPr>
          <w:rFonts w:ascii="Book Antiqua" w:hAnsi="Book Antiqua"/>
          <w:u w:val="single"/>
        </w:rPr>
        <w:t xml:space="preserve"> </w:t>
      </w:r>
      <w:r w:rsidR="003278F6">
        <w:rPr>
          <w:rFonts w:ascii="Book Antiqua" w:hAnsi="Book Antiqua"/>
        </w:rPr>
        <w:t>[2017] UKUT 00014(IAC)</w:t>
      </w:r>
      <w:r>
        <w:rPr>
          <w:rFonts w:ascii="Book Antiqua" w:hAnsi="Book Antiqua"/>
        </w:rPr>
        <w:t xml:space="preserve"> and paragraphs 25 onwards.</w:t>
      </w:r>
    </w:p>
    <w:p w:rsidR="003F4B1E" w:rsidRDefault="003F4B1E" w:rsidP="00A827CC">
      <w:pPr>
        <w:numPr>
          <w:ilvl w:val="0"/>
          <w:numId w:val="3"/>
        </w:numPr>
        <w:spacing w:before="240"/>
        <w:jc w:val="both"/>
        <w:rPr>
          <w:rFonts w:ascii="Book Antiqua" w:hAnsi="Book Antiqua"/>
        </w:rPr>
      </w:pPr>
      <w:r>
        <w:rPr>
          <w:rFonts w:ascii="Book Antiqua" w:hAnsi="Book Antiqua"/>
        </w:rPr>
        <w:t xml:space="preserve">In that decision it makes it plain that “little weight” does not mean “no weight” and given that the </w:t>
      </w:r>
      <w:r w:rsidR="003278F6">
        <w:rPr>
          <w:rFonts w:ascii="Book Antiqua" w:hAnsi="Book Antiqua"/>
        </w:rPr>
        <w:t>Appellant</w:t>
      </w:r>
      <w:r>
        <w:rPr>
          <w:rFonts w:ascii="Book Antiqua" w:hAnsi="Book Antiqua"/>
        </w:rPr>
        <w:t xml:space="preserve"> met the requirements which were intended to justify a grant of leave when someone had been in the UK for a recognised period of time (even if unlawfully) that meant that the person concerned was likely to have become integrated into UK society (in the light of the person’s age range 18 – 25 and the length of their</w:t>
      </w:r>
      <w:r w:rsidR="007E0E9A">
        <w:rPr>
          <w:rFonts w:ascii="Book Antiqua" w:hAnsi="Book Antiqua"/>
        </w:rPr>
        <w:t xml:space="preserve"> residence</w:t>
      </w:r>
      <w:r>
        <w:rPr>
          <w:rFonts w:ascii="Book Antiqua" w:hAnsi="Book Antiqua"/>
        </w:rPr>
        <w:t xml:space="preserve"> which was over half of their lives and that she had met and continued to meet the suitability requirements. Thus the “little weight” requirement should have been assessed in that context.</w:t>
      </w:r>
    </w:p>
    <w:p w:rsidR="003F4B1E" w:rsidRDefault="003F4B1E" w:rsidP="00A827CC">
      <w:pPr>
        <w:numPr>
          <w:ilvl w:val="0"/>
          <w:numId w:val="3"/>
        </w:numPr>
        <w:spacing w:before="240"/>
        <w:jc w:val="both"/>
        <w:rPr>
          <w:rFonts w:ascii="Book Antiqua" w:hAnsi="Book Antiqua"/>
        </w:rPr>
      </w:pPr>
      <w:r>
        <w:rPr>
          <w:rFonts w:ascii="Book Antiqua" w:hAnsi="Book Antiqua"/>
        </w:rPr>
        <w:t xml:space="preserve">As there was little else identified on the </w:t>
      </w:r>
      <w:r w:rsidR="003278F6">
        <w:rPr>
          <w:rFonts w:ascii="Book Antiqua" w:hAnsi="Book Antiqua"/>
        </w:rPr>
        <w:t>Respondent</w:t>
      </w:r>
      <w:r>
        <w:rPr>
          <w:rFonts w:ascii="Book Antiqua" w:hAnsi="Book Antiqua"/>
        </w:rPr>
        <w:t xml:space="preserve">s side of the balance save that it was stated that making a fresh application was not a “mere </w:t>
      </w:r>
      <w:r w:rsidR="003278F6">
        <w:rPr>
          <w:rFonts w:ascii="Book Antiqua" w:hAnsi="Book Antiqua"/>
        </w:rPr>
        <w:t>technicality “it</w:t>
      </w:r>
      <w:r w:rsidR="005D1586">
        <w:rPr>
          <w:rFonts w:ascii="Book Antiqua" w:hAnsi="Book Antiqua"/>
        </w:rPr>
        <w:t xml:space="preserve"> appears that this was not a point that the judge felt able to take into account (see [28]). However against that background it is difficult to see what benefit they would be or why it would be necessary to take the step of making a fresh application given that nothing had changed as regards the suitability requirements, she was still within the necessary age range and had lived in the UK over half of her life. </w:t>
      </w:r>
    </w:p>
    <w:p w:rsidR="00B06B8A" w:rsidRPr="005D1586" w:rsidRDefault="002D342A" w:rsidP="00A827CC">
      <w:pPr>
        <w:numPr>
          <w:ilvl w:val="0"/>
          <w:numId w:val="3"/>
        </w:numPr>
        <w:spacing w:before="240"/>
        <w:jc w:val="both"/>
        <w:rPr>
          <w:rFonts w:ascii="Book Antiqua" w:hAnsi="Book Antiqua"/>
        </w:rPr>
      </w:pPr>
      <w:r>
        <w:rPr>
          <w:rFonts w:ascii="Book Antiqua" w:hAnsi="Book Antiqua"/>
        </w:rPr>
        <w:t>For t</w:t>
      </w:r>
      <w:r w:rsidR="005D1586">
        <w:rPr>
          <w:rFonts w:ascii="Book Antiqua" w:hAnsi="Book Antiqua"/>
        </w:rPr>
        <w:t>hose reasons I am of the view that if that factor</w:t>
      </w:r>
      <w:r>
        <w:rPr>
          <w:rFonts w:ascii="Book Antiqua" w:hAnsi="Book Antiqua"/>
        </w:rPr>
        <w:t xml:space="preserve">, </w:t>
      </w:r>
      <w:r w:rsidR="005D1586">
        <w:rPr>
          <w:rFonts w:ascii="Book Antiqua" w:hAnsi="Book Antiqua"/>
        </w:rPr>
        <w:t xml:space="preserve">whilst identified at [28], had been considered and analysed in that way the judge would have reached the opposite view and would have </w:t>
      </w:r>
      <w:r>
        <w:rPr>
          <w:rFonts w:ascii="Book Antiqua" w:hAnsi="Book Antiqua"/>
        </w:rPr>
        <w:t>reached a different view</w:t>
      </w:r>
      <w:r w:rsidR="001F5238">
        <w:rPr>
          <w:rFonts w:ascii="Book Antiqua" w:hAnsi="Book Antiqua"/>
        </w:rPr>
        <w:t xml:space="preserve"> when applying S117B and when considering the public interest question</w:t>
      </w:r>
      <w:r>
        <w:rPr>
          <w:rFonts w:ascii="Book Antiqua" w:hAnsi="Book Antiqua"/>
        </w:rPr>
        <w:t xml:space="preserve">. </w:t>
      </w:r>
      <w:r w:rsidR="008E4ED3" w:rsidRPr="005D1586">
        <w:rPr>
          <w:rFonts w:ascii="Book Antiqua" w:hAnsi="Book Antiqua" w:cs="Arial"/>
        </w:rPr>
        <w:t>T</w:t>
      </w:r>
      <w:r w:rsidR="00703C30" w:rsidRPr="005D1586">
        <w:rPr>
          <w:rFonts w:ascii="Book Antiqua" w:hAnsi="Book Antiqua" w:cs="Arial"/>
        </w:rPr>
        <w:t>he Immigration R</w:t>
      </w:r>
      <w:r w:rsidR="00C541CB" w:rsidRPr="005D1586">
        <w:rPr>
          <w:rFonts w:ascii="Book Antiqua" w:hAnsi="Book Antiqua" w:cs="Arial"/>
        </w:rPr>
        <w:t xml:space="preserve">ules are relevant to a </w:t>
      </w:r>
      <w:r w:rsidR="001F5238">
        <w:rPr>
          <w:rFonts w:ascii="Book Antiqua" w:hAnsi="Book Antiqua" w:cs="Arial"/>
        </w:rPr>
        <w:t>proper assessment of where the S</w:t>
      </w:r>
      <w:r w:rsidR="00C541CB" w:rsidRPr="005D1586">
        <w:rPr>
          <w:rFonts w:ascii="Book Antiqua" w:hAnsi="Book Antiqua" w:cs="Arial"/>
        </w:rPr>
        <w:t>e</w:t>
      </w:r>
      <w:r w:rsidR="001F5238">
        <w:rPr>
          <w:rFonts w:ascii="Book Antiqua" w:hAnsi="Book Antiqua" w:cs="Arial"/>
        </w:rPr>
        <w:t>cretary S</w:t>
      </w:r>
      <w:r w:rsidR="008E4ED3" w:rsidRPr="005D1586">
        <w:rPr>
          <w:rFonts w:ascii="Book Antiqua" w:hAnsi="Book Antiqua" w:cs="Arial"/>
        </w:rPr>
        <w:t>tate considers the</w:t>
      </w:r>
      <w:r w:rsidR="00C541CB" w:rsidRPr="005D1586">
        <w:rPr>
          <w:rFonts w:ascii="Book Antiqua" w:hAnsi="Book Antiqua" w:cs="Arial"/>
        </w:rPr>
        <w:t xml:space="preserve"> balance is struck with reference to the proportionali</w:t>
      </w:r>
      <w:r w:rsidR="008E4ED3" w:rsidRPr="005D1586">
        <w:rPr>
          <w:rFonts w:ascii="Book Antiqua" w:hAnsi="Book Antiqua" w:cs="Arial"/>
        </w:rPr>
        <w:t>ty exercise under</w:t>
      </w:r>
      <w:r w:rsidR="00DA4029" w:rsidRPr="005D1586">
        <w:rPr>
          <w:rFonts w:ascii="Book Antiqua" w:hAnsi="Book Antiqua" w:cs="Arial"/>
        </w:rPr>
        <w:t xml:space="preserve"> </w:t>
      </w:r>
      <w:r w:rsidR="003278F6">
        <w:rPr>
          <w:rFonts w:ascii="Book Antiqua" w:hAnsi="Book Antiqua" w:cs="Arial"/>
        </w:rPr>
        <w:t>Article</w:t>
      </w:r>
      <w:r w:rsidR="005D1586">
        <w:rPr>
          <w:rFonts w:ascii="Book Antiqua" w:hAnsi="Book Antiqua" w:cs="Arial"/>
        </w:rPr>
        <w:t xml:space="preserve"> 8 (2) and given that the public interest was lessened considerably by the fact that the </w:t>
      </w:r>
      <w:r w:rsidR="003278F6">
        <w:rPr>
          <w:rFonts w:ascii="Book Antiqua" w:hAnsi="Book Antiqua" w:cs="Arial"/>
        </w:rPr>
        <w:t>Appellant</w:t>
      </w:r>
      <w:r w:rsidR="005D1586">
        <w:rPr>
          <w:rFonts w:ascii="Book Antiqua" w:hAnsi="Book Antiqua" w:cs="Arial"/>
        </w:rPr>
        <w:t xml:space="preserve"> met the substantive requirements </w:t>
      </w:r>
      <w:r>
        <w:rPr>
          <w:rFonts w:ascii="Book Antiqua" w:hAnsi="Book Antiqua" w:cs="Arial"/>
        </w:rPr>
        <w:t xml:space="preserve">this </w:t>
      </w:r>
      <w:r w:rsidR="005D1586">
        <w:rPr>
          <w:rFonts w:ascii="Book Antiqua" w:hAnsi="Book Antiqua" w:cs="Arial"/>
        </w:rPr>
        <w:t>was a weighty factor if not the decisive factor in the proportionality balance.</w:t>
      </w:r>
    </w:p>
    <w:p w:rsidR="00E71567" w:rsidRDefault="008C2BFF" w:rsidP="00A827CC">
      <w:pPr>
        <w:numPr>
          <w:ilvl w:val="0"/>
          <w:numId w:val="3"/>
        </w:numPr>
        <w:spacing w:before="240"/>
        <w:jc w:val="both"/>
        <w:rPr>
          <w:rFonts w:ascii="Book Antiqua" w:hAnsi="Book Antiqua" w:cs="Arial"/>
        </w:rPr>
      </w:pPr>
      <w:r w:rsidRPr="003D6F6B">
        <w:rPr>
          <w:rFonts w:ascii="Book Antiqua" w:hAnsi="Book Antiqua" w:cs="Arial"/>
        </w:rPr>
        <w:t>For those reasons</w:t>
      </w:r>
      <w:r w:rsidR="000C2580" w:rsidRPr="003D6F6B">
        <w:rPr>
          <w:rFonts w:ascii="Book Antiqua" w:hAnsi="Book Antiqua" w:cs="Arial"/>
        </w:rPr>
        <w:t xml:space="preserve">, I am satisfied that the </w:t>
      </w:r>
      <w:r w:rsidR="0062053B" w:rsidRPr="003D6F6B">
        <w:rPr>
          <w:rFonts w:ascii="Book Antiqua" w:hAnsi="Book Antiqua" w:cs="Arial"/>
        </w:rPr>
        <w:t>decision of the F</w:t>
      </w:r>
      <w:r w:rsidR="000C2580" w:rsidRPr="003D6F6B">
        <w:rPr>
          <w:rFonts w:ascii="Book Antiqua" w:hAnsi="Book Antiqua" w:cs="Arial"/>
        </w:rPr>
        <w:t xml:space="preserve">irst-tier </w:t>
      </w:r>
      <w:r w:rsidR="003278F6">
        <w:rPr>
          <w:rFonts w:ascii="Book Antiqua" w:hAnsi="Book Antiqua" w:cs="Arial"/>
        </w:rPr>
        <w:t>Tribunal</w:t>
      </w:r>
      <w:r w:rsidR="000C2580" w:rsidRPr="003D6F6B">
        <w:rPr>
          <w:rFonts w:ascii="Book Antiqua" w:hAnsi="Book Antiqua" w:cs="Arial"/>
        </w:rPr>
        <w:t xml:space="preserve"> judge involve</w:t>
      </w:r>
      <w:r w:rsidR="0062053B" w:rsidRPr="003D6F6B">
        <w:rPr>
          <w:rFonts w:ascii="Book Antiqua" w:hAnsi="Book Antiqua" w:cs="Arial"/>
        </w:rPr>
        <w:t>d</w:t>
      </w:r>
      <w:r w:rsidR="000C2580" w:rsidRPr="003D6F6B">
        <w:rPr>
          <w:rFonts w:ascii="Book Antiqua" w:hAnsi="Book Antiqua" w:cs="Arial"/>
        </w:rPr>
        <w:t xml:space="preserve"> the making of an error of law and therefore the decision cannot stand and shall be set aside.</w:t>
      </w:r>
    </w:p>
    <w:p w:rsidR="002D342A" w:rsidRDefault="002D342A" w:rsidP="00A827CC">
      <w:pPr>
        <w:numPr>
          <w:ilvl w:val="0"/>
          <w:numId w:val="3"/>
        </w:numPr>
        <w:spacing w:before="240"/>
        <w:jc w:val="both"/>
        <w:rPr>
          <w:rFonts w:ascii="Book Antiqua" w:hAnsi="Book Antiqua" w:cs="Arial"/>
        </w:rPr>
      </w:pPr>
      <w:r>
        <w:rPr>
          <w:rFonts w:ascii="Book Antiqua" w:hAnsi="Book Antiqua" w:cs="Arial"/>
        </w:rPr>
        <w:t xml:space="preserve">As to the remaking of the decision, it is submitted by Ms Aboni that she is now over 25 years of age and therefore is </w:t>
      </w:r>
      <w:r w:rsidR="003278F6">
        <w:rPr>
          <w:rFonts w:ascii="Book Antiqua" w:hAnsi="Book Antiqua" w:cs="Arial"/>
        </w:rPr>
        <w:t>out with</w:t>
      </w:r>
      <w:r>
        <w:rPr>
          <w:rFonts w:ascii="Book Antiqua" w:hAnsi="Book Antiqua" w:cs="Arial"/>
        </w:rPr>
        <w:t xml:space="preserve"> the age range necessary to succeed</w:t>
      </w:r>
      <w:r w:rsidR="001F5238">
        <w:rPr>
          <w:rFonts w:ascii="Book Antiqua" w:hAnsi="Book Antiqua" w:cs="Arial"/>
        </w:rPr>
        <w:t xml:space="preserve"> under the R</w:t>
      </w:r>
      <w:r>
        <w:rPr>
          <w:rFonts w:ascii="Book Antiqua" w:hAnsi="Book Antiqua" w:cs="Arial"/>
        </w:rPr>
        <w:t>ules and in the light of the provisions of section 117B</w:t>
      </w:r>
      <w:r w:rsidR="003278F6">
        <w:rPr>
          <w:rFonts w:ascii="Book Antiqua" w:hAnsi="Book Antiqua" w:cs="Arial"/>
        </w:rPr>
        <w:t>, little</w:t>
      </w:r>
      <w:r>
        <w:rPr>
          <w:rFonts w:ascii="Book Antiqua" w:hAnsi="Book Antiqua" w:cs="Arial"/>
        </w:rPr>
        <w:t xml:space="preserve"> </w:t>
      </w:r>
      <w:r w:rsidR="003278F6">
        <w:rPr>
          <w:rFonts w:ascii="Book Antiqua" w:hAnsi="Book Antiqua" w:cs="Arial"/>
        </w:rPr>
        <w:t>weight should</w:t>
      </w:r>
      <w:r>
        <w:rPr>
          <w:rFonts w:ascii="Book Antiqua" w:hAnsi="Book Antiqua" w:cs="Arial"/>
        </w:rPr>
        <w:t xml:space="preserve"> be attached to the private life established in the UK and that </w:t>
      </w:r>
      <w:r w:rsidR="001F5238">
        <w:rPr>
          <w:rFonts w:ascii="Book Antiqua" w:hAnsi="Book Antiqua" w:cs="Arial"/>
        </w:rPr>
        <w:t>as she cannot meet the R</w:t>
      </w:r>
      <w:r>
        <w:rPr>
          <w:rFonts w:ascii="Book Antiqua" w:hAnsi="Book Antiqua" w:cs="Arial"/>
        </w:rPr>
        <w:t xml:space="preserve">ules it would not be disproportionate for her to leave the United Kingdom. Ms Aboni relied upon the findings of fact made that whilst she was integrated into the United </w:t>
      </w:r>
      <w:r w:rsidR="003278F6">
        <w:rPr>
          <w:rFonts w:ascii="Book Antiqua" w:hAnsi="Book Antiqua" w:cs="Arial"/>
        </w:rPr>
        <w:t>Kingdom</w:t>
      </w:r>
      <w:r>
        <w:rPr>
          <w:rFonts w:ascii="Book Antiqua" w:hAnsi="Book Antiqua" w:cs="Arial"/>
        </w:rPr>
        <w:t xml:space="preserve">, she </w:t>
      </w:r>
      <w:r>
        <w:rPr>
          <w:rFonts w:ascii="Book Antiqua" w:hAnsi="Book Antiqua" w:cs="Arial"/>
        </w:rPr>
        <w:lastRenderedPageBreak/>
        <w:t>had some memory of India and of life and culture and any hardship that would be suffered would be temporary and will be significantly lessened if she were accompanied by her mother and sister (see [30]).</w:t>
      </w:r>
    </w:p>
    <w:p w:rsidR="002D342A" w:rsidRDefault="002D342A" w:rsidP="00A827CC">
      <w:pPr>
        <w:numPr>
          <w:ilvl w:val="0"/>
          <w:numId w:val="3"/>
        </w:numPr>
        <w:spacing w:before="240"/>
        <w:jc w:val="both"/>
        <w:rPr>
          <w:rFonts w:ascii="Book Antiqua" w:hAnsi="Book Antiqua"/>
        </w:rPr>
      </w:pPr>
      <w:r>
        <w:rPr>
          <w:rFonts w:ascii="Book Antiqua" w:hAnsi="Book Antiqua" w:cs="Arial"/>
        </w:rPr>
        <w:t xml:space="preserve">By way of reply, Mr Malik submitted that whilst she is now over 25 years of age it would not be proportionate to expect her to leave the UK and that </w:t>
      </w:r>
      <w:r>
        <w:rPr>
          <w:rFonts w:ascii="Book Antiqua" w:hAnsi="Book Antiqua"/>
        </w:rPr>
        <w:t xml:space="preserve">there were “sufficiently compelling” circumstances to outweigh the public interest because the refusal of leave would result in “unjustifiably harsh consequences” (see decision in Agyarko at [48]). She had met the substantive requirements of the rules at the date of the hearing and would have succeeded but for that error of approach. The recent evidence demonstrates that she had made a fresh application before she attained the age of 25 years and in the light of the </w:t>
      </w:r>
      <w:r w:rsidR="003278F6">
        <w:rPr>
          <w:rFonts w:ascii="Book Antiqua" w:hAnsi="Book Antiqua"/>
        </w:rPr>
        <w:t>Respondent</w:t>
      </w:r>
      <w:r>
        <w:rPr>
          <w:rFonts w:ascii="Book Antiqua" w:hAnsi="Book Antiqua"/>
        </w:rPr>
        <w:t>s past acceptance that she met the suitability requirements, and there was no evidence to suggest that that view had changed, that she had spent over half of her life in United Kingdom at the date of that fresh application and was within the requisite age range, there was no or little public interest in her removal.</w:t>
      </w:r>
    </w:p>
    <w:p w:rsidR="002D342A" w:rsidRPr="003D6F6B" w:rsidRDefault="002D342A" w:rsidP="00A827CC">
      <w:pPr>
        <w:numPr>
          <w:ilvl w:val="0"/>
          <w:numId w:val="3"/>
        </w:numPr>
        <w:spacing w:before="240"/>
        <w:jc w:val="both"/>
        <w:rPr>
          <w:rFonts w:ascii="Book Antiqua" w:hAnsi="Book Antiqua" w:cs="Arial"/>
        </w:rPr>
      </w:pPr>
      <w:r>
        <w:rPr>
          <w:rFonts w:ascii="Book Antiqua" w:hAnsi="Book Antiqua" w:cs="Arial"/>
        </w:rPr>
        <w:t xml:space="preserve">I agree with the submissions made by Mr Malik.  Given the findings of fact made by the judge as to the </w:t>
      </w:r>
      <w:r w:rsidR="003278F6">
        <w:rPr>
          <w:rFonts w:ascii="Book Antiqua" w:hAnsi="Book Antiqua" w:cs="Arial"/>
        </w:rPr>
        <w:t>Appellant’s</w:t>
      </w:r>
      <w:r>
        <w:rPr>
          <w:rFonts w:ascii="Book Antiqua" w:hAnsi="Book Antiqua" w:cs="Arial"/>
        </w:rPr>
        <w:t xml:space="preserve"> level of integration in United Kingdom which was underscored by her age, length of residence and the nature of her private life and the lack of meaningful ties in India, where she had no close family who would be able to supply her with financial support, were weighty factors  that would make such removal to be disproportionate even taking into account that she was not financially independent, and that her private life had been established at a time when she was in the UK unlawfully. Whilst “little weight” is to be so attributed, as the decision in </w:t>
      </w:r>
      <w:r w:rsidRPr="002D342A">
        <w:rPr>
          <w:rFonts w:ascii="Book Antiqua" w:hAnsi="Book Antiqua" w:cs="Arial"/>
          <w:u w:val="single"/>
        </w:rPr>
        <w:t>Kaur</w:t>
      </w:r>
      <w:r w:rsidR="00A827CC" w:rsidRPr="00A827CC">
        <w:rPr>
          <w:rFonts w:ascii="Book Antiqua" w:hAnsi="Book Antiqua" w:cs="Arial"/>
        </w:rPr>
        <w:t xml:space="preserve"> </w:t>
      </w:r>
      <w:r w:rsidRPr="00A827CC">
        <w:rPr>
          <w:rFonts w:ascii="Book Antiqua" w:hAnsi="Book Antiqua" w:cs="Arial"/>
        </w:rPr>
        <w:t>(</w:t>
      </w:r>
      <w:r w:rsidRPr="002D342A">
        <w:rPr>
          <w:rFonts w:ascii="Book Antiqua" w:hAnsi="Book Antiqua" w:cs="Arial"/>
        </w:rPr>
        <w:t>as cited)</w:t>
      </w:r>
      <w:r>
        <w:rPr>
          <w:rFonts w:ascii="Book Antiqua" w:hAnsi="Book Antiqua" w:cs="Arial"/>
        </w:rPr>
        <w:t xml:space="preserve"> makes plain, it does not equate with “no weight” and against the particular factual circumstances of the </w:t>
      </w:r>
      <w:r w:rsidR="003278F6">
        <w:rPr>
          <w:rFonts w:ascii="Book Antiqua" w:hAnsi="Book Antiqua" w:cs="Arial"/>
        </w:rPr>
        <w:t>Appellant</w:t>
      </w:r>
      <w:r>
        <w:rPr>
          <w:rFonts w:ascii="Book Antiqua" w:hAnsi="Book Antiqua" w:cs="Arial"/>
        </w:rPr>
        <w:t>, in which she has since made a valid application, which was likely to succeed, the overall balance would demonstrate that removal would be disproportionate.</w:t>
      </w:r>
    </w:p>
    <w:p w:rsidR="009C74C5" w:rsidRPr="009C74C5" w:rsidRDefault="009C74C5" w:rsidP="00A827CC">
      <w:pPr>
        <w:spacing w:before="240"/>
        <w:ind w:left="567"/>
        <w:jc w:val="both"/>
        <w:rPr>
          <w:rFonts w:ascii="Book Antiqua" w:hAnsi="Book Antiqua" w:cs="Arial"/>
          <w:b/>
          <w:u w:val="single"/>
        </w:rPr>
      </w:pPr>
      <w:r w:rsidRPr="009C74C5">
        <w:rPr>
          <w:rFonts w:ascii="Book Antiqua" w:hAnsi="Book Antiqua" w:cs="Arial"/>
          <w:b/>
          <w:u w:val="single"/>
        </w:rPr>
        <w:t>Decision:</w:t>
      </w:r>
    </w:p>
    <w:p w:rsidR="009C74C5" w:rsidRDefault="009C74C5" w:rsidP="00A827CC">
      <w:pPr>
        <w:spacing w:before="240"/>
        <w:ind w:left="567"/>
        <w:jc w:val="both"/>
        <w:rPr>
          <w:rFonts w:ascii="Book Antiqua" w:hAnsi="Book Antiqua" w:cs="Arial"/>
        </w:rPr>
      </w:pPr>
      <w:r>
        <w:rPr>
          <w:rFonts w:ascii="Book Antiqua" w:hAnsi="Book Antiqua" w:cs="Arial"/>
        </w:rPr>
        <w:t xml:space="preserve">The decision of the First-tier </w:t>
      </w:r>
      <w:r w:rsidR="003278F6">
        <w:rPr>
          <w:rFonts w:ascii="Book Antiqua" w:hAnsi="Book Antiqua" w:cs="Arial"/>
        </w:rPr>
        <w:t>Tribunal</w:t>
      </w:r>
      <w:r>
        <w:rPr>
          <w:rFonts w:ascii="Book Antiqua" w:hAnsi="Book Antiqua" w:cs="Arial"/>
        </w:rPr>
        <w:t xml:space="preserve"> </w:t>
      </w:r>
      <w:r w:rsidR="000F4508">
        <w:rPr>
          <w:rFonts w:ascii="Book Antiqua" w:hAnsi="Book Antiqua" w:cs="Arial"/>
        </w:rPr>
        <w:t>did</w:t>
      </w:r>
      <w:r w:rsidR="00624CF6">
        <w:rPr>
          <w:rFonts w:ascii="Book Antiqua" w:hAnsi="Book Antiqua" w:cs="Arial"/>
        </w:rPr>
        <w:t xml:space="preserve"> </w:t>
      </w:r>
      <w:r w:rsidR="004C0B69">
        <w:rPr>
          <w:rFonts w:ascii="Book Antiqua" w:hAnsi="Book Antiqua" w:cs="Arial"/>
        </w:rPr>
        <w:t>involve</w:t>
      </w:r>
      <w:r>
        <w:rPr>
          <w:rFonts w:ascii="Book Antiqua" w:hAnsi="Book Antiqua" w:cs="Arial"/>
        </w:rPr>
        <w:t xml:space="preserve"> the making of an error on </w:t>
      </w:r>
      <w:r w:rsidR="004C4587">
        <w:rPr>
          <w:rFonts w:ascii="Book Antiqua" w:hAnsi="Book Antiqua" w:cs="Arial"/>
        </w:rPr>
        <w:t xml:space="preserve">a point of </w:t>
      </w:r>
      <w:r w:rsidR="000F4508">
        <w:rPr>
          <w:rFonts w:ascii="Book Antiqua" w:hAnsi="Book Antiqua" w:cs="Arial"/>
        </w:rPr>
        <w:t>law</w:t>
      </w:r>
      <w:r w:rsidR="00E36BEC">
        <w:rPr>
          <w:rFonts w:ascii="Book Antiqua" w:hAnsi="Book Antiqua" w:cs="Arial"/>
        </w:rPr>
        <w:t>; it is</w:t>
      </w:r>
      <w:r w:rsidR="00B33772">
        <w:rPr>
          <w:rFonts w:ascii="Book Antiqua" w:hAnsi="Book Antiqua" w:cs="Arial"/>
        </w:rPr>
        <w:t xml:space="preserve"> </w:t>
      </w:r>
      <w:r w:rsidR="00E36BEC">
        <w:rPr>
          <w:rFonts w:ascii="Book Antiqua" w:hAnsi="Book Antiqua" w:cs="Arial"/>
        </w:rPr>
        <w:t>set aside</w:t>
      </w:r>
      <w:r w:rsidR="000F4508">
        <w:rPr>
          <w:rFonts w:ascii="Book Antiqua" w:hAnsi="Book Antiqua" w:cs="Arial"/>
        </w:rPr>
        <w:t xml:space="preserve"> and th</w:t>
      </w:r>
      <w:r w:rsidR="00624CF6">
        <w:rPr>
          <w:rFonts w:ascii="Book Antiqua" w:hAnsi="Book Antiqua" w:cs="Arial"/>
        </w:rPr>
        <w:t xml:space="preserve">e appeal is </w:t>
      </w:r>
      <w:r w:rsidR="00E36BEC">
        <w:rPr>
          <w:rFonts w:ascii="Book Antiqua" w:hAnsi="Book Antiqua" w:cs="Arial"/>
        </w:rPr>
        <w:t>re-</w:t>
      </w:r>
      <w:r w:rsidR="003278F6">
        <w:rPr>
          <w:rFonts w:ascii="Book Antiqua" w:hAnsi="Book Antiqua" w:cs="Arial"/>
        </w:rPr>
        <w:t>made;</w:t>
      </w:r>
      <w:r w:rsidR="00E36BEC">
        <w:rPr>
          <w:rFonts w:ascii="Book Antiqua" w:hAnsi="Book Antiqua" w:cs="Arial"/>
        </w:rPr>
        <w:t xml:space="preserve"> the appeal is allowed.</w:t>
      </w:r>
    </w:p>
    <w:p w:rsidR="00C77259" w:rsidRPr="00C77259" w:rsidRDefault="00C77259" w:rsidP="00C77259">
      <w:pPr>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927F03" w:rsidRDefault="006E3C90" w:rsidP="000369F5">
      <w:pPr>
        <w:tabs>
          <w:tab w:val="left" w:pos="2520"/>
        </w:tabs>
        <w:jc w:val="both"/>
        <w:rPr>
          <w:rFonts w:ascii="Book Antiqua" w:hAnsi="Book Antiqua" w:cs="Arial"/>
        </w:rPr>
      </w:pPr>
      <w:r w:rsidRPr="00F5664C">
        <w:rPr>
          <w:rFonts w:ascii="Book Antiqua" w:hAnsi="Book Antiqua" w:cs="Arial"/>
        </w:rPr>
        <w:t>Signed</w:t>
      </w:r>
      <w:r w:rsidR="00927F03">
        <w:rPr>
          <w:rFonts w:ascii="Book Antiqua" w:hAnsi="Book Antiqua" w:cs="Arial"/>
        </w:rPr>
        <w:t xml:space="preserve"> </w:t>
      </w:r>
      <w:r w:rsidR="00542B9A" w:rsidRPr="00636DC8">
        <w:rPr>
          <w:rFonts w:ascii="Book Antiqua" w:hAnsi="Book Antiqua"/>
          <w:b/>
          <w:noProof/>
        </w:rPr>
        <w:drawing>
          <wp:inline distT="0" distB="0" distL="0" distR="0">
            <wp:extent cx="1295400" cy="43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431800"/>
                    </a:xfrm>
                    <a:prstGeom prst="rect">
                      <a:avLst/>
                    </a:prstGeom>
                    <a:noFill/>
                    <a:ln>
                      <a:noFill/>
                    </a:ln>
                  </pic:spPr>
                </pic:pic>
              </a:graphicData>
            </a:graphic>
          </wp:inline>
        </w:drawing>
      </w: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C753EE">
        <w:rPr>
          <w:rFonts w:ascii="Book Antiqua" w:hAnsi="Book Antiqua" w:cs="Arial"/>
        </w:rPr>
        <w:t xml:space="preserve">: </w:t>
      </w:r>
      <w:r w:rsidR="00624CF6">
        <w:rPr>
          <w:rFonts w:ascii="Book Antiqua" w:hAnsi="Book Antiqua" w:cs="Arial"/>
        </w:rPr>
        <w:t xml:space="preserve">     </w:t>
      </w:r>
      <w:r w:rsidR="00E36BEC">
        <w:rPr>
          <w:rFonts w:ascii="Book Antiqua" w:hAnsi="Book Antiqua" w:cs="Arial"/>
        </w:rPr>
        <w:t>31</w:t>
      </w:r>
      <w:r w:rsidR="00E36BEC" w:rsidRPr="00E36BEC">
        <w:rPr>
          <w:rFonts w:ascii="Book Antiqua" w:hAnsi="Book Antiqua" w:cs="Arial"/>
          <w:vertAlign w:val="superscript"/>
        </w:rPr>
        <w:t>st</w:t>
      </w:r>
      <w:r w:rsidR="00E36BEC">
        <w:rPr>
          <w:rFonts w:ascii="Book Antiqua" w:hAnsi="Book Antiqua" w:cs="Arial"/>
        </w:rPr>
        <w:t xml:space="preserve"> </w:t>
      </w:r>
      <w:r w:rsidR="00624CF6">
        <w:rPr>
          <w:rFonts w:ascii="Book Antiqua" w:hAnsi="Book Antiqua" w:cs="Arial"/>
        </w:rPr>
        <w:t xml:space="preserve">  July</w:t>
      </w:r>
      <w:r w:rsidR="00B2567A">
        <w:rPr>
          <w:rFonts w:ascii="Book Antiqua" w:hAnsi="Book Antiqua" w:cs="Arial"/>
        </w:rPr>
        <w:t xml:space="preserve"> 2018</w:t>
      </w:r>
    </w:p>
    <w:p w:rsidR="005B7789" w:rsidRPr="00F5664C" w:rsidRDefault="00255071" w:rsidP="009D0EA8">
      <w:pPr>
        <w:tabs>
          <w:tab w:val="left" w:pos="2520"/>
        </w:tabs>
        <w:jc w:val="both"/>
        <w:rPr>
          <w:rFonts w:ascii="Book Antiqua" w:hAnsi="Book Antiqua" w:cs="Arial"/>
        </w:rPr>
      </w:pPr>
      <w:r>
        <w:rPr>
          <w:rFonts w:ascii="Book Antiqua" w:hAnsi="Book Antiqua" w:cs="Arial"/>
        </w:rPr>
        <w:t xml:space="preserve">Upper </w:t>
      </w:r>
      <w:r w:rsidR="003278F6">
        <w:rPr>
          <w:rFonts w:ascii="Book Antiqua" w:hAnsi="Book Antiqua" w:cs="Arial"/>
        </w:rPr>
        <w:t>Tribunal</w:t>
      </w:r>
      <w:r>
        <w:rPr>
          <w:rFonts w:ascii="Book Antiqua" w:hAnsi="Book Antiqua" w:cs="Arial"/>
        </w:rPr>
        <w:t xml:space="preserve"> Judge </w:t>
      </w:r>
      <w:r w:rsidR="000E4845">
        <w:rPr>
          <w:rFonts w:ascii="Book Antiqua" w:hAnsi="Book Antiqua" w:cs="Arial"/>
        </w:rPr>
        <w:t>Reeds</w:t>
      </w:r>
    </w:p>
    <w:sectPr w:rsidR="005B7789" w:rsidRPr="00F5664C" w:rsidSect="00776E97">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D48" w:rsidRDefault="008A0D48">
      <w:r>
        <w:separator/>
      </w:r>
    </w:p>
  </w:endnote>
  <w:endnote w:type="continuationSeparator" w:id="0">
    <w:p w:rsidR="008A0D48" w:rsidRDefault="008A0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F5664C" w:rsidRDefault="00CE3996"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741049">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F5664C" w:rsidRDefault="00CE3996" w:rsidP="00842418">
    <w:pPr>
      <w:jc w:val="center"/>
      <w:rPr>
        <w:rFonts w:ascii="Book Antiqua" w:hAnsi="Book Antiqua" w:cs="Arial"/>
        <w:b/>
      </w:rPr>
    </w:pPr>
    <w:r w:rsidRPr="00F5664C">
      <w:rPr>
        <w:rFonts w:ascii="Book Antiqua" w:hAnsi="Book Antiqua" w:cs="Arial"/>
        <w:b/>
        <w:spacing w:val="-6"/>
      </w:rPr>
      <w:t>©</w:t>
    </w:r>
    <w:r w:rsidR="000D436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D48" w:rsidRDefault="008A0D48">
      <w:r>
        <w:separator/>
      </w:r>
    </w:p>
  </w:footnote>
  <w:footnote w:type="continuationSeparator" w:id="0">
    <w:p w:rsidR="008A0D48" w:rsidRDefault="008A0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7D0CFC" w:rsidRDefault="00CE3996" w:rsidP="000369F5">
    <w:pPr>
      <w:pStyle w:val="Header"/>
      <w:tabs>
        <w:tab w:val="clear" w:pos="4153"/>
        <w:tab w:val="clear" w:pos="8306"/>
        <w:tab w:val="right" w:pos="9639"/>
      </w:tabs>
      <w:jc w:val="right"/>
      <w:rPr>
        <w:rFonts w:ascii="Book Antiqua" w:hAnsi="Book Antiqua" w:cs="Arial"/>
        <w:sz w:val="16"/>
        <w:szCs w:val="16"/>
      </w:rPr>
    </w:pPr>
    <w:r w:rsidRPr="007D0CFC">
      <w:rPr>
        <w:rFonts w:ascii="Book Antiqua" w:hAnsi="Book Antiqua" w:cs="Arial"/>
        <w:sz w:val="16"/>
        <w:szCs w:val="16"/>
      </w:rPr>
      <w:t xml:space="preserve">Appeal Number: </w:t>
    </w:r>
    <w:r w:rsidR="00624CF6">
      <w:rPr>
        <w:rFonts w:ascii="Book Antiqua" w:hAnsi="Book Antiqua" w:cs="Arial"/>
        <w:caps/>
        <w:sz w:val="16"/>
        <w:szCs w:val="16"/>
      </w:rPr>
      <w:t>HU/01985</w:t>
    </w:r>
    <w:r w:rsidRPr="007D0CFC">
      <w:rPr>
        <w:rFonts w:ascii="Book Antiqua" w:hAnsi="Book Antiqua" w:cs="Arial"/>
        <w:caps/>
        <w:sz w:val="16"/>
        <w:szCs w:val="16"/>
      </w:rPr>
      <w:t>/201</w:t>
    </w:r>
    <w:r w:rsidR="00624CF6">
      <w:rPr>
        <w:rFonts w:ascii="Book Antiqua" w:hAnsi="Book Antiqua" w:cs="Arial"/>
        <w:caps/>
        <w:sz w:val="16"/>
        <w:szCs w:val="16"/>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10799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9"/>
  </w:num>
  <w:num w:numId="5">
    <w:abstractNumId w:val="18"/>
  </w:num>
  <w:num w:numId="6">
    <w:abstractNumId w:val="10"/>
  </w:num>
  <w:num w:numId="7">
    <w:abstractNumId w:val="17"/>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1"/>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17913E5-0F13-4948-9834-42BC3EEC1D22}"/>
    <w:docVar w:name="dgnword-eventsink" w:val="420150376"/>
  </w:docVars>
  <w:rsids>
    <w:rsidRoot w:val="004F053E"/>
    <w:rsid w:val="00000621"/>
    <w:rsid w:val="00001F88"/>
    <w:rsid w:val="000036C2"/>
    <w:rsid w:val="00023D8C"/>
    <w:rsid w:val="00033D3D"/>
    <w:rsid w:val="00034EDB"/>
    <w:rsid w:val="000369F5"/>
    <w:rsid w:val="00043FB5"/>
    <w:rsid w:val="00067C88"/>
    <w:rsid w:val="00071A7E"/>
    <w:rsid w:val="000746C0"/>
    <w:rsid w:val="00074D1D"/>
    <w:rsid w:val="00074D77"/>
    <w:rsid w:val="00074FB7"/>
    <w:rsid w:val="00092580"/>
    <w:rsid w:val="000B22F7"/>
    <w:rsid w:val="000B25A9"/>
    <w:rsid w:val="000C2580"/>
    <w:rsid w:val="000C4E01"/>
    <w:rsid w:val="000D01C9"/>
    <w:rsid w:val="000D436D"/>
    <w:rsid w:val="000D5D94"/>
    <w:rsid w:val="000E0CD7"/>
    <w:rsid w:val="000E4845"/>
    <w:rsid w:val="000E7B48"/>
    <w:rsid w:val="000F4508"/>
    <w:rsid w:val="0010561B"/>
    <w:rsid w:val="00114F8B"/>
    <w:rsid w:val="001165A7"/>
    <w:rsid w:val="001233BA"/>
    <w:rsid w:val="00125219"/>
    <w:rsid w:val="001263E0"/>
    <w:rsid w:val="0014004A"/>
    <w:rsid w:val="00151BB7"/>
    <w:rsid w:val="00167D3A"/>
    <w:rsid w:val="001A1E2C"/>
    <w:rsid w:val="001C246E"/>
    <w:rsid w:val="001C4E67"/>
    <w:rsid w:val="001D1159"/>
    <w:rsid w:val="001E381B"/>
    <w:rsid w:val="001E47A5"/>
    <w:rsid w:val="001F1F0A"/>
    <w:rsid w:val="001F2716"/>
    <w:rsid w:val="001F5238"/>
    <w:rsid w:val="0020133A"/>
    <w:rsid w:val="00207617"/>
    <w:rsid w:val="00215630"/>
    <w:rsid w:val="00255071"/>
    <w:rsid w:val="00277513"/>
    <w:rsid w:val="00283659"/>
    <w:rsid w:val="00291ECF"/>
    <w:rsid w:val="002A1714"/>
    <w:rsid w:val="002A3A92"/>
    <w:rsid w:val="002B1371"/>
    <w:rsid w:val="002C4E73"/>
    <w:rsid w:val="002D342A"/>
    <w:rsid w:val="002D56DC"/>
    <w:rsid w:val="002D68BF"/>
    <w:rsid w:val="002E5B95"/>
    <w:rsid w:val="003011E1"/>
    <w:rsid w:val="003278F6"/>
    <w:rsid w:val="00336CBF"/>
    <w:rsid w:val="003505B1"/>
    <w:rsid w:val="003546C8"/>
    <w:rsid w:val="003A7CF2"/>
    <w:rsid w:val="003C5CE5"/>
    <w:rsid w:val="003D2CAA"/>
    <w:rsid w:val="003D6528"/>
    <w:rsid w:val="003D6F6B"/>
    <w:rsid w:val="003E267B"/>
    <w:rsid w:val="003E7CD1"/>
    <w:rsid w:val="003F4B1E"/>
    <w:rsid w:val="00402B9E"/>
    <w:rsid w:val="004064D0"/>
    <w:rsid w:val="00423932"/>
    <w:rsid w:val="004249CB"/>
    <w:rsid w:val="00437B5C"/>
    <w:rsid w:val="0044127D"/>
    <w:rsid w:val="004448DB"/>
    <w:rsid w:val="00444CAD"/>
    <w:rsid w:val="00446C9A"/>
    <w:rsid w:val="00464ACF"/>
    <w:rsid w:val="0046742D"/>
    <w:rsid w:val="00477193"/>
    <w:rsid w:val="0049657B"/>
    <w:rsid w:val="004A1848"/>
    <w:rsid w:val="004A3262"/>
    <w:rsid w:val="004B25A1"/>
    <w:rsid w:val="004B4C42"/>
    <w:rsid w:val="004C0B69"/>
    <w:rsid w:val="004C4587"/>
    <w:rsid w:val="004D2791"/>
    <w:rsid w:val="004E50B1"/>
    <w:rsid w:val="004F053E"/>
    <w:rsid w:val="004F6A57"/>
    <w:rsid w:val="00500C3F"/>
    <w:rsid w:val="00504D0D"/>
    <w:rsid w:val="00507FEC"/>
    <w:rsid w:val="00510F0E"/>
    <w:rsid w:val="00535953"/>
    <w:rsid w:val="00542B9A"/>
    <w:rsid w:val="005479E1"/>
    <w:rsid w:val="005549E3"/>
    <w:rsid w:val="005570FD"/>
    <w:rsid w:val="005575EA"/>
    <w:rsid w:val="0057790C"/>
    <w:rsid w:val="00580F82"/>
    <w:rsid w:val="00585E0A"/>
    <w:rsid w:val="00593795"/>
    <w:rsid w:val="005A4D0E"/>
    <w:rsid w:val="005A75FF"/>
    <w:rsid w:val="005B3FF6"/>
    <w:rsid w:val="005B7789"/>
    <w:rsid w:val="005C4825"/>
    <w:rsid w:val="005D1586"/>
    <w:rsid w:val="005F330E"/>
    <w:rsid w:val="00601282"/>
    <w:rsid w:val="00610D5E"/>
    <w:rsid w:val="0062053B"/>
    <w:rsid w:val="00624CF6"/>
    <w:rsid w:val="00631736"/>
    <w:rsid w:val="00646601"/>
    <w:rsid w:val="006547D6"/>
    <w:rsid w:val="0065791C"/>
    <w:rsid w:val="00677A0E"/>
    <w:rsid w:val="006814B8"/>
    <w:rsid w:val="00681775"/>
    <w:rsid w:val="00683644"/>
    <w:rsid w:val="00683D5E"/>
    <w:rsid w:val="00685AF1"/>
    <w:rsid w:val="00687DCB"/>
    <w:rsid w:val="00690B8A"/>
    <w:rsid w:val="006A4F69"/>
    <w:rsid w:val="006B263C"/>
    <w:rsid w:val="006C642C"/>
    <w:rsid w:val="006D1DFA"/>
    <w:rsid w:val="006D506B"/>
    <w:rsid w:val="006E3C90"/>
    <w:rsid w:val="00703C30"/>
    <w:rsid w:val="00704B61"/>
    <w:rsid w:val="00707DB1"/>
    <w:rsid w:val="00723DEB"/>
    <w:rsid w:val="007325D8"/>
    <w:rsid w:val="007353BB"/>
    <w:rsid w:val="0073609A"/>
    <w:rsid w:val="00741049"/>
    <w:rsid w:val="00742A8D"/>
    <w:rsid w:val="007552A9"/>
    <w:rsid w:val="00761858"/>
    <w:rsid w:val="00767D59"/>
    <w:rsid w:val="00776E97"/>
    <w:rsid w:val="00780FD7"/>
    <w:rsid w:val="007912AD"/>
    <w:rsid w:val="007A1F28"/>
    <w:rsid w:val="007B0824"/>
    <w:rsid w:val="007C28B0"/>
    <w:rsid w:val="007C5368"/>
    <w:rsid w:val="007D0CFC"/>
    <w:rsid w:val="007D565E"/>
    <w:rsid w:val="007D7562"/>
    <w:rsid w:val="007E0E9A"/>
    <w:rsid w:val="00814196"/>
    <w:rsid w:val="008303B8"/>
    <w:rsid w:val="00833DCE"/>
    <w:rsid w:val="00842418"/>
    <w:rsid w:val="00846666"/>
    <w:rsid w:val="00856FA9"/>
    <w:rsid w:val="008634DB"/>
    <w:rsid w:val="00871D34"/>
    <w:rsid w:val="00877DDB"/>
    <w:rsid w:val="008921D0"/>
    <w:rsid w:val="008A033F"/>
    <w:rsid w:val="008A0D48"/>
    <w:rsid w:val="008B270C"/>
    <w:rsid w:val="008C2BFF"/>
    <w:rsid w:val="008C3D3D"/>
    <w:rsid w:val="008C63D4"/>
    <w:rsid w:val="008D4131"/>
    <w:rsid w:val="008D7C3E"/>
    <w:rsid w:val="008E4ED3"/>
    <w:rsid w:val="008F1932"/>
    <w:rsid w:val="008F294D"/>
    <w:rsid w:val="0091337D"/>
    <w:rsid w:val="00916FA7"/>
    <w:rsid w:val="00921062"/>
    <w:rsid w:val="0092618D"/>
    <w:rsid w:val="00927F03"/>
    <w:rsid w:val="0093083E"/>
    <w:rsid w:val="009510DF"/>
    <w:rsid w:val="00961DC8"/>
    <w:rsid w:val="00963953"/>
    <w:rsid w:val="00966ECF"/>
    <w:rsid w:val="009727A3"/>
    <w:rsid w:val="00974003"/>
    <w:rsid w:val="009838FE"/>
    <w:rsid w:val="00987774"/>
    <w:rsid w:val="00991DBA"/>
    <w:rsid w:val="009A11E8"/>
    <w:rsid w:val="009A3E7F"/>
    <w:rsid w:val="009B2D09"/>
    <w:rsid w:val="009B6C45"/>
    <w:rsid w:val="009C142A"/>
    <w:rsid w:val="009C1643"/>
    <w:rsid w:val="009C74C5"/>
    <w:rsid w:val="009D0EA8"/>
    <w:rsid w:val="009D2517"/>
    <w:rsid w:val="009E4E62"/>
    <w:rsid w:val="009F5220"/>
    <w:rsid w:val="009F7C4D"/>
    <w:rsid w:val="00A02D08"/>
    <w:rsid w:val="00A15234"/>
    <w:rsid w:val="00A201AB"/>
    <w:rsid w:val="00A23058"/>
    <w:rsid w:val="00A31C8B"/>
    <w:rsid w:val="00A572AF"/>
    <w:rsid w:val="00A57E6A"/>
    <w:rsid w:val="00A75400"/>
    <w:rsid w:val="00A75965"/>
    <w:rsid w:val="00A75B81"/>
    <w:rsid w:val="00A827CC"/>
    <w:rsid w:val="00A845DC"/>
    <w:rsid w:val="00A97AEE"/>
    <w:rsid w:val="00AC235A"/>
    <w:rsid w:val="00AC31D7"/>
    <w:rsid w:val="00AC5CF6"/>
    <w:rsid w:val="00AD2479"/>
    <w:rsid w:val="00B0096D"/>
    <w:rsid w:val="00B06B8A"/>
    <w:rsid w:val="00B101A4"/>
    <w:rsid w:val="00B144FA"/>
    <w:rsid w:val="00B16F58"/>
    <w:rsid w:val="00B2567A"/>
    <w:rsid w:val="00B26BAE"/>
    <w:rsid w:val="00B30648"/>
    <w:rsid w:val="00B33772"/>
    <w:rsid w:val="00B3524D"/>
    <w:rsid w:val="00B36A26"/>
    <w:rsid w:val="00B40B20"/>
    <w:rsid w:val="00B40F69"/>
    <w:rsid w:val="00B46616"/>
    <w:rsid w:val="00B5034A"/>
    <w:rsid w:val="00B57048"/>
    <w:rsid w:val="00B610E3"/>
    <w:rsid w:val="00B61205"/>
    <w:rsid w:val="00B617C4"/>
    <w:rsid w:val="00B626FA"/>
    <w:rsid w:val="00B7040A"/>
    <w:rsid w:val="00B71277"/>
    <w:rsid w:val="00B768CA"/>
    <w:rsid w:val="00B93FCC"/>
    <w:rsid w:val="00B96FA0"/>
    <w:rsid w:val="00BD4196"/>
    <w:rsid w:val="00BE5270"/>
    <w:rsid w:val="00BE77AA"/>
    <w:rsid w:val="00BF22CA"/>
    <w:rsid w:val="00C06E2D"/>
    <w:rsid w:val="00C26032"/>
    <w:rsid w:val="00C265B0"/>
    <w:rsid w:val="00C312F9"/>
    <w:rsid w:val="00C321B5"/>
    <w:rsid w:val="00C345E1"/>
    <w:rsid w:val="00C423C9"/>
    <w:rsid w:val="00C44EFB"/>
    <w:rsid w:val="00C541CB"/>
    <w:rsid w:val="00C753EE"/>
    <w:rsid w:val="00C77259"/>
    <w:rsid w:val="00C81B5E"/>
    <w:rsid w:val="00C94CDD"/>
    <w:rsid w:val="00C977BA"/>
    <w:rsid w:val="00CB4A10"/>
    <w:rsid w:val="00CB6E35"/>
    <w:rsid w:val="00CB6E42"/>
    <w:rsid w:val="00CC3436"/>
    <w:rsid w:val="00CC58F2"/>
    <w:rsid w:val="00CC6E9E"/>
    <w:rsid w:val="00CE1A46"/>
    <w:rsid w:val="00CE26B2"/>
    <w:rsid w:val="00CE3996"/>
    <w:rsid w:val="00CE5122"/>
    <w:rsid w:val="00CF253F"/>
    <w:rsid w:val="00CF56B4"/>
    <w:rsid w:val="00CF7EAD"/>
    <w:rsid w:val="00D15430"/>
    <w:rsid w:val="00D162DB"/>
    <w:rsid w:val="00D20F09"/>
    <w:rsid w:val="00D22636"/>
    <w:rsid w:val="00D40FD9"/>
    <w:rsid w:val="00D46358"/>
    <w:rsid w:val="00D5124A"/>
    <w:rsid w:val="00D53769"/>
    <w:rsid w:val="00D60827"/>
    <w:rsid w:val="00D65912"/>
    <w:rsid w:val="00D85705"/>
    <w:rsid w:val="00D85C13"/>
    <w:rsid w:val="00D91BE3"/>
    <w:rsid w:val="00D923E0"/>
    <w:rsid w:val="00D94AFC"/>
    <w:rsid w:val="00DA084F"/>
    <w:rsid w:val="00DA4029"/>
    <w:rsid w:val="00DB70AE"/>
    <w:rsid w:val="00DB7231"/>
    <w:rsid w:val="00DD446E"/>
    <w:rsid w:val="00DD5071"/>
    <w:rsid w:val="00DD5C39"/>
    <w:rsid w:val="00DD7755"/>
    <w:rsid w:val="00DE26AF"/>
    <w:rsid w:val="00DE4D7B"/>
    <w:rsid w:val="00DE7DB7"/>
    <w:rsid w:val="00E00A0A"/>
    <w:rsid w:val="00E07F57"/>
    <w:rsid w:val="00E1040E"/>
    <w:rsid w:val="00E1193E"/>
    <w:rsid w:val="00E23B71"/>
    <w:rsid w:val="00E36BEC"/>
    <w:rsid w:val="00E50BCE"/>
    <w:rsid w:val="00E61292"/>
    <w:rsid w:val="00E71567"/>
    <w:rsid w:val="00E76309"/>
    <w:rsid w:val="00E77C4D"/>
    <w:rsid w:val="00E81D01"/>
    <w:rsid w:val="00E93FDA"/>
    <w:rsid w:val="00EA4C45"/>
    <w:rsid w:val="00EE45D8"/>
    <w:rsid w:val="00F004CD"/>
    <w:rsid w:val="00F02062"/>
    <w:rsid w:val="00F0479F"/>
    <w:rsid w:val="00F05008"/>
    <w:rsid w:val="00F20604"/>
    <w:rsid w:val="00F22A22"/>
    <w:rsid w:val="00F22EDA"/>
    <w:rsid w:val="00F3224D"/>
    <w:rsid w:val="00F33E0E"/>
    <w:rsid w:val="00F51D3D"/>
    <w:rsid w:val="00F5664C"/>
    <w:rsid w:val="00F574B1"/>
    <w:rsid w:val="00F72D70"/>
    <w:rsid w:val="00F7453B"/>
    <w:rsid w:val="00FA2A3A"/>
    <w:rsid w:val="00FA2D0A"/>
    <w:rsid w:val="00FB7E80"/>
    <w:rsid w:val="00FC55CF"/>
    <w:rsid w:val="00FC71EC"/>
    <w:rsid w:val="00FE2B22"/>
    <w:rsid w:val="00FE3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93ED3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1D1159"/>
    <w:rPr>
      <w:sz w:val="16"/>
      <w:szCs w:val="16"/>
    </w:rPr>
  </w:style>
  <w:style w:type="paragraph" w:styleId="CommentText">
    <w:name w:val="annotation text"/>
    <w:basedOn w:val="Normal"/>
    <w:link w:val="CommentTextChar"/>
    <w:rsid w:val="001D1159"/>
    <w:rPr>
      <w:sz w:val="20"/>
      <w:szCs w:val="20"/>
    </w:rPr>
  </w:style>
  <w:style w:type="character" w:customStyle="1" w:styleId="CommentTextChar">
    <w:name w:val="Comment Text Char"/>
    <w:basedOn w:val="DefaultParagraphFont"/>
    <w:link w:val="CommentText"/>
    <w:rsid w:val="001D1159"/>
  </w:style>
  <w:style w:type="paragraph" w:styleId="CommentSubject">
    <w:name w:val="annotation subject"/>
    <w:basedOn w:val="CommentText"/>
    <w:next w:val="CommentText"/>
    <w:link w:val="CommentSubjectChar"/>
    <w:rsid w:val="001D1159"/>
    <w:rPr>
      <w:b/>
      <w:bCs/>
    </w:rPr>
  </w:style>
  <w:style w:type="character" w:customStyle="1" w:styleId="CommentSubjectChar">
    <w:name w:val="Comment Subject Char"/>
    <w:link w:val="CommentSubject"/>
    <w:rsid w:val="001D1159"/>
    <w:rPr>
      <w:b/>
      <w:bCs/>
    </w:rPr>
  </w:style>
  <w:style w:type="paragraph" w:styleId="ListParagraph">
    <w:name w:val="List Paragraph"/>
    <w:basedOn w:val="Normal"/>
    <w:uiPriority w:val="34"/>
    <w:qFormat/>
    <w:rsid w:val="008C2BFF"/>
    <w:pPr>
      <w:ind w:left="720"/>
    </w:pPr>
  </w:style>
  <w:style w:type="paragraph" w:customStyle="1" w:styleId="legrhs1">
    <w:name w:val="legrhs1"/>
    <w:basedOn w:val="Normal"/>
    <w:rsid w:val="003D6528"/>
    <w:pPr>
      <w:shd w:val="clear" w:color="auto" w:fill="FFFFFF"/>
      <w:spacing w:after="120" w:line="360" w:lineRule="atLeast"/>
      <w:jc w:val="both"/>
    </w:pPr>
    <w:rPr>
      <w:color w:val="000000"/>
      <w:sz w:val="19"/>
      <w:szCs w:val="19"/>
    </w:rPr>
  </w:style>
  <w:style w:type="character" w:customStyle="1" w:styleId="legamendingtext">
    <w:name w:val="legamendingtext"/>
    <w:rsid w:val="003D6528"/>
  </w:style>
  <w:style w:type="paragraph" w:customStyle="1" w:styleId="legclearfix2">
    <w:name w:val="legclearfix2"/>
    <w:basedOn w:val="Normal"/>
    <w:rsid w:val="003D6528"/>
    <w:pPr>
      <w:shd w:val="clear" w:color="auto" w:fill="FFFFFF"/>
      <w:spacing w:after="120" w:line="360" w:lineRule="atLeast"/>
    </w:pPr>
    <w:rPr>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3A074-421D-409F-A76C-14F40ECC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4999</Words>
  <Characters>28495</Characters>
  <Application>Microsoft Office Word</Application>
  <DocSecurity>0</DocSecurity>
  <Lines>237</Lines>
  <Paragraphs>66</Paragraphs>
  <ScaleCrop>false</ScaleCrop>
  <Company/>
  <LinksUpToDate>false</LinksUpToDate>
  <CharactersWithSpaces>33428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2018-08-20T14:19:00Z</dcterms:created>
  <dcterms:modified xsi:type="dcterms:W3CDTF">2018-08-20T14:19:00Z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