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4A716E" w:rsidRDefault="00194C06" w:rsidP="00A842AA">
      <w:pPr>
        <w:jc w:val="center"/>
        <w:rPr>
          <w:rFonts w:ascii="Book Antiqua" w:hAnsi="Book Antiqua" w:cs="Arial"/>
          <w:caps/>
          <w:color w:val="000000"/>
          <w:sz w:val="16"/>
          <w:szCs w:val="16"/>
        </w:rPr>
      </w:pPr>
      <w:r w:rsidRPr="004A716E">
        <w:rPr>
          <w:noProof/>
          <w:sz w:val="16"/>
          <w:szCs w:val="16"/>
        </w:rPr>
        <w:drawing>
          <wp:inline distT="0" distB="0" distL="0" distR="0" wp14:anchorId="6355B2C5" wp14:editId="69B82A99">
            <wp:extent cx="104521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6780"/>
                    </a:xfrm>
                    <a:prstGeom prst="rect">
                      <a:avLst/>
                    </a:prstGeom>
                    <a:noFill/>
                    <a:ln>
                      <a:noFill/>
                    </a:ln>
                  </pic:spPr>
                </pic:pic>
              </a:graphicData>
            </a:graphic>
          </wp:inline>
        </w:drawing>
      </w:r>
    </w:p>
    <w:p w:rsidR="00D94AFC" w:rsidRPr="004A716E" w:rsidRDefault="00D94AFC">
      <w:pPr>
        <w:rPr>
          <w:rFonts w:ascii="Book Antiqua" w:hAnsi="Book Antiqua" w:cs="Arial"/>
          <w:color w:val="000000"/>
          <w:sz w:val="16"/>
          <w:szCs w:val="16"/>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6934C4">
        <w:rPr>
          <w:rFonts w:ascii="Book Antiqua" w:hAnsi="Book Antiqua" w:cs="Arial"/>
          <w:caps/>
          <w:color w:val="000000"/>
        </w:rPr>
        <w:t>HU</w:t>
      </w:r>
      <w:r w:rsidR="004A716E">
        <w:rPr>
          <w:rFonts w:ascii="Book Antiqua" w:hAnsi="Book Antiqua" w:cs="Arial"/>
          <w:caps/>
          <w:color w:val="000000"/>
        </w:rPr>
        <w:t>/</w:t>
      </w:r>
      <w:r w:rsidR="006934C4">
        <w:rPr>
          <w:rFonts w:ascii="Book Antiqua" w:hAnsi="Book Antiqua" w:cs="Arial"/>
          <w:caps/>
          <w:color w:val="000000"/>
        </w:rPr>
        <w:t>02033</w:t>
      </w:r>
      <w:r w:rsidR="004A716E">
        <w:rPr>
          <w:rFonts w:ascii="Book Antiqua" w:hAnsi="Book Antiqua" w:cs="Arial"/>
          <w:caps/>
          <w:color w:val="000000"/>
        </w:rPr>
        <w:t>/</w:t>
      </w:r>
      <w:r w:rsidR="006934C4">
        <w:rPr>
          <w:rFonts w:ascii="Book Antiqua" w:hAnsi="Book Antiqua" w:cs="Arial"/>
          <w:caps/>
          <w:color w:val="000000"/>
        </w:rPr>
        <w:t>2016</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6934C4">
              <w:rPr>
                <w:rFonts w:ascii="Book Antiqua" w:hAnsi="Book Antiqua" w:cs="Arial"/>
                <w:b/>
              </w:rPr>
              <w:t>Field House</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6934C4">
              <w:rPr>
                <w:rFonts w:ascii="Book Antiqua" w:hAnsi="Book Antiqua" w:cs="Arial"/>
                <w:b/>
              </w:rPr>
              <w:t>23 January 2018</w:t>
            </w:r>
          </w:p>
        </w:tc>
        <w:tc>
          <w:tcPr>
            <w:tcW w:w="3960" w:type="dxa"/>
          </w:tcPr>
          <w:p w:rsidR="00D22636" w:rsidRPr="00AC04A0" w:rsidRDefault="00304546" w:rsidP="004A1848">
            <w:pPr>
              <w:jc w:val="both"/>
              <w:rPr>
                <w:rFonts w:ascii="Book Antiqua" w:hAnsi="Book Antiqua" w:cs="Arial"/>
                <w:b/>
              </w:rPr>
            </w:pPr>
            <w:r>
              <w:rPr>
                <w:rFonts w:ascii="Book Antiqua" w:hAnsi="Book Antiqua" w:cs="Arial"/>
                <w:b/>
              </w:rPr>
              <w:t>On 21 May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6934C4" w:rsidRPr="00AC04A0" w:rsidRDefault="006934C4" w:rsidP="00A15234">
      <w:pPr>
        <w:jc w:val="center"/>
        <w:rPr>
          <w:rFonts w:ascii="Book Antiqua" w:hAnsi="Book Antiqua" w:cs="Arial"/>
          <w:b/>
          <w:color w:val="000000"/>
        </w:rPr>
      </w:pPr>
      <w:r>
        <w:rPr>
          <w:rFonts w:ascii="Book Antiqua" w:hAnsi="Book Antiqua" w:cs="Arial"/>
          <w:b/>
          <w:color w:val="000000"/>
        </w:rPr>
        <w:t>DEPUTY UPPER TRIBUNAL JUDGE JUSS</w:t>
      </w:r>
    </w:p>
    <w:p w:rsidR="00D20757" w:rsidRDefault="00D20757" w:rsidP="00A15234">
      <w:pPr>
        <w:jc w:val="center"/>
        <w:rPr>
          <w:rFonts w:ascii="Book Antiqua" w:hAnsi="Book Antiqua" w:cs="Arial"/>
          <w:b/>
        </w:rPr>
      </w:pPr>
    </w:p>
    <w:p w:rsidR="004A716E" w:rsidRPr="00AC04A0" w:rsidRDefault="004A716E"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6934C4" w:rsidRPr="00AC04A0" w:rsidRDefault="008941A4" w:rsidP="006934C4">
      <w:pPr>
        <w:jc w:val="center"/>
        <w:rPr>
          <w:rFonts w:ascii="Book Antiqua" w:hAnsi="Book Antiqua" w:cs="Arial"/>
          <w:b/>
        </w:rPr>
      </w:pPr>
      <w:r>
        <w:rPr>
          <w:rFonts w:ascii="Book Antiqua" w:hAnsi="Book Antiqua" w:cs="Arial"/>
          <w:b/>
        </w:rPr>
        <w:t>SECRETARY OF STATE FOR THE HOME DEPARTMENT</w:t>
      </w:r>
      <w:r w:rsidRPr="00AC04A0">
        <w:rPr>
          <w:rFonts w:ascii="Book Antiqua" w:hAnsi="Book Antiqua" w:cs="Arial"/>
          <w:b/>
        </w:rPr>
        <w:t xml:space="preserve"> </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6934C4" w:rsidRDefault="006934C4" w:rsidP="006934C4">
      <w:pPr>
        <w:jc w:val="center"/>
        <w:rPr>
          <w:rFonts w:ascii="Book Antiqua" w:hAnsi="Book Antiqua" w:cs="Arial"/>
          <w:b/>
          <w:caps/>
        </w:rPr>
      </w:pPr>
      <w:r>
        <w:rPr>
          <w:rFonts w:ascii="Book Antiqua" w:hAnsi="Book Antiqua" w:cs="Arial"/>
          <w:b/>
          <w:caps/>
        </w:rPr>
        <w:t>shah khalid</w:t>
      </w:r>
    </w:p>
    <w:p w:rsidR="006934C4" w:rsidRDefault="006934C4" w:rsidP="006934C4">
      <w:pPr>
        <w:jc w:val="center"/>
        <w:rPr>
          <w:rFonts w:ascii="Book Antiqua" w:hAnsi="Book Antiqua" w:cs="Arial"/>
          <w:b/>
          <w:caps/>
        </w:rPr>
      </w:pPr>
      <w:r w:rsidRPr="009F14B8">
        <w:rPr>
          <w:rFonts w:ascii="Book Antiqua" w:hAnsi="Book Antiqua" w:cs="Arial"/>
          <w:b/>
          <w:caps/>
        </w:rPr>
        <w:t xml:space="preserve">(ANONYMITY DIRECTION </w:t>
      </w:r>
      <w:r w:rsidR="008941A4">
        <w:rPr>
          <w:rFonts w:ascii="Book Antiqua" w:hAnsi="Book Antiqua" w:cs="Arial"/>
          <w:b/>
          <w:caps/>
        </w:rPr>
        <w:t>NOT MADE</w:t>
      </w:r>
      <w:r w:rsidRPr="009F14B8">
        <w:rPr>
          <w:rFonts w:ascii="Book Antiqua" w:hAnsi="Book Antiqua" w:cs="Arial"/>
          <w:b/>
          <w:caps/>
        </w:rPr>
        <w: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Default="00DD5071" w:rsidP="00DD5071">
      <w:pPr>
        <w:rPr>
          <w:rFonts w:ascii="Book Antiqua" w:hAnsi="Book Antiqua" w:cs="Arial"/>
          <w:u w:val="single"/>
        </w:rPr>
      </w:pPr>
    </w:p>
    <w:p w:rsidR="004A716E" w:rsidRPr="00AC04A0" w:rsidRDefault="004A716E" w:rsidP="00DD5071">
      <w:pPr>
        <w:rPr>
          <w:rFonts w:ascii="Book Antiqua" w:hAnsi="Book Antiqua" w:cs="Arial"/>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6934C4">
        <w:rPr>
          <w:rFonts w:ascii="Book Antiqua" w:hAnsi="Book Antiqua" w:cs="Arial"/>
        </w:rPr>
        <w:t>Ms A Everett, Senior Home Office Presenting Officer</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6934C4">
        <w:rPr>
          <w:rFonts w:ascii="Book Antiqua" w:hAnsi="Book Antiqua" w:cs="Arial"/>
        </w:rPr>
        <w:t>Mr P Skinner, Counsel instructed by ATM Solicitors</w:t>
      </w:r>
    </w:p>
    <w:p w:rsidR="00DE7DB7" w:rsidRPr="008941A4" w:rsidRDefault="009F14B8" w:rsidP="008941A4">
      <w:pPr>
        <w:tabs>
          <w:tab w:val="left" w:pos="2520"/>
        </w:tabs>
        <w:spacing w:before="100" w:beforeAutospacing="1" w:after="100" w:afterAutospacing="1"/>
        <w:jc w:val="center"/>
        <w:rPr>
          <w:rFonts w:ascii="Book Antiqua" w:hAnsi="Book Antiqua" w:cs="Arial"/>
          <w:sz w:val="28"/>
          <w:szCs w:val="28"/>
        </w:rPr>
      </w:pPr>
      <w:r w:rsidRPr="008941A4">
        <w:rPr>
          <w:rFonts w:ascii="Book Antiqua" w:hAnsi="Book Antiqua" w:cs="Arial"/>
          <w:b/>
          <w:sz w:val="28"/>
          <w:szCs w:val="28"/>
          <w:u w:val="single"/>
        </w:rPr>
        <w:t xml:space="preserve">DECISION </w:t>
      </w:r>
      <w:r w:rsidR="00402B9E" w:rsidRPr="008941A4">
        <w:rPr>
          <w:rFonts w:ascii="Book Antiqua" w:hAnsi="Book Antiqua" w:cs="Arial"/>
          <w:b/>
          <w:sz w:val="28"/>
          <w:szCs w:val="28"/>
          <w:u w:val="single"/>
        </w:rPr>
        <w:t>AND REASONS</w:t>
      </w:r>
    </w:p>
    <w:p w:rsidR="008941A4" w:rsidRDefault="006934C4" w:rsidP="00B37FDE">
      <w:pPr>
        <w:pStyle w:val="ListParagraph"/>
        <w:numPr>
          <w:ilvl w:val="0"/>
          <w:numId w:val="2"/>
        </w:numPr>
        <w:tabs>
          <w:tab w:val="left" w:pos="0"/>
        </w:tabs>
        <w:spacing w:before="120"/>
        <w:ind w:left="0" w:hanging="431"/>
        <w:contextualSpacing w:val="0"/>
        <w:jc w:val="both"/>
        <w:rPr>
          <w:rFonts w:ascii="Book Antiqua" w:hAnsi="Book Antiqua" w:cs="Arial"/>
        </w:rPr>
      </w:pPr>
      <w:r w:rsidRPr="008941A4">
        <w:rPr>
          <w:rFonts w:ascii="Book Antiqua" w:hAnsi="Book Antiqua" w:cs="Arial"/>
        </w:rPr>
        <w:t>This is an appeal by the Secretary of State against the decision of the First-tier Tribunal to allow the appeal of the respondent, hereinafter “the claimant”</w:t>
      </w:r>
      <w:r w:rsidR="001B103A">
        <w:rPr>
          <w:rFonts w:ascii="Book Antiqua" w:hAnsi="Book Antiqua" w:cs="Arial"/>
        </w:rPr>
        <w:t>, against a decision of the Secretary of State</w:t>
      </w:r>
      <w:r w:rsidRPr="008941A4">
        <w:rPr>
          <w:rFonts w:ascii="Book Antiqua" w:hAnsi="Book Antiqua" w:cs="Arial"/>
        </w:rPr>
        <w:t xml:space="preserve"> on 8 January 2016 to refuse him leave to remain on human rights grounds.</w:t>
      </w:r>
    </w:p>
    <w:p w:rsidR="008941A4" w:rsidRDefault="006934C4" w:rsidP="00B37FDE">
      <w:pPr>
        <w:pStyle w:val="ListParagraph"/>
        <w:numPr>
          <w:ilvl w:val="0"/>
          <w:numId w:val="2"/>
        </w:numPr>
        <w:tabs>
          <w:tab w:val="left" w:pos="0"/>
        </w:tabs>
        <w:spacing w:before="120"/>
        <w:ind w:left="0" w:hanging="431"/>
        <w:contextualSpacing w:val="0"/>
        <w:jc w:val="both"/>
        <w:rPr>
          <w:rFonts w:ascii="Book Antiqua" w:hAnsi="Book Antiqua" w:cs="Arial"/>
        </w:rPr>
      </w:pPr>
      <w:r w:rsidRPr="008941A4">
        <w:rPr>
          <w:rFonts w:ascii="Book Antiqua" w:hAnsi="Book Antiqua" w:cs="Arial"/>
        </w:rPr>
        <w:t>The claimant is a citizen of Pakistan who has lived in the United Kingdom since August 2011.  He had p</w:t>
      </w:r>
      <w:r w:rsidR="00403A9E" w:rsidRPr="008941A4">
        <w:rPr>
          <w:rFonts w:ascii="Book Antiqua" w:hAnsi="Book Antiqua" w:cs="Arial"/>
        </w:rPr>
        <w:t>ermission</w:t>
      </w:r>
      <w:r w:rsidRPr="008941A4">
        <w:rPr>
          <w:rFonts w:ascii="Book Antiqua" w:hAnsi="Book Antiqua" w:cs="Arial"/>
        </w:rPr>
        <w:t xml:space="preserve"> as a student but his leave was curtailed to end on 28 August 2015.  On that day he applied for leave to remain as the husband of a person present and settled in the United Kingdom.</w:t>
      </w:r>
      <w:r w:rsidR="008430F1" w:rsidRPr="008941A4">
        <w:rPr>
          <w:rFonts w:ascii="Book Antiqua" w:hAnsi="Book Antiqua" w:cs="Arial"/>
        </w:rPr>
        <w:t xml:space="preserve">  The </w:t>
      </w:r>
      <w:r w:rsidR="008941A4">
        <w:rPr>
          <w:rFonts w:ascii="Book Antiqua" w:hAnsi="Book Antiqua" w:cs="Arial"/>
        </w:rPr>
        <w:t>claimant</w:t>
      </w:r>
      <w:r w:rsidR="008430F1" w:rsidRPr="008941A4">
        <w:rPr>
          <w:rFonts w:ascii="Book Antiqua" w:hAnsi="Book Antiqua" w:cs="Arial"/>
        </w:rPr>
        <w:t xml:space="preserve">’s wife is a citizen of Afghanistan.  She came to the </w:t>
      </w:r>
      <w:r w:rsidR="008430F1" w:rsidRPr="008941A4">
        <w:rPr>
          <w:rFonts w:ascii="Book Antiqua" w:hAnsi="Book Antiqua" w:cs="Arial"/>
        </w:rPr>
        <w:lastRenderedPageBreak/>
        <w:t>United Kingdom in 2011 after her father had been recognised as a refugee.  The claimant’s wife is not a refugee but she has indefinite leave to remain.</w:t>
      </w:r>
    </w:p>
    <w:p w:rsidR="008941A4" w:rsidRDefault="008430F1" w:rsidP="00B37FDE">
      <w:pPr>
        <w:pStyle w:val="ListParagraph"/>
        <w:numPr>
          <w:ilvl w:val="0"/>
          <w:numId w:val="2"/>
        </w:numPr>
        <w:tabs>
          <w:tab w:val="left" w:pos="0"/>
        </w:tabs>
        <w:spacing w:before="120"/>
        <w:ind w:left="0" w:hanging="431"/>
        <w:contextualSpacing w:val="0"/>
        <w:jc w:val="both"/>
        <w:rPr>
          <w:rFonts w:ascii="Book Antiqua" w:hAnsi="Book Antiqua" w:cs="Arial"/>
        </w:rPr>
      </w:pPr>
      <w:r w:rsidRPr="008941A4">
        <w:rPr>
          <w:rFonts w:ascii="Book Antiqua" w:hAnsi="Book Antiqua" w:cs="Arial"/>
        </w:rPr>
        <w:t>The claimant married his wife in October 2014.</w:t>
      </w:r>
    </w:p>
    <w:p w:rsidR="008941A4" w:rsidRDefault="008430F1" w:rsidP="00B37FDE">
      <w:pPr>
        <w:pStyle w:val="ListParagraph"/>
        <w:numPr>
          <w:ilvl w:val="0"/>
          <w:numId w:val="2"/>
        </w:numPr>
        <w:tabs>
          <w:tab w:val="left" w:pos="0"/>
        </w:tabs>
        <w:spacing w:before="120"/>
        <w:ind w:left="0" w:hanging="431"/>
        <w:contextualSpacing w:val="0"/>
        <w:jc w:val="both"/>
        <w:rPr>
          <w:rFonts w:ascii="Book Antiqua" w:hAnsi="Book Antiqua" w:cs="Arial"/>
        </w:rPr>
      </w:pPr>
      <w:r w:rsidRPr="008941A4">
        <w:rPr>
          <w:rFonts w:ascii="Book Antiqua" w:hAnsi="Book Antiqua" w:cs="Arial"/>
        </w:rPr>
        <w:t>We have the benefit of appropriately brief grounds in support of the Secretary of State’s case and a detailed Rule 24 notice settled by Mr Skinner as well as all the submissions from both parties.</w:t>
      </w:r>
    </w:p>
    <w:p w:rsidR="008941A4" w:rsidRDefault="008430F1" w:rsidP="00B37FDE">
      <w:pPr>
        <w:pStyle w:val="ListParagraph"/>
        <w:numPr>
          <w:ilvl w:val="0"/>
          <w:numId w:val="2"/>
        </w:numPr>
        <w:tabs>
          <w:tab w:val="left" w:pos="0"/>
        </w:tabs>
        <w:spacing w:before="120"/>
        <w:ind w:left="0" w:hanging="431"/>
        <w:contextualSpacing w:val="0"/>
        <w:jc w:val="both"/>
        <w:rPr>
          <w:rFonts w:ascii="Book Antiqua" w:hAnsi="Book Antiqua" w:cs="Arial"/>
        </w:rPr>
      </w:pPr>
      <w:r w:rsidRPr="008941A4">
        <w:rPr>
          <w:rFonts w:ascii="Book Antiqua" w:hAnsi="Book Antiqua" w:cs="Arial"/>
        </w:rPr>
        <w:t>We begin by considering the First-tier Tribunal’s decision.</w:t>
      </w:r>
    </w:p>
    <w:p w:rsidR="008941A4" w:rsidRDefault="008430F1" w:rsidP="00B37FDE">
      <w:pPr>
        <w:pStyle w:val="ListParagraph"/>
        <w:numPr>
          <w:ilvl w:val="0"/>
          <w:numId w:val="2"/>
        </w:numPr>
        <w:tabs>
          <w:tab w:val="left" w:pos="0"/>
        </w:tabs>
        <w:spacing w:before="120"/>
        <w:ind w:left="0" w:hanging="431"/>
        <w:contextualSpacing w:val="0"/>
        <w:jc w:val="both"/>
        <w:rPr>
          <w:rFonts w:ascii="Book Antiqua" w:hAnsi="Book Antiqua" w:cs="Arial"/>
        </w:rPr>
      </w:pPr>
      <w:r w:rsidRPr="008941A4">
        <w:rPr>
          <w:rFonts w:ascii="Book Antiqua" w:hAnsi="Book Antiqua" w:cs="Arial"/>
        </w:rPr>
        <w:t>Although correctly reminding himself that he was deciding an</w:t>
      </w:r>
      <w:r w:rsidR="008941A4">
        <w:rPr>
          <w:rFonts w:ascii="Book Antiqua" w:hAnsi="Book Antiqua" w:cs="Arial"/>
        </w:rPr>
        <w:t xml:space="preserve"> </w:t>
      </w:r>
      <w:r w:rsidRPr="008941A4">
        <w:rPr>
          <w:rFonts w:ascii="Book Antiqua" w:hAnsi="Book Antiqua" w:cs="Arial"/>
        </w:rPr>
        <w:t xml:space="preserve">appeal </w:t>
      </w:r>
      <w:r w:rsidR="008941A4">
        <w:rPr>
          <w:rFonts w:ascii="Book Antiqua" w:hAnsi="Book Antiqua" w:cs="Arial"/>
        </w:rPr>
        <w:t xml:space="preserve">relying solely on human rights grounds </w:t>
      </w:r>
      <w:r w:rsidRPr="008941A4">
        <w:rPr>
          <w:rFonts w:ascii="Book Antiqua" w:hAnsi="Book Antiqua" w:cs="Arial"/>
        </w:rPr>
        <w:t>the judge looked to the Immigration Rules to see if any ability to satisfy the Rules illuminated his considerations.</w:t>
      </w:r>
    </w:p>
    <w:p w:rsidR="004231BC" w:rsidRDefault="008430F1" w:rsidP="00B37FDE">
      <w:pPr>
        <w:pStyle w:val="ListParagraph"/>
        <w:numPr>
          <w:ilvl w:val="0"/>
          <w:numId w:val="2"/>
        </w:numPr>
        <w:tabs>
          <w:tab w:val="left" w:pos="0"/>
        </w:tabs>
        <w:spacing w:before="120"/>
        <w:ind w:left="0" w:hanging="431"/>
        <w:contextualSpacing w:val="0"/>
        <w:jc w:val="both"/>
        <w:rPr>
          <w:rFonts w:ascii="Book Antiqua" w:hAnsi="Book Antiqua" w:cs="Arial"/>
        </w:rPr>
      </w:pPr>
      <w:r w:rsidRPr="008941A4">
        <w:rPr>
          <w:rFonts w:ascii="Book Antiqua" w:hAnsi="Book Antiqua" w:cs="Arial"/>
        </w:rPr>
        <w:t xml:space="preserve">The application was refused under the Rules because the claimant’s wife had not been earning sufficient money for sufficient time to show </w:t>
      </w:r>
      <w:r w:rsidR="008941A4">
        <w:rPr>
          <w:rFonts w:ascii="Book Antiqua" w:hAnsi="Book Antiqua" w:cs="Arial"/>
        </w:rPr>
        <w:t xml:space="preserve">in the required way </w:t>
      </w:r>
      <w:r w:rsidRPr="008941A4">
        <w:rPr>
          <w:rFonts w:ascii="Book Antiqua" w:hAnsi="Book Antiqua" w:cs="Arial"/>
        </w:rPr>
        <w:t>that she had a gross annual income of at least £18,600.  With respect to the Secretary of State th</w:t>
      </w:r>
      <w:r w:rsidR="008941A4">
        <w:rPr>
          <w:rFonts w:ascii="Book Antiqua" w:hAnsi="Book Antiqua" w:cs="Arial"/>
        </w:rPr>
        <w:t xml:space="preserve">e </w:t>
      </w:r>
      <w:r w:rsidRPr="008941A4">
        <w:rPr>
          <w:rFonts w:ascii="Book Antiqua" w:hAnsi="Book Antiqua" w:cs="Arial"/>
        </w:rPr>
        <w:t xml:space="preserve">decision under the Rules was clearly correct and was a consequence of the claimant’s wife having worked for a fairly short period of time.  By the time the case came before the First-tier Tribunal the claimant’s wife had been working for something like eighteen months and had clearly established an ability to hold down a job.  It was never suggested </w:t>
      </w:r>
      <w:r w:rsidR="008941A4">
        <w:rPr>
          <w:rFonts w:ascii="Book Antiqua" w:hAnsi="Book Antiqua" w:cs="Arial"/>
        </w:rPr>
        <w:t xml:space="preserve">that </w:t>
      </w:r>
      <w:r w:rsidRPr="008941A4">
        <w:rPr>
          <w:rFonts w:ascii="Book Antiqua" w:hAnsi="Book Antiqua" w:cs="Arial"/>
        </w:rPr>
        <w:t>the</w:t>
      </w:r>
      <w:r w:rsidR="008941A4">
        <w:rPr>
          <w:rFonts w:ascii="Book Antiqua" w:hAnsi="Book Antiqua" w:cs="Arial"/>
        </w:rPr>
        <w:t xml:space="preserve"> </w:t>
      </w:r>
      <w:r w:rsidRPr="008941A4">
        <w:rPr>
          <w:rFonts w:ascii="Book Antiqua" w:hAnsi="Book Antiqua" w:cs="Arial"/>
        </w:rPr>
        <w:t xml:space="preserve">relationship </w:t>
      </w:r>
      <w:r w:rsidR="008941A4">
        <w:rPr>
          <w:rFonts w:ascii="Book Antiqua" w:hAnsi="Book Antiqua" w:cs="Arial"/>
        </w:rPr>
        <w:t>between the claimant and is wife i</w:t>
      </w:r>
      <w:r w:rsidRPr="008941A4">
        <w:rPr>
          <w:rFonts w:ascii="Book Antiqua" w:hAnsi="Book Antiqua" w:cs="Arial"/>
        </w:rPr>
        <w:t xml:space="preserve">s other than genuine </w:t>
      </w:r>
      <w:r w:rsidR="008941A4">
        <w:rPr>
          <w:rFonts w:ascii="Book Antiqua" w:hAnsi="Book Antiqua" w:cs="Arial"/>
        </w:rPr>
        <w:t xml:space="preserve">and subsisting </w:t>
      </w:r>
      <w:r w:rsidRPr="008941A4">
        <w:rPr>
          <w:rFonts w:ascii="Book Antiqua" w:hAnsi="Book Antiqua" w:cs="Arial"/>
        </w:rPr>
        <w:t xml:space="preserve">and if the </w:t>
      </w:r>
      <w:r w:rsidR="0002319A">
        <w:rPr>
          <w:rFonts w:ascii="Book Antiqua" w:hAnsi="Book Antiqua" w:cs="Arial"/>
        </w:rPr>
        <w:t xml:space="preserve">claimant </w:t>
      </w:r>
      <w:r w:rsidR="0002319A" w:rsidRPr="008941A4">
        <w:rPr>
          <w:rFonts w:ascii="Book Antiqua" w:hAnsi="Book Antiqua" w:cs="Arial"/>
        </w:rPr>
        <w:t>could</w:t>
      </w:r>
      <w:r w:rsidRPr="008941A4">
        <w:rPr>
          <w:rFonts w:ascii="Book Antiqua" w:hAnsi="Book Antiqua" w:cs="Arial"/>
        </w:rPr>
        <w:t xml:space="preserve"> have </w:t>
      </w:r>
      <w:r w:rsidR="008941A4">
        <w:rPr>
          <w:rFonts w:ascii="Book Antiqua" w:hAnsi="Book Antiqua" w:cs="Arial"/>
        </w:rPr>
        <w:t xml:space="preserve">delayed applying for </w:t>
      </w:r>
      <w:r w:rsidR="004231BC">
        <w:rPr>
          <w:rFonts w:ascii="Book Antiqua" w:hAnsi="Book Antiqua" w:cs="Arial"/>
        </w:rPr>
        <w:t xml:space="preserve">leave as her husband until she had established her work record then the application </w:t>
      </w:r>
      <w:r w:rsidRPr="008941A4">
        <w:rPr>
          <w:rFonts w:ascii="Book Antiqua" w:hAnsi="Book Antiqua" w:cs="Arial"/>
        </w:rPr>
        <w:t>would almost certainly have been successful.  However</w:t>
      </w:r>
      <w:r w:rsidR="00403A9E" w:rsidRPr="008941A4">
        <w:rPr>
          <w:rFonts w:ascii="Book Antiqua" w:hAnsi="Book Antiqua" w:cs="Arial"/>
        </w:rPr>
        <w:t>,</w:t>
      </w:r>
      <w:r w:rsidRPr="008941A4">
        <w:rPr>
          <w:rFonts w:ascii="Book Antiqua" w:hAnsi="Book Antiqua" w:cs="Arial"/>
        </w:rPr>
        <w:t xml:space="preserve"> that by no means answers the </w:t>
      </w:r>
      <w:r w:rsidR="004231BC">
        <w:rPr>
          <w:rFonts w:ascii="Book Antiqua" w:hAnsi="Book Antiqua" w:cs="Arial"/>
        </w:rPr>
        <w:t xml:space="preserve">challenge to the </w:t>
      </w:r>
      <w:r w:rsidRPr="008941A4">
        <w:rPr>
          <w:rFonts w:ascii="Book Antiqua" w:hAnsi="Book Antiqua" w:cs="Arial"/>
        </w:rPr>
        <w:t xml:space="preserve">decision because the application could not succeed when it was made because </w:t>
      </w:r>
      <w:r w:rsidR="004231BC">
        <w:rPr>
          <w:rFonts w:ascii="Book Antiqua" w:hAnsi="Book Antiqua" w:cs="Arial"/>
        </w:rPr>
        <w:t xml:space="preserve">the applicant’s wife had not established an adequate employment record and </w:t>
      </w:r>
      <w:r w:rsidRPr="008941A4">
        <w:rPr>
          <w:rFonts w:ascii="Book Antiqua" w:hAnsi="Book Antiqua" w:cs="Arial"/>
        </w:rPr>
        <w:t xml:space="preserve">if it had been made later the applicant </w:t>
      </w:r>
      <w:r w:rsidR="00403A9E" w:rsidRPr="008941A4">
        <w:rPr>
          <w:rFonts w:ascii="Book Antiqua" w:hAnsi="Book Antiqua" w:cs="Arial"/>
        </w:rPr>
        <w:t>would no</w:t>
      </w:r>
      <w:r w:rsidRPr="008941A4">
        <w:rPr>
          <w:rFonts w:ascii="Book Antiqua" w:hAnsi="Book Antiqua" w:cs="Arial"/>
        </w:rPr>
        <w:t xml:space="preserve"> longer have had leave to be in the United Kingdom.</w:t>
      </w:r>
    </w:p>
    <w:p w:rsidR="004231BC" w:rsidRDefault="008430F1" w:rsidP="00B37FDE">
      <w:pPr>
        <w:pStyle w:val="ListParagraph"/>
        <w:numPr>
          <w:ilvl w:val="0"/>
          <w:numId w:val="2"/>
        </w:numPr>
        <w:tabs>
          <w:tab w:val="left" w:pos="0"/>
        </w:tabs>
        <w:spacing w:before="120"/>
        <w:ind w:left="0" w:hanging="431"/>
        <w:contextualSpacing w:val="0"/>
        <w:jc w:val="both"/>
        <w:rPr>
          <w:rFonts w:ascii="Book Antiqua" w:hAnsi="Book Antiqua" w:cs="Arial"/>
        </w:rPr>
      </w:pPr>
      <w:r w:rsidRPr="008941A4">
        <w:rPr>
          <w:rFonts w:ascii="Book Antiqua" w:hAnsi="Book Antiqua" w:cs="Arial"/>
        </w:rPr>
        <w:t>Nevertheless</w:t>
      </w:r>
      <w:r w:rsidR="00403A9E" w:rsidRPr="008941A4">
        <w:rPr>
          <w:rFonts w:ascii="Book Antiqua" w:hAnsi="Book Antiqua" w:cs="Arial"/>
        </w:rPr>
        <w:t>,</w:t>
      </w:r>
      <w:r w:rsidRPr="008941A4">
        <w:rPr>
          <w:rFonts w:ascii="Book Antiqua" w:hAnsi="Book Antiqua" w:cs="Arial"/>
        </w:rPr>
        <w:t xml:space="preserve"> it was a feature of the judge’s reasoning that the claimant could no</w:t>
      </w:r>
      <w:r w:rsidR="00403A9E" w:rsidRPr="008941A4">
        <w:rPr>
          <w:rFonts w:ascii="Book Antiqua" w:hAnsi="Book Antiqua" w:cs="Arial"/>
        </w:rPr>
        <w:t>w</w:t>
      </w:r>
      <w:r w:rsidRPr="008941A4">
        <w:rPr>
          <w:rFonts w:ascii="Book Antiqua" w:hAnsi="Book Antiqua" w:cs="Arial"/>
        </w:rPr>
        <w:t xml:space="preserve"> satisfy the </w:t>
      </w:r>
      <w:r w:rsidR="004231BC">
        <w:rPr>
          <w:rFonts w:ascii="Book Antiqua" w:hAnsi="Book Antiqua" w:cs="Arial"/>
        </w:rPr>
        <w:t xml:space="preserve">financial requirements of the </w:t>
      </w:r>
      <w:r w:rsidRPr="008941A4">
        <w:rPr>
          <w:rFonts w:ascii="Book Antiqua" w:hAnsi="Book Antiqua" w:cs="Arial"/>
        </w:rPr>
        <w:t>Rules</w:t>
      </w:r>
      <w:r w:rsidR="004231BC">
        <w:rPr>
          <w:rFonts w:ascii="Book Antiqua" w:hAnsi="Book Antiqua" w:cs="Arial"/>
        </w:rPr>
        <w:t xml:space="preserve"> </w:t>
      </w:r>
      <w:r w:rsidRPr="008941A4">
        <w:rPr>
          <w:rFonts w:ascii="Book Antiqua" w:hAnsi="Book Antiqua" w:cs="Arial"/>
        </w:rPr>
        <w:t xml:space="preserve">and this </w:t>
      </w:r>
      <w:r w:rsidR="004231BC">
        <w:rPr>
          <w:rFonts w:ascii="Book Antiqua" w:hAnsi="Book Antiqua" w:cs="Arial"/>
        </w:rPr>
        <w:t xml:space="preserve">finding </w:t>
      </w:r>
      <w:r w:rsidRPr="008941A4">
        <w:rPr>
          <w:rFonts w:ascii="Book Antiqua" w:hAnsi="Book Antiqua" w:cs="Arial"/>
        </w:rPr>
        <w:t>gave some insight into where the public interest lay.</w:t>
      </w:r>
    </w:p>
    <w:p w:rsidR="00B37FDE" w:rsidRDefault="00F00186" w:rsidP="00B37FDE">
      <w:pPr>
        <w:pStyle w:val="ListParagraph"/>
        <w:numPr>
          <w:ilvl w:val="0"/>
          <w:numId w:val="2"/>
        </w:numPr>
        <w:tabs>
          <w:tab w:val="left" w:pos="0"/>
        </w:tabs>
        <w:spacing w:before="120"/>
        <w:ind w:left="0"/>
        <w:contextualSpacing w:val="0"/>
        <w:jc w:val="both"/>
        <w:rPr>
          <w:rFonts w:ascii="Book Antiqua" w:hAnsi="Book Antiqua" w:cs="Arial"/>
        </w:rPr>
      </w:pPr>
      <w:r w:rsidRPr="008941A4">
        <w:rPr>
          <w:rFonts w:ascii="Book Antiqua" w:hAnsi="Book Antiqua" w:cs="Arial"/>
        </w:rPr>
        <w:t>The judge then considered the so called “ten</w:t>
      </w:r>
      <w:r w:rsidR="004231BC">
        <w:rPr>
          <w:rFonts w:ascii="Book Antiqua" w:hAnsi="Book Antiqua" w:cs="Arial"/>
        </w:rPr>
        <w:t>-</w:t>
      </w:r>
      <w:r w:rsidRPr="008941A4">
        <w:rPr>
          <w:rFonts w:ascii="Book Antiqua" w:hAnsi="Book Antiqua" w:cs="Arial"/>
        </w:rPr>
        <w:t>year route” whereby the application would have to be refused unless there were insurmountable obstacles in the way of the claimant’s wife continuing their private and family life together in his country of nationality.  The judge reminded himself, correctly, that the strict meaning of “insurmountable obstacles”</w:t>
      </w:r>
      <w:r w:rsidR="00403A9E" w:rsidRPr="008941A4">
        <w:rPr>
          <w:rFonts w:ascii="Book Antiqua" w:hAnsi="Book Antiqua" w:cs="Arial"/>
        </w:rPr>
        <w:t xml:space="preserve"> has</w:t>
      </w:r>
      <w:r w:rsidRPr="008941A4">
        <w:rPr>
          <w:rFonts w:ascii="Book Antiqua" w:hAnsi="Book Antiqua" w:cs="Arial"/>
        </w:rPr>
        <w:t xml:space="preserve"> been diluted by authority and particularly in the decision of the United Kingdom Supreme Court in </w:t>
      </w:r>
      <w:proofErr w:type="spellStart"/>
      <w:r w:rsidR="004231BC" w:rsidRPr="004231BC">
        <w:rPr>
          <w:rFonts w:ascii="Book Antiqua" w:hAnsi="Book Antiqua" w:cs="Arial"/>
          <w:u w:val="single"/>
        </w:rPr>
        <w:t>Agyarko</w:t>
      </w:r>
      <w:proofErr w:type="spellEnd"/>
      <w:r w:rsidR="004231BC" w:rsidRPr="004231BC">
        <w:rPr>
          <w:rFonts w:ascii="Book Antiqua" w:hAnsi="Book Antiqua" w:cs="Arial"/>
          <w:u w:val="single"/>
        </w:rPr>
        <w:t xml:space="preserve"> and </w:t>
      </w:r>
      <w:proofErr w:type="spellStart"/>
      <w:r w:rsidR="004231BC" w:rsidRPr="004231BC">
        <w:rPr>
          <w:rFonts w:ascii="Book Antiqua" w:hAnsi="Book Antiqua" w:cs="Arial"/>
          <w:u w:val="single"/>
        </w:rPr>
        <w:t>Ikuga</w:t>
      </w:r>
      <w:proofErr w:type="spellEnd"/>
      <w:r w:rsidR="004231BC" w:rsidRPr="004231BC">
        <w:rPr>
          <w:rFonts w:ascii="Book Antiqua" w:hAnsi="Book Antiqua" w:cs="Arial"/>
          <w:u w:val="single"/>
        </w:rPr>
        <w:t>, R (on the applications of) v SSHD</w:t>
      </w:r>
      <w:r w:rsidR="004231BC" w:rsidRPr="004231BC">
        <w:rPr>
          <w:rFonts w:ascii="Book Antiqua" w:hAnsi="Book Antiqua" w:cs="Arial"/>
        </w:rPr>
        <w:t xml:space="preserve"> [2017] UKSC 11</w:t>
      </w:r>
      <w:r w:rsidRPr="008941A4">
        <w:rPr>
          <w:rFonts w:ascii="Book Antiqua" w:hAnsi="Book Antiqua" w:cs="Arial"/>
        </w:rPr>
        <w:t>where we read</w:t>
      </w:r>
      <w:r w:rsidR="004231BC">
        <w:rPr>
          <w:rFonts w:ascii="Book Antiqua" w:hAnsi="Book Antiqua" w:cs="Arial"/>
        </w:rPr>
        <w:t xml:space="preserve"> at paragraph 43</w:t>
      </w:r>
      <w:r w:rsidRPr="008941A4">
        <w:rPr>
          <w:rFonts w:ascii="Book Antiqua" w:hAnsi="Book Antiqua" w:cs="Arial"/>
        </w:rPr>
        <w:t>:</w:t>
      </w:r>
    </w:p>
    <w:p w:rsidR="00B37FDE" w:rsidRDefault="00F00186" w:rsidP="00B37FDE">
      <w:pPr>
        <w:pStyle w:val="ListParagraph"/>
        <w:tabs>
          <w:tab w:val="left" w:pos="0"/>
        </w:tabs>
        <w:spacing w:before="120"/>
        <w:ind w:left="284" w:right="284"/>
        <w:contextualSpacing w:val="0"/>
        <w:jc w:val="both"/>
        <w:rPr>
          <w:rFonts w:ascii="Book Antiqua" w:hAnsi="Book Antiqua" w:cs="Arial"/>
        </w:rPr>
      </w:pPr>
      <w:r w:rsidRPr="00B37FDE">
        <w:rPr>
          <w:rFonts w:ascii="Book Antiqua" w:hAnsi="Book Antiqua" w:cs="Arial"/>
          <w:sz w:val="22"/>
          <w:szCs w:val="22"/>
        </w:rPr>
        <w:t>“It appears that the European Court intends the words “insurmountable obstacles” to be understood in a practical and realistic sense, rather than as referring solely to obstacles which make it literally impossible for the family to live together in the country of origin of the non-national concerned.”</w:t>
      </w:r>
    </w:p>
    <w:p w:rsidR="00B37FDE" w:rsidRDefault="00F00186" w:rsidP="00B37FDE">
      <w:pPr>
        <w:pStyle w:val="ListParagraph"/>
        <w:numPr>
          <w:ilvl w:val="0"/>
          <w:numId w:val="2"/>
        </w:numPr>
        <w:tabs>
          <w:tab w:val="left" w:pos="0"/>
        </w:tabs>
        <w:spacing w:before="120"/>
        <w:ind w:left="0"/>
        <w:contextualSpacing w:val="0"/>
        <w:jc w:val="both"/>
        <w:rPr>
          <w:rFonts w:ascii="Book Antiqua" w:hAnsi="Book Antiqua" w:cs="Arial"/>
        </w:rPr>
      </w:pPr>
      <w:r w:rsidRPr="00B37FDE">
        <w:rPr>
          <w:rFonts w:ascii="Book Antiqua" w:hAnsi="Book Antiqua" w:cs="Arial"/>
        </w:rPr>
        <w:t>The judge decided that the claimant could satisfy these Rules for two reasons.</w:t>
      </w:r>
    </w:p>
    <w:p w:rsidR="00AA4CD8" w:rsidRDefault="00F00186" w:rsidP="00B37FDE">
      <w:pPr>
        <w:pStyle w:val="ListParagraph"/>
        <w:numPr>
          <w:ilvl w:val="0"/>
          <w:numId w:val="2"/>
        </w:numPr>
        <w:tabs>
          <w:tab w:val="left" w:pos="0"/>
        </w:tabs>
        <w:spacing w:before="120"/>
        <w:ind w:left="0"/>
        <w:contextualSpacing w:val="0"/>
        <w:jc w:val="both"/>
        <w:rPr>
          <w:rFonts w:ascii="Book Antiqua" w:hAnsi="Book Antiqua" w:cs="Arial"/>
        </w:rPr>
      </w:pPr>
      <w:r w:rsidRPr="00B37FDE">
        <w:rPr>
          <w:rFonts w:ascii="Book Antiqua" w:hAnsi="Book Antiqua" w:cs="Arial"/>
        </w:rPr>
        <w:t>First</w:t>
      </w:r>
      <w:r w:rsidR="00403A9E" w:rsidRPr="00B37FDE">
        <w:rPr>
          <w:rFonts w:ascii="Book Antiqua" w:hAnsi="Book Antiqua" w:cs="Arial"/>
        </w:rPr>
        <w:t>,</w:t>
      </w:r>
      <w:r w:rsidRPr="00B37FDE">
        <w:rPr>
          <w:rFonts w:ascii="Book Antiqua" w:hAnsi="Book Antiqua" w:cs="Arial"/>
        </w:rPr>
        <w:t xml:space="preserve"> because there was no evidence before the First-tier Tribunal that there was any possibility of the claimant’s wife being allowed to join him in Pakistan and in the absence of such evidence the judge concluded that it had not been shown that family life could continue in Pakistan.  </w:t>
      </w:r>
    </w:p>
    <w:p w:rsidR="003837D4" w:rsidRDefault="00F00186" w:rsidP="003837D4">
      <w:pPr>
        <w:pStyle w:val="ListParagraph"/>
        <w:numPr>
          <w:ilvl w:val="0"/>
          <w:numId w:val="2"/>
        </w:numPr>
        <w:tabs>
          <w:tab w:val="left" w:pos="0"/>
        </w:tabs>
        <w:spacing w:before="120"/>
        <w:ind w:left="0"/>
        <w:contextualSpacing w:val="0"/>
        <w:jc w:val="both"/>
        <w:rPr>
          <w:rFonts w:ascii="Book Antiqua" w:hAnsi="Book Antiqua" w:cs="Arial"/>
        </w:rPr>
      </w:pPr>
      <w:r w:rsidRPr="00B37FDE">
        <w:rPr>
          <w:rFonts w:ascii="Book Antiqua" w:hAnsi="Book Antiqua" w:cs="Arial"/>
        </w:rPr>
        <w:lastRenderedPageBreak/>
        <w:t xml:space="preserve">The claimant’s wife is a national of Afghanistan.  She has some experience of living in </w:t>
      </w:r>
      <w:r w:rsidR="00AA4CD8">
        <w:rPr>
          <w:rFonts w:ascii="Book Antiqua" w:hAnsi="Book Antiqua" w:cs="Arial"/>
        </w:rPr>
        <w:t xml:space="preserve">Pakistan </w:t>
      </w:r>
      <w:r w:rsidRPr="00B37FDE">
        <w:rPr>
          <w:rFonts w:ascii="Book Antiqua" w:hAnsi="Book Antiqua" w:cs="Arial"/>
        </w:rPr>
        <w:t>but not much.  The judge took the view that it was for the Secretary of State to show that family life could continue in Pakistan and if the Secretary of State had chosen not to call any evidence on that point then there was no proper basis on which he could conclude that it was possible for family life to be exercised there.</w:t>
      </w:r>
    </w:p>
    <w:p w:rsidR="009F0D16" w:rsidRDefault="00F00186" w:rsidP="009F0D16">
      <w:pPr>
        <w:pStyle w:val="ListParagraph"/>
        <w:numPr>
          <w:ilvl w:val="0"/>
          <w:numId w:val="2"/>
        </w:numPr>
        <w:tabs>
          <w:tab w:val="left" w:pos="0"/>
        </w:tabs>
        <w:spacing w:before="120"/>
        <w:contextualSpacing w:val="0"/>
        <w:jc w:val="both"/>
        <w:rPr>
          <w:rFonts w:ascii="Book Antiqua" w:hAnsi="Book Antiqua" w:cs="Arial"/>
        </w:rPr>
      </w:pPr>
      <w:r w:rsidRPr="003837D4">
        <w:rPr>
          <w:rFonts w:ascii="Book Antiqua" w:hAnsi="Book Antiqua" w:cs="Arial"/>
        </w:rPr>
        <w:t>We have to say we found this a slightly surprising approach but it is supported by authority.  The judge relied heavily on the decision of this Tribunal by its then President McClosk</w:t>
      </w:r>
      <w:r w:rsidR="00F2191A" w:rsidRPr="003837D4">
        <w:rPr>
          <w:rFonts w:ascii="Book Antiqua" w:hAnsi="Book Antiqua" w:cs="Arial"/>
        </w:rPr>
        <w:t>e</w:t>
      </w:r>
      <w:r w:rsidRPr="003837D4">
        <w:rPr>
          <w:rFonts w:ascii="Book Antiqua" w:hAnsi="Book Antiqua" w:cs="Arial"/>
        </w:rPr>
        <w:t>y J with Deputy Upper Tribunal Judge Norton-Taylor</w:t>
      </w:r>
      <w:r w:rsidR="009F0D16">
        <w:rPr>
          <w:rFonts w:ascii="Book Antiqua" w:hAnsi="Book Antiqua" w:cs="Arial"/>
        </w:rPr>
        <w:t xml:space="preserve"> in </w:t>
      </w:r>
      <w:r w:rsidR="009F0D16" w:rsidRPr="009F0D16">
        <w:rPr>
          <w:rFonts w:ascii="Book Antiqua" w:hAnsi="Book Antiqua" w:cs="Arial"/>
          <w:u w:val="single"/>
        </w:rPr>
        <w:t xml:space="preserve">CS and Others (Proof of Foreign </w:t>
      </w:r>
      <w:r w:rsidR="0002319A" w:rsidRPr="009F0D16">
        <w:rPr>
          <w:rFonts w:ascii="Book Antiqua" w:hAnsi="Book Antiqua" w:cs="Arial"/>
          <w:u w:val="single"/>
        </w:rPr>
        <w:t>Law:</w:t>
      </w:r>
      <w:r w:rsidR="009F0D16" w:rsidRPr="009F0D16">
        <w:rPr>
          <w:rFonts w:ascii="Book Antiqua" w:hAnsi="Book Antiqua" w:cs="Arial"/>
          <w:u w:val="single"/>
        </w:rPr>
        <w:t xml:space="preserve"> India)</w:t>
      </w:r>
      <w:r w:rsidR="009F0D16" w:rsidRPr="009F0D16">
        <w:rPr>
          <w:rFonts w:ascii="Book Antiqua" w:hAnsi="Book Antiqua" w:cs="Arial"/>
        </w:rPr>
        <w:t xml:space="preserve"> [2017] UKUT 199 (IAC)</w:t>
      </w:r>
      <w:r w:rsidRPr="003837D4">
        <w:rPr>
          <w:rFonts w:ascii="Book Antiqua" w:hAnsi="Book Antiqua" w:cs="Arial"/>
        </w:rPr>
        <w:t xml:space="preserve">.  It is plain from that decision </w:t>
      </w:r>
      <w:r w:rsidR="00626EA2" w:rsidRPr="003837D4">
        <w:rPr>
          <w:rFonts w:ascii="Book Antiqua" w:hAnsi="Book Antiqua" w:cs="Arial"/>
        </w:rPr>
        <w:t>(see for example</w:t>
      </w:r>
      <w:r w:rsidRPr="003837D4">
        <w:rPr>
          <w:rFonts w:ascii="Book Antiqua" w:hAnsi="Book Antiqua" w:cs="Arial"/>
        </w:rPr>
        <w:t xml:space="preserve"> paragraph 22) that although the Tribunal confirmed there was no legal burden on the Secretary of State the decision was made on the basis </w:t>
      </w:r>
      <w:r w:rsidR="00533ED8">
        <w:rPr>
          <w:rFonts w:ascii="Book Antiqua" w:hAnsi="Book Antiqua" w:cs="Arial"/>
        </w:rPr>
        <w:t xml:space="preserve">that </w:t>
      </w:r>
      <w:r w:rsidRPr="003837D4">
        <w:rPr>
          <w:rFonts w:ascii="Book Antiqua" w:hAnsi="Book Antiqua" w:cs="Arial"/>
        </w:rPr>
        <w:t xml:space="preserve">there is an evidential burden on the Secretary of State to show that his proposal that the family could be removed to a particular country is capable of being achieved.  Here the </w:t>
      </w:r>
      <w:r w:rsidR="001D45F0">
        <w:rPr>
          <w:rFonts w:ascii="Book Antiqua" w:hAnsi="Book Antiqua" w:cs="Arial"/>
        </w:rPr>
        <w:t>j</w:t>
      </w:r>
      <w:r w:rsidRPr="003837D4">
        <w:rPr>
          <w:rFonts w:ascii="Book Antiqua" w:hAnsi="Book Antiqua" w:cs="Arial"/>
        </w:rPr>
        <w:t xml:space="preserve">udge took the view that the Secretary of State </w:t>
      </w:r>
      <w:r w:rsidR="00143CCB">
        <w:rPr>
          <w:rFonts w:ascii="Book Antiqua" w:hAnsi="Book Antiqua" w:cs="Arial"/>
        </w:rPr>
        <w:t xml:space="preserve">has </w:t>
      </w:r>
      <w:r w:rsidRPr="003837D4">
        <w:rPr>
          <w:rFonts w:ascii="Book Antiqua" w:hAnsi="Book Antiqua" w:cs="Arial"/>
        </w:rPr>
        <w:t xml:space="preserve">decided that the private and </w:t>
      </w:r>
      <w:r w:rsidR="00533ED8">
        <w:rPr>
          <w:rFonts w:ascii="Book Antiqua" w:hAnsi="Book Antiqua" w:cs="Arial"/>
        </w:rPr>
        <w:t>(</w:t>
      </w:r>
      <w:r w:rsidRPr="003837D4">
        <w:rPr>
          <w:rFonts w:ascii="Book Antiqua" w:hAnsi="Book Antiqua" w:cs="Arial"/>
        </w:rPr>
        <w:t>more importantly</w:t>
      </w:r>
      <w:r w:rsidR="00533ED8">
        <w:rPr>
          <w:rFonts w:ascii="Book Antiqua" w:hAnsi="Book Antiqua" w:cs="Arial"/>
        </w:rPr>
        <w:t>)</w:t>
      </w:r>
      <w:r w:rsidRPr="003837D4">
        <w:rPr>
          <w:rFonts w:ascii="Book Antiqua" w:hAnsi="Book Antiqua" w:cs="Arial"/>
        </w:rPr>
        <w:t xml:space="preserve"> family life could be continued in Pakistan but had not produced any evidence to support that conclusion and in the circumstances regarded it as an unproved assertion so that the </w:t>
      </w:r>
      <w:r w:rsidR="009F6636">
        <w:rPr>
          <w:rFonts w:ascii="Book Antiqua" w:hAnsi="Book Antiqua" w:cs="Arial"/>
        </w:rPr>
        <w:t xml:space="preserve">Secretary of State’s </w:t>
      </w:r>
      <w:r w:rsidRPr="003837D4">
        <w:rPr>
          <w:rFonts w:ascii="Book Antiqua" w:hAnsi="Book Antiqua" w:cs="Arial"/>
        </w:rPr>
        <w:t>argument failed.</w:t>
      </w:r>
    </w:p>
    <w:p w:rsidR="00AA458F" w:rsidRDefault="004231BC" w:rsidP="00AA458F">
      <w:pPr>
        <w:pStyle w:val="ListParagraph"/>
        <w:numPr>
          <w:ilvl w:val="0"/>
          <w:numId w:val="2"/>
        </w:numPr>
        <w:tabs>
          <w:tab w:val="left" w:pos="0"/>
        </w:tabs>
        <w:spacing w:before="120"/>
        <w:contextualSpacing w:val="0"/>
        <w:jc w:val="both"/>
        <w:rPr>
          <w:rFonts w:ascii="Book Antiqua" w:hAnsi="Book Antiqua" w:cs="Arial"/>
        </w:rPr>
      </w:pPr>
      <w:r w:rsidRPr="009F0D16">
        <w:rPr>
          <w:rFonts w:ascii="Book Antiqua" w:hAnsi="Book Antiqua" w:cs="Arial"/>
        </w:rPr>
        <w:t>Second</w:t>
      </w:r>
      <w:r w:rsidR="00626EA2" w:rsidRPr="009F0D16">
        <w:rPr>
          <w:rFonts w:ascii="Book Antiqua" w:hAnsi="Book Antiqua" w:cs="Arial"/>
        </w:rPr>
        <w:t>,</w:t>
      </w:r>
      <w:r w:rsidR="00F00186" w:rsidRPr="009F0D16">
        <w:rPr>
          <w:rFonts w:ascii="Book Antiqua" w:hAnsi="Book Antiqua" w:cs="Arial"/>
        </w:rPr>
        <w:t xml:space="preserve"> the judge decided that there were insurmountable obstacles in this case.  He described the issues as “finely balanced” (paragraph 61) but took account of the claimant’s wife having arrived in the United Kingdom when she was aged about 15 years old and having</w:t>
      </w:r>
      <w:r w:rsidR="00626EA2" w:rsidRPr="009F0D16">
        <w:rPr>
          <w:rFonts w:ascii="Book Antiqua" w:hAnsi="Book Antiqua" w:cs="Arial"/>
        </w:rPr>
        <w:t xml:space="preserve"> at</w:t>
      </w:r>
      <w:r w:rsidR="00F00186" w:rsidRPr="009F0D16">
        <w:rPr>
          <w:rFonts w:ascii="Book Antiqua" w:hAnsi="Book Antiqua" w:cs="Arial"/>
        </w:rPr>
        <w:t xml:space="preserve"> that formative stage of her life taken advantage of education in the United Kingdom</w:t>
      </w:r>
      <w:r w:rsidR="000B0F50">
        <w:rPr>
          <w:rFonts w:ascii="Book Antiqua" w:hAnsi="Book Antiqua" w:cs="Arial"/>
        </w:rPr>
        <w:t xml:space="preserve">, as she was entitled to do, </w:t>
      </w:r>
      <w:r w:rsidR="00F00186" w:rsidRPr="009F0D16">
        <w:rPr>
          <w:rFonts w:ascii="Book Antiqua" w:hAnsi="Book Antiqua" w:cs="Arial"/>
        </w:rPr>
        <w:t>and w</w:t>
      </w:r>
      <w:r w:rsidR="00626EA2" w:rsidRPr="009F0D16">
        <w:rPr>
          <w:rFonts w:ascii="Book Antiqua" w:hAnsi="Book Antiqua" w:cs="Arial"/>
        </w:rPr>
        <w:t>a</w:t>
      </w:r>
      <w:r w:rsidR="00F00186" w:rsidRPr="009F0D16">
        <w:rPr>
          <w:rFonts w:ascii="Book Antiqua" w:hAnsi="Book Antiqua" w:cs="Arial"/>
        </w:rPr>
        <w:t>s developing a career in marketing.  The First-tier Tribunal decided that it was inherently unlikely that any similar opportunities would exist in Pakistan where ther</w:t>
      </w:r>
      <w:r w:rsidR="00626EA2" w:rsidRPr="009F0D16">
        <w:rPr>
          <w:rFonts w:ascii="Book Antiqua" w:hAnsi="Book Antiqua" w:cs="Arial"/>
        </w:rPr>
        <w:t>e</w:t>
      </w:r>
      <w:r w:rsidR="00F00186" w:rsidRPr="009F0D16">
        <w:rPr>
          <w:rFonts w:ascii="Book Antiqua" w:hAnsi="Book Antiqua" w:cs="Arial"/>
        </w:rPr>
        <w:t xml:space="preserve"> </w:t>
      </w:r>
      <w:r w:rsidR="000B0F50">
        <w:rPr>
          <w:rFonts w:ascii="Book Antiqua" w:hAnsi="Book Antiqua" w:cs="Arial"/>
        </w:rPr>
        <w:t>i</w:t>
      </w:r>
      <w:r w:rsidR="00F00186" w:rsidRPr="009F0D16">
        <w:rPr>
          <w:rFonts w:ascii="Book Antiqua" w:hAnsi="Book Antiqua" w:cs="Arial"/>
        </w:rPr>
        <w:t>s societal and cultural discrimination against women</w:t>
      </w:r>
      <w:r w:rsidR="008A0840" w:rsidRPr="009F0D16">
        <w:rPr>
          <w:rFonts w:ascii="Book Antiqua" w:hAnsi="Book Antiqua" w:cs="Arial"/>
        </w:rPr>
        <w:t xml:space="preserve"> a</w:t>
      </w:r>
      <w:r w:rsidR="000B0F50">
        <w:rPr>
          <w:rFonts w:ascii="Book Antiqua" w:hAnsi="Book Antiqua" w:cs="Arial"/>
        </w:rPr>
        <w:t>n</w:t>
      </w:r>
      <w:r w:rsidR="008A0840" w:rsidRPr="009F0D16">
        <w:rPr>
          <w:rFonts w:ascii="Book Antiqua" w:hAnsi="Book Antiqua" w:cs="Arial"/>
        </w:rPr>
        <w:t>d found that that was sufficient reason to say there were insurmountable obstacles in the sense that there would be “very significant difficulties”.  It was acknowledged that the claimant’s wife had already suffered the experience of having to rebuild her life as a young teenager when she came to the United Kingdom and it was thought too much to have to rebuild her life all over again to be with her husband.  These were the judge’s reasons for finding that there were insurmountable obstacles and were his alternative reason for saying that the Rules were satisfied.</w:t>
      </w:r>
    </w:p>
    <w:p w:rsidR="007737EE" w:rsidRDefault="008A0840" w:rsidP="00664B04">
      <w:pPr>
        <w:pStyle w:val="ListParagraph"/>
        <w:numPr>
          <w:ilvl w:val="0"/>
          <w:numId w:val="2"/>
        </w:numPr>
        <w:tabs>
          <w:tab w:val="left" w:pos="0"/>
        </w:tabs>
        <w:spacing w:before="120"/>
        <w:contextualSpacing w:val="0"/>
        <w:jc w:val="both"/>
        <w:rPr>
          <w:rFonts w:ascii="Book Antiqua" w:hAnsi="Book Antiqua" w:cs="Arial"/>
        </w:rPr>
      </w:pPr>
      <w:r w:rsidRPr="00AA458F">
        <w:rPr>
          <w:rFonts w:ascii="Book Antiqua" w:hAnsi="Book Antiqua" w:cs="Arial"/>
        </w:rPr>
        <w:t>The judge then, correctly, addressed his mind to the requirements of Section 117</w:t>
      </w:r>
      <w:r w:rsidR="00AA458F">
        <w:rPr>
          <w:rFonts w:ascii="Book Antiqua" w:hAnsi="Book Antiqua" w:cs="Arial"/>
        </w:rPr>
        <w:t xml:space="preserve">A </w:t>
      </w:r>
      <w:r w:rsidRPr="00AA458F">
        <w:rPr>
          <w:rFonts w:ascii="Book Antiqua" w:hAnsi="Book Antiqua" w:cs="Arial"/>
        </w:rPr>
        <w:t xml:space="preserve">and </w:t>
      </w:r>
      <w:r w:rsidR="00AA458F">
        <w:rPr>
          <w:rFonts w:ascii="Book Antiqua" w:hAnsi="Book Antiqua" w:cs="Arial"/>
        </w:rPr>
        <w:t xml:space="preserve">B </w:t>
      </w:r>
      <w:r w:rsidRPr="00AA458F">
        <w:rPr>
          <w:rFonts w:ascii="Book Antiqua" w:hAnsi="Book Antiqua" w:cs="Arial"/>
        </w:rPr>
        <w:t>of the Nationality, Immigration and Asylum Act 2002 which he was obliged to consider.  The judge noted that the claimant was not going to be a burden of public funds because he</w:t>
      </w:r>
      <w:r w:rsidR="001B4032">
        <w:rPr>
          <w:rFonts w:ascii="Book Antiqua" w:hAnsi="Book Antiqua" w:cs="Arial"/>
        </w:rPr>
        <w:t xml:space="preserve"> would </w:t>
      </w:r>
      <w:r w:rsidR="0002319A">
        <w:rPr>
          <w:rFonts w:ascii="Book Antiqua" w:hAnsi="Book Antiqua" w:cs="Arial"/>
        </w:rPr>
        <w:t xml:space="preserve">be </w:t>
      </w:r>
      <w:r w:rsidR="001B4032">
        <w:rPr>
          <w:rFonts w:ascii="Book Antiqua" w:hAnsi="Book Antiqua" w:cs="Arial"/>
        </w:rPr>
        <w:t>supported by his wife</w:t>
      </w:r>
      <w:r w:rsidRPr="00AA458F">
        <w:rPr>
          <w:rFonts w:ascii="Book Antiqua" w:hAnsi="Book Antiqua" w:cs="Arial"/>
        </w:rPr>
        <w:t xml:space="preserve">.  He found no adverse factors in Section 117B that needed to be considered.  The point is made that although there was no express finding </w:t>
      </w:r>
      <w:r w:rsidR="001B4032">
        <w:rPr>
          <w:rFonts w:ascii="Book Antiqua" w:hAnsi="Book Antiqua" w:cs="Arial"/>
        </w:rPr>
        <w:t>to this effect t</w:t>
      </w:r>
      <w:r w:rsidRPr="00AA458F">
        <w:rPr>
          <w:rFonts w:ascii="Book Antiqua" w:hAnsi="Book Antiqua" w:cs="Arial"/>
        </w:rPr>
        <w:t>he claimant could plainly speak English which was how he was able to give evidence before the Tribunal and the judge found interference would be disproportionate.  The crucial finding is at paragraph 66 where the judge says:</w:t>
      </w:r>
    </w:p>
    <w:p w:rsidR="00664B04" w:rsidRPr="007737EE" w:rsidRDefault="008A0840" w:rsidP="007737EE">
      <w:pPr>
        <w:pStyle w:val="ListParagraph"/>
        <w:tabs>
          <w:tab w:val="left" w:pos="0"/>
        </w:tabs>
        <w:spacing w:before="120"/>
        <w:ind w:left="284" w:right="284"/>
        <w:contextualSpacing w:val="0"/>
        <w:jc w:val="both"/>
        <w:rPr>
          <w:rFonts w:ascii="Book Antiqua" w:hAnsi="Book Antiqua" w:cs="Arial"/>
          <w:sz w:val="22"/>
          <w:szCs w:val="22"/>
        </w:rPr>
      </w:pPr>
      <w:r w:rsidRPr="007737EE">
        <w:rPr>
          <w:rFonts w:ascii="Book Antiqua" w:hAnsi="Book Antiqua" w:cs="Arial"/>
          <w:sz w:val="22"/>
          <w:szCs w:val="22"/>
        </w:rPr>
        <w:t>“On balance, I am satisfied that the proposed interference with the [claimant] and the sponsor’s family life is unnecessary and disproportionate.  Their rights outweigh the (Secretary of State’s) legitimate interest in ensuring economic and social order, whilst maintaining a coherent system of immigration control.  I have attached significant weight to my finding that the [claimant] has a qualifying relationship contained within EX.1 and that the [claimant] meets the requirements</w:t>
      </w:r>
      <w:r w:rsidR="00626EA2" w:rsidRPr="007737EE">
        <w:rPr>
          <w:rFonts w:ascii="Book Antiqua" w:hAnsi="Book Antiqua" w:cs="Arial"/>
          <w:sz w:val="22"/>
          <w:szCs w:val="22"/>
        </w:rPr>
        <w:t xml:space="preserve"> for</w:t>
      </w:r>
      <w:r w:rsidRPr="007737EE">
        <w:rPr>
          <w:rFonts w:ascii="Book Antiqua" w:hAnsi="Book Antiqua" w:cs="Arial"/>
          <w:sz w:val="22"/>
          <w:szCs w:val="22"/>
        </w:rPr>
        <w:t xml:space="preserve"> leave to remain as the partner of a person present and settled in the UK under Appendix FM.”</w:t>
      </w:r>
    </w:p>
    <w:p w:rsidR="007737EE" w:rsidRDefault="008A0840" w:rsidP="007737EE">
      <w:pPr>
        <w:pStyle w:val="ListParagraph"/>
        <w:numPr>
          <w:ilvl w:val="0"/>
          <w:numId w:val="2"/>
        </w:numPr>
        <w:tabs>
          <w:tab w:val="left" w:pos="0"/>
        </w:tabs>
        <w:spacing w:before="120"/>
        <w:contextualSpacing w:val="0"/>
        <w:jc w:val="both"/>
        <w:rPr>
          <w:rFonts w:ascii="Book Antiqua" w:hAnsi="Book Antiqua" w:cs="Arial"/>
        </w:rPr>
      </w:pPr>
      <w:r w:rsidRPr="00664B04">
        <w:rPr>
          <w:rFonts w:ascii="Book Antiqua" w:hAnsi="Book Antiqua" w:cs="Arial"/>
        </w:rPr>
        <w:lastRenderedPageBreak/>
        <w:t>There are</w:t>
      </w:r>
      <w:r w:rsidR="007737EE">
        <w:rPr>
          <w:rFonts w:ascii="Book Antiqua" w:hAnsi="Book Antiqua" w:cs="Arial"/>
        </w:rPr>
        <w:t xml:space="preserve"> </w:t>
      </w:r>
      <w:r w:rsidRPr="00664B04">
        <w:rPr>
          <w:rFonts w:ascii="Book Antiqua" w:hAnsi="Book Antiqua" w:cs="Arial"/>
        </w:rPr>
        <w:t>three grounds of challenge.</w:t>
      </w:r>
    </w:p>
    <w:p w:rsidR="00254638" w:rsidRDefault="008A0840" w:rsidP="00254638">
      <w:pPr>
        <w:pStyle w:val="ListParagraph"/>
        <w:numPr>
          <w:ilvl w:val="0"/>
          <w:numId w:val="2"/>
        </w:numPr>
        <w:tabs>
          <w:tab w:val="left" w:pos="0"/>
        </w:tabs>
        <w:spacing w:before="120"/>
        <w:contextualSpacing w:val="0"/>
        <w:jc w:val="both"/>
        <w:rPr>
          <w:rFonts w:ascii="Book Antiqua" w:hAnsi="Book Antiqua" w:cs="Arial"/>
        </w:rPr>
      </w:pPr>
      <w:r w:rsidRPr="00664B04">
        <w:rPr>
          <w:rFonts w:ascii="Book Antiqua" w:hAnsi="Book Antiqua" w:cs="Arial"/>
        </w:rPr>
        <w:t>The first is that the “very significant obstacles”</w:t>
      </w:r>
      <w:r w:rsidR="00626EA2" w:rsidRPr="00664B04">
        <w:rPr>
          <w:rFonts w:ascii="Book Antiqua" w:hAnsi="Book Antiqua" w:cs="Arial"/>
        </w:rPr>
        <w:t xml:space="preserve"> finding</w:t>
      </w:r>
      <w:r w:rsidRPr="00664B04">
        <w:rPr>
          <w:rFonts w:ascii="Book Antiqua" w:hAnsi="Book Antiqua" w:cs="Arial"/>
        </w:rPr>
        <w:t xml:space="preserve"> has not been explained adequately.  The explanation is clear enough.  The question is whether it is lawful.</w:t>
      </w:r>
    </w:p>
    <w:p w:rsidR="00AF6E7B" w:rsidRDefault="008A0840" w:rsidP="00254638">
      <w:pPr>
        <w:pStyle w:val="ListParagraph"/>
        <w:numPr>
          <w:ilvl w:val="0"/>
          <w:numId w:val="2"/>
        </w:numPr>
        <w:tabs>
          <w:tab w:val="left" w:pos="0"/>
        </w:tabs>
        <w:spacing w:before="120"/>
        <w:contextualSpacing w:val="0"/>
        <w:jc w:val="both"/>
        <w:rPr>
          <w:rFonts w:ascii="Book Antiqua" w:hAnsi="Book Antiqua" w:cs="Arial"/>
        </w:rPr>
      </w:pPr>
      <w:r w:rsidRPr="00254638">
        <w:rPr>
          <w:rFonts w:ascii="Book Antiqua" w:hAnsi="Book Antiqua" w:cs="Arial"/>
        </w:rPr>
        <w:t>The first reason given</w:t>
      </w:r>
      <w:r w:rsidR="00254638">
        <w:rPr>
          <w:rFonts w:ascii="Book Antiqua" w:hAnsi="Book Antiqua" w:cs="Arial"/>
        </w:rPr>
        <w:t xml:space="preserve">, namely </w:t>
      </w:r>
      <w:r w:rsidRPr="00254638">
        <w:rPr>
          <w:rFonts w:ascii="Book Antiqua" w:hAnsi="Book Antiqua" w:cs="Arial"/>
        </w:rPr>
        <w:t xml:space="preserve">that the evidential burden identified in </w:t>
      </w:r>
      <w:r w:rsidRPr="00254638">
        <w:rPr>
          <w:rFonts w:ascii="Book Antiqua" w:hAnsi="Book Antiqua" w:cs="Arial"/>
          <w:b/>
          <w:u w:val="single"/>
        </w:rPr>
        <w:t>CS</w:t>
      </w:r>
      <w:r w:rsidRPr="00254638">
        <w:rPr>
          <w:rFonts w:ascii="Book Antiqua" w:hAnsi="Book Antiqua" w:cs="Arial"/>
          <w:b/>
        </w:rPr>
        <w:t xml:space="preserve"> (India)</w:t>
      </w:r>
      <w:r w:rsidRPr="00254638">
        <w:rPr>
          <w:rFonts w:ascii="Book Antiqua" w:hAnsi="Book Antiqua" w:cs="Arial"/>
        </w:rPr>
        <w:t xml:space="preserve"> has not been discharged is, we find, unassailable.  Whilst we are not bound by the decision in </w:t>
      </w:r>
      <w:r w:rsidRPr="00254638">
        <w:rPr>
          <w:rFonts w:ascii="Book Antiqua" w:hAnsi="Book Antiqua" w:cs="Arial"/>
          <w:b/>
          <w:u w:val="single"/>
        </w:rPr>
        <w:t>CS</w:t>
      </w:r>
      <w:r w:rsidRPr="00254638">
        <w:rPr>
          <w:rFonts w:ascii="Book Antiqua" w:hAnsi="Book Antiqua" w:cs="Arial"/>
          <w:b/>
        </w:rPr>
        <w:t xml:space="preserve"> (India)</w:t>
      </w:r>
      <w:r w:rsidRPr="00254638">
        <w:rPr>
          <w:rFonts w:ascii="Book Antiqua" w:hAnsi="Book Antiqua" w:cs="Arial"/>
        </w:rPr>
        <w:t xml:space="preserve"> the First-tier Tribunal was bound by it and has followed it.  Unless it is argued that </w:t>
      </w:r>
      <w:r w:rsidRPr="00254638">
        <w:rPr>
          <w:rFonts w:ascii="Book Antiqua" w:hAnsi="Book Antiqua" w:cs="Arial"/>
          <w:b/>
          <w:u w:val="single"/>
        </w:rPr>
        <w:t>CS</w:t>
      </w:r>
      <w:r w:rsidRPr="00254638">
        <w:rPr>
          <w:rFonts w:ascii="Book Antiqua" w:hAnsi="Book Antiqua" w:cs="Arial"/>
          <w:b/>
        </w:rPr>
        <w:t xml:space="preserve"> (India)</w:t>
      </w:r>
      <w:r w:rsidRPr="00254638">
        <w:rPr>
          <w:rFonts w:ascii="Book Antiqua" w:hAnsi="Book Antiqua" w:cs="Arial"/>
        </w:rPr>
        <w:t xml:space="preserve"> is wrongly decided</w:t>
      </w:r>
      <w:r w:rsidR="00474D45">
        <w:rPr>
          <w:rFonts w:ascii="Book Antiqua" w:hAnsi="Book Antiqua" w:cs="Arial"/>
        </w:rPr>
        <w:t xml:space="preserve"> </w:t>
      </w:r>
      <w:r w:rsidRPr="00254638">
        <w:rPr>
          <w:rFonts w:ascii="Book Antiqua" w:hAnsi="Book Antiqua" w:cs="Arial"/>
        </w:rPr>
        <w:t xml:space="preserve">it is hard to criticise the judge for following it and the grounds before us </w:t>
      </w:r>
      <w:r w:rsidR="00474D45">
        <w:rPr>
          <w:rFonts w:ascii="Book Antiqua" w:hAnsi="Book Antiqua" w:cs="Arial"/>
        </w:rPr>
        <w:t xml:space="preserve">do not </w:t>
      </w:r>
      <w:r w:rsidRPr="00254638">
        <w:rPr>
          <w:rFonts w:ascii="Book Antiqua" w:hAnsi="Book Antiqua" w:cs="Arial"/>
        </w:rPr>
        <w:t>mak</w:t>
      </w:r>
      <w:r w:rsidR="00474D45">
        <w:rPr>
          <w:rFonts w:ascii="Book Antiqua" w:hAnsi="Book Antiqua" w:cs="Arial"/>
        </w:rPr>
        <w:t xml:space="preserve">e </w:t>
      </w:r>
      <w:r w:rsidRPr="00254638">
        <w:rPr>
          <w:rFonts w:ascii="Book Antiqua" w:hAnsi="Book Antiqua" w:cs="Arial"/>
        </w:rPr>
        <w:t xml:space="preserve">that complaint.  </w:t>
      </w:r>
      <w:r w:rsidR="00474D45">
        <w:rPr>
          <w:rFonts w:ascii="Book Antiqua" w:hAnsi="Book Antiqua" w:cs="Arial"/>
        </w:rPr>
        <w:t>W</w:t>
      </w:r>
      <w:r w:rsidRPr="00254638">
        <w:rPr>
          <w:rFonts w:ascii="Book Antiqua" w:hAnsi="Book Antiqua" w:cs="Arial"/>
        </w:rPr>
        <w:t xml:space="preserve">e do not wish to be thought to be giving the decision </w:t>
      </w:r>
      <w:r w:rsidR="00CE751F">
        <w:rPr>
          <w:rFonts w:ascii="Book Antiqua" w:hAnsi="Book Antiqua" w:cs="Arial"/>
        </w:rPr>
        <w:t xml:space="preserve">in </w:t>
      </w:r>
      <w:r w:rsidR="00CE751F" w:rsidRPr="00CE751F">
        <w:rPr>
          <w:rFonts w:ascii="Book Antiqua" w:hAnsi="Book Antiqua" w:cs="Arial"/>
          <w:b/>
          <w:u w:val="single"/>
        </w:rPr>
        <w:t>CS</w:t>
      </w:r>
      <w:r w:rsidR="00CE751F" w:rsidRPr="00CE751F">
        <w:rPr>
          <w:rFonts w:ascii="Book Antiqua" w:hAnsi="Book Antiqua" w:cs="Arial"/>
          <w:b/>
        </w:rPr>
        <w:t xml:space="preserve"> India</w:t>
      </w:r>
      <w:r w:rsidR="00CE751F">
        <w:rPr>
          <w:rFonts w:ascii="Book Antiqua" w:hAnsi="Book Antiqua" w:cs="Arial"/>
        </w:rPr>
        <w:t xml:space="preserve"> </w:t>
      </w:r>
      <w:r w:rsidRPr="00254638">
        <w:rPr>
          <w:rFonts w:ascii="Book Antiqua" w:hAnsi="Book Antiqua" w:cs="Arial"/>
        </w:rPr>
        <w:t xml:space="preserve">a ringing endorsement.  It seems to us there are points </w:t>
      </w:r>
      <w:r w:rsidR="00AF6E7B">
        <w:rPr>
          <w:rFonts w:ascii="Book Antiqua" w:hAnsi="Book Antiqua" w:cs="Arial"/>
        </w:rPr>
        <w:t xml:space="preserve">in the case </w:t>
      </w:r>
      <w:r w:rsidRPr="00254638">
        <w:rPr>
          <w:rFonts w:ascii="Book Antiqua" w:hAnsi="Book Antiqua" w:cs="Arial"/>
        </w:rPr>
        <w:t>that might benefit from careful analysis but</w:t>
      </w:r>
      <w:r w:rsidR="00AF6E7B">
        <w:rPr>
          <w:rFonts w:ascii="Book Antiqua" w:hAnsi="Book Antiqua" w:cs="Arial"/>
        </w:rPr>
        <w:t xml:space="preserve"> </w:t>
      </w:r>
      <w:r w:rsidRPr="00254638">
        <w:rPr>
          <w:rFonts w:ascii="Book Antiqua" w:hAnsi="Book Antiqua" w:cs="Arial"/>
        </w:rPr>
        <w:t>the First-tier Judge did not err in following a decided case of the Upper Tribunal unless that case was itself wrong.</w:t>
      </w:r>
    </w:p>
    <w:p w:rsidR="00400A4A" w:rsidRDefault="008A0840" w:rsidP="00254638">
      <w:pPr>
        <w:pStyle w:val="ListParagraph"/>
        <w:numPr>
          <w:ilvl w:val="0"/>
          <w:numId w:val="2"/>
        </w:numPr>
        <w:tabs>
          <w:tab w:val="left" w:pos="0"/>
        </w:tabs>
        <w:spacing w:before="120"/>
        <w:contextualSpacing w:val="0"/>
        <w:jc w:val="both"/>
        <w:rPr>
          <w:rFonts w:ascii="Book Antiqua" w:hAnsi="Book Antiqua" w:cs="Arial"/>
        </w:rPr>
      </w:pPr>
      <w:r w:rsidRPr="00254638">
        <w:rPr>
          <w:rFonts w:ascii="Book Antiqua" w:hAnsi="Book Antiqua" w:cs="Arial"/>
        </w:rPr>
        <w:t xml:space="preserve">The secondary point </w:t>
      </w:r>
      <w:r w:rsidR="00626EA2" w:rsidRPr="00254638">
        <w:rPr>
          <w:rFonts w:ascii="Book Antiqua" w:hAnsi="Book Antiqua" w:cs="Arial"/>
        </w:rPr>
        <w:t xml:space="preserve">that </w:t>
      </w:r>
      <w:r w:rsidR="00AF6E7B">
        <w:rPr>
          <w:rFonts w:ascii="Book Antiqua" w:hAnsi="Book Antiqua" w:cs="Arial"/>
        </w:rPr>
        <w:t xml:space="preserve">is that </w:t>
      </w:r>
      <w:r w:rsidRPr="00254638">
        <w:rPr>
          <w:rFonts w:ascii="Book Antiqua" w:hAnsi="Book Antiqua" w:cs="Arial"/>
        </w:rPr>
        <w:t xml:space="preserve">on the facts the difficulties are </w:t>
      </w:r>
      <w:r w:rsidR="00400A4A">
        <w:rPr>
          <w:rFonts w:ascii="Book Antiqua" w:hAnsi="Book Antiqua" w:cs="Arial"/>
        </w:rPr>
        <w:t xml:space="preserve">not </w:t>
      </w:r>
      <w:r w:rsidRPr="00254638">
        <w:rPr>
          <w:rFonts w:ascii="Book Antiqua" w:hAnsi="Book Antiqua" w:cs="Arial"/>
        </w:rPr>
        <w:t>described properly as insurmountable obstacles is, we find, not a criticism that is made out.  The judge clearly identified the correct legal test</w:t>
      </w:r>
      <w:r w:rsidR="00F2191A" w:rsidRPr="00254638">
        <w:rPr>
          <w:rFonts w:ascii="Book Antiqua" w:hAnsi="Book Antiqua" w:cs="Arial"/>
        </w:rPr>
        <w:t>,</w:t>
      </w:r>
      <w:r w:rsidRPr="00254638">
        <w:rPr>
          <w:rFonts w:ascii="Book Antiqua" w:hAnsi="Book Antiqua" w:cs="Arial"/>
        </w:rPr>
        <w:t xml:space="preserve"> clearly found that the matter was finely balanced and reached a clear conclusion.  We do not think that this is a conclusion that was the only permissible conclusion on the facts.  </w:t>
      </w:r>
      <w:r w:rsidR="00400A4A">
        <w:rPr>
          <w:rFonts w:ascii="Book Antiqua" w:hAnsi="Book Antiqua" w:cs="Arial"/>
        </w:rPr>
        <w:t xml:space="preserve">That </w:t>
      </w:r>
      <w:r w:rsidRPr="00254638">
        <w:rPr>
          <w:rFonts w:ascii="Book Antiqua" w:hAnsi="Book Antiqua" w:cs="Arial"/>
        </w:rPr>
        <w:t xml:space="preserve">is </w:t>
      </w:r>
      <w:r w:rsidR="00400A4A">
        <w:rPr>
          <w:rFonts w:ascii="Book Antiqua" w:hAnsi="Book Antiqua" w:cs="Arial"/>
        </w:rPr>
        <w:t xml:space="preserve">the </w:t>
      </w:r>
      <w:r w:rsidRPr="00254638">
        <w:rPr>
          <w:rFonts w:ascii="Book Antiqua" w:hAnsi="Book Antiqua" w:cs="Arial"/>
        </w:rPr>
        <w:t>nature of finely balanced cases.  The judge heard the evidence and we are not able to say that his decision that the findings he made amounted to insurmountable obstacles is perverse or otherwise unlawful.</w:t>
      </w:r>
    </w:p>
    <w:p w:rsidR="00400A4A" w:rsidRDefault="00BB3207" w:rsidP="00254638">
      <w:pPr>
        <w:pStyle w:val="ListParagraph"/>
        <w:numPr>
          <w:ilvl w:val="0"/>
          <w:numId w:val="2"/>
        </w:numPr>
        <w:tabs>
          <w:tab w:val="left" w:pos="0"/>
        </w:tabs>
        <w:spacing w:before="120"/>
        <w:contextualSpacing w:val="0"/>
        <w:jc w:val="both"/>
        <w:rPr>
          <w:rFonts w:ascii="Book Antiqua" w:hAnsi="Book Antiqua" w:cs="Arial"/>
        </w:rPr>
      </w:pPr>
      <w:r w:rsidRPr="00254638">
        <w:rPr>
          <w:rFonts w:ascii="Book Antiqua" w:hAnsi="Book Antiqua" w:cs="Arial"/>
        </w:rPr>
        <w:t>It follows therefore that the judge was entitled to find that the requirements of the Rules were met.</w:t>
      </w:r>
    </w:p>
    <w:p w:rsidR="00131B0C" w:rsidRDefault="00BB3207" w:rsidP="00131B0C">
      <w:pPr>
        <w:pStyle w:val="ListParagraph"/>
        <w:numPr>
          <w:ilvl w:val="0"/>
          <w:numId w:val="2"/>
        </w:numPr>
        <w:tabs>
          <w:tab w:val="left" w:pos="0"/>
        </w:tabs>
        <w:spacing w:before="120"/>
        <w:contextualSpacing w:val="0"/>
        <w:jc w:val="both"/>
        <w:rPr>
          <w:rFonts w:ascii="Book Antiqua" w:hAnsi="Book Antiqua" w:cs="Arial"/>
        </w:rPr>
      </w:pPr>
      <w:r w:rsidRPr="00254638">
        <w:rPr>
          <w:rFonts w:ascii="Book Antiqua" w:hAnsi="Book Antiqua" w:cs="Arial"/>
        </w:rPr>
        <w:t>It is right that the judge did not, as is alleged in the third ground, consider the possibility of the claimant returning to Pakistan and making an application.  However</w:t>
      </w:r>
      <w:r w:rsidR="00F2191A" w:rsidRPr="00254638">
        <w:rPr>
          <w:rFonts w:ascii="Book Antiqua" w:hAnsi="Book Antiqua" w:cs="Arial"/>
        </w:rPr>
        <w:t>,</w:t>
      </w:r>
      <w:r w:rsidRPr="00254638">
        <w:rPr>
          <w:rFonts w:ascii="Book Antiqua" w:hAnsi="Book Antiqua" w:cs="Arial"/>
        </w:rPr>
        <w:t xml:space="preserve"> it seems that this point was never argued before the judge.  It is, with respect to the Secretary of State, a bit late to take it now.  We do not regard it as something that is so clearly relevant that the judge should have taken it even though it was not something that had occurred to the Secretary of State of State until after the hearing</w:t>
      </w:r>
      <w:r w:rsidR="00400A4A">
        <w:rPr>
          <w:rFonts w:ascii="Book Antiqua" w:hAnsi="Book Antiqua" w:cs="Arial"/>
        </w:rPr>
        <w:t xml:space="preserve"> before the First-tier Tribunal</w:t>
      </w:r>
      <w:r w:rsidRPr="00254638">
        <w:rPr>
          <w:rFonts w:ascii="Book Antiqua" w:hAnsi="Book Antiqua" w:cs="Arial"/>
        </w:rPr>
        <w:t>.</w:t>
      </w:r>
    </w:p>
    <w:p w:rsidR="00C028F3" w:rsidRPr="00131B0C" w:rsidRDefault="00BB3207" w:rsidP="00131B0C">
      <w:pPr>
        <w:pStyle w:val="ListParagraph"/>
        <w:numPr>
          <w:ilvl w:val="0"/>
          <w:numId w:val="2"/>
        </w:numPr>
        <w:tabs>
          <w:tab w:val="left" w:pos="0"/>
        </w:tabs>
        <w:spacing w:before="120"/>
        <w:contextualSpacing w:val="0"/>
        <w:jc w:val="both"/>
        <w:rPr>
          <w:rFonts w:ascii="Book Antiqua" w:hAnsi="Book Antiqua" w:cs="Arial"/>
        </w:rPr>
      </w:pPr>
      <w:r w:rsidRPr="00131B0C">
        <w:rPr>
          <w:rFonts w:ascii="Book Antiqua" w:hAnsi="Book Antiqua" w:cs="Arial"/>
        </w:rPr>
        <w:t>In any event we agree with the skeleton argument that this case is not entirely analog</w:t>
      </w:r>
      <w:r w:rsidR="003A1AC1" w:rsidRPr="00131B0C">
        <w:rPr>
          <w:rFonts w:ascii="Book Antiqua" w:hAnsi="Book Antiqua" w:cs="Arial"/>
        </w:rPr>
        <w:t>ou</w:t>
      </w:r>
      <w:r w:rsidRPr="00131B0C">
        <w:rPr>
          <w:rFonts w:ascii="Book Antiqua" w:hAnsi="Book Antiqua" w:cs="Arial"/>
        </w:rPr>
        <w:t>s</w:t>
      </w:r>
      <w:r w:rsidR="003A1AC1" w:rsidRPr="00131B0C">
        <w:rPr>
          <w:rFonts w:ascii="Book Antiqua" w:hAnsi="Book Antiqua" w:cs="Arial"/>
        </w:rPr>
        <w:t xml:space="preserve"> </w:t>
      </w:r>
      <w:r w:rsidRPr="00131B0C">
        <w:rPr>
          <w:rFonts w:ascii="Book Antiqua" w:hAnsi="Book Antiqua" w:cs="Arial"/>
        </w:rPr>
        <w:t>to</w:t>
      </w:r>
      <w:r w:rsidR="008A0840" w:rsidRPr="00131B0C">
        <w:rPr>
          <w:rFonts w:ascii="Book Antiqua" w:hAnsi="Book Antiqua" w:cs="Arial"/>
        </w:rPr>
        <w:t xml:space="preserve"> </w:t>
      </w:r>
      <w:r w:rsidRPr="00131B0C">
        <w:rPr>
          <w:rFonts w:ascii="Book Antiqua" w:hAnsi="Book Antiqua" w:cs="Arial"/>
        </w:rPr>
        <w:t>the decision in</w:t>
      </w:r>
      <w:r w:rsidR="00131B0C" w:rsidRPr="00131B0C">
        <w:rPr>
          <w:rFonts w:ascii="Book Antiqua" w:hAnsi="Book Antiqua" w:cs="Arial"/>
        </w:rPr>
        <w:t xml:space="preserve"> </w:t>
      </w:r>
      <w:proofErr w:type="spellStart"/>
      <w:r w:rsidR="00131B0C" w:rsidRPr="003C74BB">
        <w:rPr>
          <w:rFonts w:ascii="Book Antiqua" w:hAnsi="Book Antiqua" w:cs="Arial"/>
          <w:b/>
          <w:u w:val="single"/>
        </w:rPr>
        <w:t>Chikwamba</w:t>
      </w:r>
      <w:proofErr w:type="spellEnd"/>
      <w:r w:rsidR="00131B0C" w:rsidRPr="003C74BB">
        <w:rPr>
          <w:rFonts w:ascii="Book Antiqua" w:hAnsi="Book Antiqua" w:cs="Arial"/>
          <w:b/>
          <w:u w:val="single"/>
        </w:rPr>
        <w:t xml:space="preserve"> v SSHD</w:t>
      </w:r>
      <w:r w:rsidR="00131B0C" w:rsidRPr="00131B0C">
        <w:rPr>
          <w:rFonts w:ascii="Book Antiqua" w:hAnsi="Book Antiqua" w:cs="Arial"/>
        </w:rPr>
        <w:t xml:space="preserve"> [2008] UKHL 40</w:t>
      </w:r>
      <w:r w:rsidR="003C74BB">
        <w:rPr>
          <w:rFonts w:ascii="Book Antiqua" w:hAnsi="Book Antiqua" w:cs="Arial"/>
        </w:rPr>
        <w:t xml:space="preserve"> </w:t>
      </w:r>
      <w:r w:rsidRPr="00131B0C">
        <w:rPr>
          <w:rFonts w:ascii="Book Antiqua" w:hAnsi="Book Antiqua" w:cs="Arial"/>
        </w:rPr>
        <w:t>because it is not a case where the applicant needed to leave the country to satisfy the Rules.  In</w:t>
      </w:r>
      <w:r w:rsidR="00F2191A" w:rsidRPr="00131B0C">
        <w:rPr>
          <w:rFonts w:ascii="Book Antiqua" w:hAnsi="Book Antiqua" w:cs="Arial"/>
        </w:rPr>
        <w:t>-</w:t>
      </w:r>
      <w:r w:rsidRPr="00131B0C">
        <w:rPr>
          <w:rFonts w:ascii="Book Antiqua" w:hAnsi="Book Antiqua" w:cs="Arial"/>
        </w:rPr>
        <w:t xml:space="preserve">country applications by people lawfully present with his length of residence to </w:t>
      </w:r>
      <w:r w:rsidR="00AD3DCA" w:rsidRPr="00131B0C">
        <w:rPr>
          <w:rFonts w:ascii="Book Antiqua" w:hAnsi="Book Antiqua" w:cs="Arial"/>
        </w:rPr>
        <w:t xml:space="preserve">change </w:t>
      </w:r>
      <w:r w:rsidR="00C028F3" w:rsidRPr="00131B0C">
        <w:rPr>
          <w:rFonts w:ascii="Book Antiqua" w:hAnsi="Book Antiqua" w:cs="Arial"/>
        </w:rPr>
        <w:t xml:space="preserve">the basis of their permission to </w:t>
      </w:r>
      <w:r w:rsidRPr="00131B0C">
        <w:rPr>
          <w:rFonts w:ascii="Book Antiqua" w:hAnsi="Book Antiqua" w:cs="Arial"/>
        </w:rPr>
        <w:t>husband are permissible.</w:t>
      </w:r>
    </w:p>
    <w:p w:rsidR="001864CE" w:rsidRDefault="00F2191A" w:rsidP="00254638">
      <w:pPr>
        <w:pStyle w:val="ListParagraph"/>
        <w:numPr>
          <w:ilvl w:val="0"/>
          <w:numId w:val="2"/>
        </w:numPr>
        <w:tabs>
          <w:tab w:val="left" w:pos="0"/>
        </w:tabs>
        <w:spacing w:before="120"/>
        <w:contextualSpacing w:val="0"/>
        <w:jc w:val="both"/>
        <w:rPr>
          <w:rFonts w:ascii="Book Antiqua" w:hAnsi="Book Antiqua" w:cs="Arial"/>
        </w:rPr>
      </w:pPr>
      <w:r w:rsidRPr="00254638">
        <w:rPr>
          <w:rFonts w:ascii="Book Antiqua" w:hAnsi="Book Antiqua" w:cs="Arial"/>
        </w:rPr>
        <w:t>Ms</w:t>
      </w:r>
      <w:r w:rsidR="00BB3207" w:rsidRPr="00254638">
        <w:rPr>
          <w:rFonts w:ascii="Book Antiqua" w:hAnsi="Book Antiqua" w:cs="Arial"/>
        </w:rPr>
        <w:t xml:space="preserve"> Everett emphasised that the Rules governing immigration are intended to be obeyed and the application</w:t>
      </w:r>
      <w:r w:rsidR="00FB5412">
        <w:rPr>
          <w:rFonts w:ascii="Book Antiqua" w:hAnsi="Book Antiqua" w:cs="Arial"/>
        </w:rPr>
        <w:t>,</w:t>
      </w:r>
      <w:r w:rsidR="00BB3207" w:rsidRPr="00254638">
        <w:rPr>
          <w:rFonts w:ascii="Book Antiqua" w:hAnsi="Book Antiqua" w:cs="Arial"/>
        </w:rPr>
        <w:t xml:space="preserve"> as far as we can see</w:t>
      </w:r>
      <w:r w:rsidR="00FB5412">
        <w:rPr>
          <w:rFonts w:ascii="Book Antiqua" w:hAnsi="Book Antiqua" w:cs="Arial"/>
        </w:rPr>
        <w:t>,</w:t>
      </w:r>
      <w:r w:rsidR="00BB3207" w:rsidRPr="00254638">
        <w:rPr>
          <w:rFonts w:ascii="Book Antiqua" w:hAnsi="Book Antiqua" w:cs="Arial"/>
        </w:rPr>
        <w:t xml:space="preserve"> </w:t>
      </w:r>
      <w:r w:rsidR="00FB5412">
        <w:rPr>
          <w:rFonts w:ascii="Book Antiqua" w:hAnsi="Book Antiqua" w:cs="Arial"/>
        </w:rPr>
        <w:t xml:space="preserve">was refused </w:t>
      </w:r>
      <w:r w:rsidR="00BB3207" w:rsidRPr="00254638">
        <w:rPr>
          <w:rFonts w:ascii="Book Antiqua" w:hAnsi="Book Antiqua" w:cs="Arial"/>
        </w:rPr>
        <w:t>properly under the Rules</w:t>
      </w:r>
      <w:r w:rsidR="00F601C8">
        <w:rPr>
          <w:rFonts w:ascii="Book Antiqua" w:hAnsi="Book Antiqua" w:cs="Arial"/>
        </w:rPr>
        <w:t>. T</w:t>
      </w:r>
      <w:r w:rsidR="00BB3207" w:rsidRPr="00254638">
        <w:rPr>
          <w:rFonts w:ascii="Book Antiqua" w:hAnsi="Book Antiqua" w:cs="Arial"/>
        </w:rPr>
        <w:t xml:space="preserve">he First-tier Tribunal should think long and hard before allowing on human rights grounds an application that could not succeed under the Rules because the Rules are intended to be human rights compliant.  </w:t>
      </w:r>
      <w:r w:rsidR="00F601C8">
        <w:rPr>
          <w:rFonts w:ascii="Book Antiqua" w:hAnsi="Book Antiqua" w:cs="Arial"/>
        </w:rPr>
        <w:t xml:space="preserve">We </w:t>
      </w:r>
      <w:r w:rsidR="00BB3207" w:rsidRPr="00254638">
        <w:rPr>
          <w:rFonts w:ascii="Book Antiqua" w:hAnsi="Book Antiqua" w:cs="Arial"/>
        </w:rPr>
        <w:t xml:space="preserve">agree </w:t>
      </w:r>
      <w:r w:rsidR="00F601C8">
        <w:rPr>
          <w:rFonts w:ascii="Book Antiqua" w:hAnsi="Book Antiqua" w:cs="Arial"/>
        </w:rPr>
        <w:t>her</w:t>
      </w:r>
      <w:r w:rsidR="00BB3207" w:rsidRPr="00254638">
        <w:rPr>
          <w:rFonts w:ascii="Book Antiqua" w:hAnsi="Book Antiqua" w:cs="Arial"/>
        </w:rPr>
        <w:t xml:space="preserve">.  </w:t>
      </w:r>
      <w:r w:rsidR="00F45136">
        <w:rPr>
          <w:rFonts w:ascii="Book Antiqua" w:hAnsi="Book Antiqua" w:cs="Arial"/>
        </w:rPr>
        <w:t>N</w:t>
      </w:r>
      <w:r w:rsidR="00BB3207" w:rsidRPr="00254638">
        <w:rPr>
          <w:rFonts w:ascii="Book Antiqua" w:hAnsi="Book Antiqua" w:cs="Arial"/>
        </w:rPr>
        <w:t xml:space="preserve">othing we are saying here is to encourage people to ignore the Rules and </w:t>
      </w:r>
      <w:r w:rsidR="001962BA">
        <w:rPr>
          <w:rFonts w:ascii="Book Antiqua" w:hAnsi="Book Antiqua" w:cs="Arial"/>
        </w:rPr>
        <w:t xml:space="preserve">rely </w:t>
      </w:r>
      <w:r w:rsidR="00BB3207" w:rsidRPr="00254638">
        <w:rPr>
          <w:rFonts w:ascii="Book Antiqua" w:hAnsi="Book Antiqua" w:cs="Arial"/>
        </w:rPr>
        <w:t xml:space="preserve">on asserting human rights.  It may have been quicker and cheaper and simpler </w:t>
      </w:r>
      <w:r w:rsidR="001962BA">
        <w:rPr>
          <w:rFonts w:ascii="Book Antiqua" w:hAnsi="Book Antiqua" w:cs="Arial"/>
        </w:rPr>
        <w:t xml:space="preserve">for this claimant </w:t>
      </w:r>
      <w:r w:rsidR="00BB3207" w:rsidRPr="00254638">
        <w:rPr>
          <w:rFonts w:ascii="Book Antiqua" w:hAnsi="Book Antiqua" w:cs="Arial"/>
        </w:rPr>
        <w:t xml:space="preserve">to have left the United Kingdom and applied to come back as a husband when the claimant’s wife was able to do </w:t>
      </w:r>
      <w:r w:rsidR="001962BA">
        <w:rPr>
          <w:rFonts w:ascii="Book Antiqua" w:hAnsi="Book Antiqua" w:cs="Arial"/>
        </w:rPr>
        <w:t>produce the necessary evidence</w:t>
      </w:r>
      <w:r w:rsidR="00BB3207" w:rsidRPr="00254638">
        <w:rPr>
          <w:rFonts w:ascii="Book Antiqua" w:hAnsi="Book Antiqua" w:cs="Arial"/>
        </w:rPr>
        <w:t xml:space="preserve">.  </w:t>
      </w:r>
      <w:r w:rsidR="001962BA">
        <w:rPr>
          <w:rFonts w:ascii="Book Antiqua" w:hAnsi="Book Antiqua" w:cs="Arial"/>
        </w:rPr>
        <w:t>T</w:t>
      </w:r>
      <w:r w:rsidR="00BB3207" w:rsidRPr="00254638">
        <w:rPr>
          <w:rFonts w:ascii="Book Antiqua" w:hAnsi="Book Antiqua" w:cs="Arial"/>
        </w:rPr>
        <w:t xml:space="preserve">hat is not what happened here and we find the judge has made a careful enquiry and </w:t>
      </w:r>
      <w:r w:rsidR="001864CE">
        <w:rPr>
          <w:rFonts w:ascii="Book Antiqua" w:hAnsi="Book Antiqua" w:cs="Arial"/>
        </w:rPr>
        <w:t xml:space="preserve">a has conducted </w:t>
      </w:r>
      <w:proofErr w:type="gramStart"/>
      <w:r w:rsidR="001864CE">
        <w:rPr>
          <w:rFonts w:ascii="Book Antiqua" w:hAnsi="Book Antiqua" w:cs="Arial"/>
        </w:rPr>
        <w:t xml:space="preserve">a </w:t>
      </w:r>
      <w:r w:rsidR="00BB3207" w:rsidRPr="00254638">
        <w:rPr>
          <w:rFonts w:ascii="Book Antiqua" w:hAnsi="Book Antiqua" w:cs="Arial"/>
        </w:rPr>
        <w:t>reasoned human rights</w:t>
      </w:r>
      <w:proofErr w:type="gramEnd"/>
      <w:r w:rsidR="00BB3207" w:rsidRPr="00254638">
        <w:rPr>
          <w:rFonts w:ascii="Book Antiqua" w:hAnsi="Book Antiqua" w:cs="Arial"/>
        </w:rPr>
        <w:t xml:space="preserve"> balancing exercise.  The judge has resolved some points in the favour of the claimant that other judges might not have resolved in that way but he </w:t>
      </w:r>
      <w:r w:rsidR="00BB3207" w:rsidRPr="00254638">
        <w:rPr>
          <w:rFonts w:ascii="Book Antiqua" w:hAnsi="Book Antiqua" w:cs="Arial"/>
        </w:rPr>
        <w:lastRenderedPageBreak/>
        <w:t xml:space="preserve">has done nothing that is perverse or </w:t>
      </w:r>
      <w:r w:rsidR="001864CE">
        <w:rPr>
          <w:rFonts w:ascii="Book Antiqua" w:hAnsi="Book Antiqua" w:cs="Arial"/>
        </w:rPr>
        <w:t xml:space="preserve">otherwise </w:t>
      </w:r>
      <w:r w:rsidR="00BB3207" w:rsidRPr="00254638">
        <w:rPr>
          <w:rFonts w:ascii="Book Antiqua" w:hAnsi="Book Antiqua" w:cs="Arial"/>
        </w:rPr>
        <w:t>unlawful and overall has reached a decision that was properly open to him for the reasons given.</w:t>
      </w:r>
    </w:p>
    <w:p w:rsidR="007A79A2" w:rsidRDefault="009A63A2" w:rsidP="00254638">
      <w:pPr>
        <w:pStyle w:val="ListParagraph"/>
        <w:numPr>
          <w:ilvl w:val="0"/>
          <w:numId w:val="2"/>
        </w:numPr>
        <w:tabs>
          <w:tab w:val="left" w:pos="0"/>
        </w:tabs>
        <w:spacing w:before="120"/>
        <w:contextualSpacing w:val="0"/>
        <w:jc w:val="both"/>
        <w:rPr>
          <w:rFonts w:ascii="Book Antiqua" w:hAnsi="Book Antiqua" w:cs="Arial"/>
        </w:rPr>
      </w:pPr>
      <w:r>
        <w:rPr>
          <w:rFonts w:ascii="Book Antiqua" w:hAnsi="Book Antiqua" w:cs="Arial"/>
        </w:rPr>
        <w:t xml:space="preserve">The bottom line is that the Judge’s decision means that a person who entered the United Kingdom lawfully and who has </w:t>
      </w:r>
      <w:r w:rsidR="007A79A2">
        <w:rPr>
          <w:rFonts w:ascii="Book Antiqua" w:hAnsi="Book Antiqua" w:cs="Arial"/>
        </w:rPr>
        <w:t xml:space="preserve">embarked on </w:t>
      </w:r>
      <w:r w:rsidR="0002319A">
        <w:rPr>
          <w:rFonts w:ascii="Book Antiqua" w:hAnsi="Book Antiqua" w:cs="Arial"/>
        </w:rPr>
        <w:t>a</w:t>
      </w:r>
      <w:r w:rsidR="007A79A2">
        <w:rPr>
          <w:rFonts w:ascii="Book Antiqua" w:hAnsi="Book Antiqua" w:cs="Arial"/>
        </w:rPr>
        <w:t xml:space="preserve"> genuine supportive marriage with a wife who earns enough to support him is allowed to remain. This is not an affront to immigration control.</w:t>
      </w:r>
    </w:p>
    <w:p w:rsidR="007A79A2" w:rsidRDefault="00BB3207" w:rsidP="00254638">
      <w:pPr>
        <w:pStyle w:val="ListParagraph"/>
        <w:numPr>
          <w:ilvl w:val="0"/>
          <w:numId w:val="2"/>
        </w:numPr>
        <w:tabs>
          <w:tab w:val="left" w:pos="0"/>
        </w:tabs>
        <w:spacing w:before="120"/>
        <w:contextualSpacing w:val="0"/>
        <w:jc w:val="both"/>
        <w:rPr>
          <w:rFonts w:ascii="Book Antiqua" w:hAnsi="Book Antiqua" w:cs="Arial"/>
        </w:rPr>
      </w:pPr>
      <w:r w:rsidRPr="00254638">
        <w:rPr>
          <w:rFonts w:ascii="Book Antiqua" w:hAnsi="Book Antiqua" w:cs="Arial"/>
        </w:rPr>
        <w:t xml:space="preserve">We do make the observation that cases that depend on the human rights balancing exercise will almost always be capable of resolution in different ways but where there are correct directions of law as is the case here it is hard to overturn the decision and we find that the Secretary of State has failed to </w:t>
      </w:r>
      <w:r w:rsidR="00B71F83">
        <w:rPr>
          <w:rFonts w:ascii="Book Antiqua" w:hAnsi="Book Antiqua" w:cs="Arial"/>
        </w:rPr>
        <w:t xml:space="preserve">persuade us that we should </w:t>
      </w:r>
      <w:r w:rsidRPr="00254638">
        <w:rPr>
          <w:rFonts w:ascii="Book Antiqua" w:hAnsi="Book Antiqua" w:cs="Arial"/>
        </w:rPr>
        <w:t>on this occasion.</w:t>
      </w:r>
    </w:p>
    <w:p w:rsidR="009F14B8" w:rsidRPr="00254638" w:rsidRDefault="00BB3207" w:rsidP="00254638">
      <w:pPr>
        <w:pStyle w:val="ListParagraph"/>
        <w:numPr>
          <w:ilvl w:val="0"/>
          <w:numId w:val="2"/>
        </w:numPr>
        <w:tabs>
          <w:tab w:val="left" w:pos="0"/>
        </w:tabs>
        <w:spacing w:before="120"/>
        <w:contextualSpacing w:val="0"/>
        <w:jc w:val="both"/>
        <w:rPr>
          <w:rFonts w:ascii="Book Antiqua" w:hAnsi="Book Antiqua" w:cs="Arial"/>
        </w:rPr>
      </w:pPr>
      <w:r w:rsidRPr="00254638">
        <w:rPr>
          <w:rFonts w:ascii="Book Antiqua" w:hAnsi="Book Antiqua" w:cs="Arial"/>
        </w:rPr>
        <w:t xml:space="preserve">It follows therefore that we dismiss the Secretary of State’s appeal. </w:t>
      </w:r>
    </w:p>
    <w:p w:rsidR="009F14B8" w:rsidRDefault="009F14B8" w:rsidP="008941A4">
      <w:pPr>
        <w:tabs>
          <w:tab w:val="left" w:pos="0"/>
        </w:tabs>
        <w:spacing w:before="120"/>
        <w:ind w:hanging="431"/>
        <w:jc w:val="both"/>
        <w:rPr>
          <w:rFonts w:ascii="Book Antiqua" w:hAnsi="Book Antiqua" w:cs="Arial"/>
        </w:rPr>
      </w:pPr>
    </w:p>
    <w:p w:rsidR="00B05C39" w:rsidRPr="004E25CA" w:rsidRDefault="00B05C39" w:rsidP="003B59D7">
      <w:pPr>
        <w:spacing w:before="120"/>
        <w:ind w:left="3"/>
        <w:jc w:val="both"/>
        <w:rPr>
          <w:rFonts w:ascii="Book Antiqua" w:hAnsi="Book Antiqua" w:cs="Arial"/>
        </w:rPr>
      </w:pPr>
    </w:p>
    <w:p w:rsidR="00B05C39" w:rsidRPr="00132ACD" w:rsidRDefault="00B05C39"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B05C39" w:rsidTr="005115E0">
        <w:tc>
          <w:tcPr>
            <w:tcW w:w="4927" w:type="dxa"/>
            <w:shd w:val="clear" w:color="auto" w:fill="auto"/>
          </w:tcPr>
          <w:p w:rsidR="00B05C39" w:rsidRPr="00DB7BA6" w:rsidRDefault="00B05C39"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B05C39" w:rsidRPr="00DB7BA6" w:rsidRDefault="00B71F83" w:rsidP="003B59D7">
            <w:pPr>
              <w:tabs>
                <w:tab w:val="left" w:pos="0"/>
              </w:tabs>
              <w:spacing w:before="120"/>
              <w:jc w:val="both"/>
              <w:rPr>
                <w:rFonts w:ascii="Book Antiqua" w:hAnsi="Book Antiqua" w:cs="Arial"/>
              </w:rPr>
            </w:pPr>
            <w:r w:rsidRPr="00B71F83">
              <w:rPr>
                <w:rFonts w:ascii="Century Schoolbook" w:hAnsi="Century Schoolbook" w:cs="Arial"/>
                <w:b/>
                <w:noProof/>
                <w:color w:val="000000"/>
              </w:rPr>
              <w:drawing>
                <wp:anchor distT="0" distB="0" distL="114300" distR="114300" simplePos="0" relativeHeight="251659264" behindDoc="1" locked="0" layoutInCell="1" allowOverlap="1" wp14:anchorId="0C456C18" wp14:editId="5BBA4B67">
                  <wp:simplePos x="0" y="0"/>
                  <wp:positionH relativeFrom="column">
                    <wp:posOffset>-1027795</wp:posOffset>
                  </wp:positionH>
                  <wp:positionV relativeFrom="paragraph">
                    <wp:posOffset>-784036</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tc>
      </w:tr>
      <w:tr w:rsidR="00B05C39" w:rsidTr="005115E0">
        <w:tc>
          <w:tcPr>
            <w:tcW w:w="4927" w:type="dxa"/>
            <w:shd w:val="clear" w:color="auto" w:fill="auto"/>
          </w:tcPr>
          <w:p w:rsidR="00B05C39" w:rsidRPr="00DB7BA6" w:rsidRDefault="00B05C39"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B05C39" w:rsidRPr="00DB7BA6" w:rsidRDefault="00B05C39"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16 May 2018</w:t>
            </w:r>
          </w:p>
        </w:tc>
      </w:tr>
    </w:tbl>
    <w:p w:rsidR="00B05C39" w:rsidRDefault="00B05C39" w:rsidP="003B59D7">
      <w:pPr>
        <w:tabs>
          <w:tab w:val="left" w:pos="0"/>
        </w:tabs>
        <w:spacing w:before="120"/>
        <w:ind w:hanging="567"/>
        <w:jc w:val="both"/>
        <w:rPr>
          <w:rFonts w:ascii="Book Antiqua" w:hAnsi="Book Antiqua" w:cs="Arial"/>
        </w:rPr>
      </w:pPr>
    </w:p>
    <w:p w:rsidR="00B05C39" w:rsidRDefault="00B05C39" w:rsidP="008941A4">
      <w:pPr>
        <w:tabs>
          <w:tab w:val="left" w:pos="0"/>
        </w:tabs>
        <w:spacing w:before="120"/>
        <w:ind w:hanging="431"/>
        <w:jc w:val="both"/>
        <w:rPr>
          <w:rFonts w:ascii="Book Antiqua" w:hAnsi="Book Antiqua" w:cs="Arial"/>
        </w:rPr>
      </w:pPr>
    </w:p>
    <w:sectPr w:rsidR="00B05C39"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A6B" w:rsidRDefault="00FF1A6B">
      <w:r>
        <w:separator/>
      </w:r>
    </w:p>
  </w:endnote>
  <w:endnote w:type="continuationSeparator" w:id="0">
    <w:p w:rsidR="00FF1A6B" w:rsidRDefault="00FF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643270176"/>
      <w:docPartObj>
        <w:docPartGallery w:val="Page Numbers (Bottom of Page)"/>
        <w:docPartUnique/>
      </w:docPartObj>
    </w:sdtPr>
    <w:sdtEndPr>
      <w:rPr>
        <w:noProof/>
      </w:rPr>
    </w:sdtEndPr>
    <w:sdtContent>
      <w:p w:rsidR="00EF5872" w:rsidRPr="004A716E" w:rsidRDefault="00EF5872">
        <w:pPr>
          <w:pStyle w:val="Footer"/>
          <w:jc w:val="center"/>
          <w:rPr>
            <w:rFonts w:ascii="Book Antiqua" w:hAnsi="Book Antiqua"/>
            <w:sz w:val="20"/>
            <w:szCs w:val="20"/>
          </w:rPr>
        </w:pPr>
        <w:r w:rsidRPr="004A716E">
          <w:rPr>
            <w:rFonts w:ascii="Book Antiqua" w:hAnsi="Book Antiqua"/>
            <w:sz w:val="20"/>
            <w:szCs w:val="20"/>
          </w:rPr>
          <w:fldChar w:fldCharType="begin"/>
        </w:r>
        <w:r w:rsidRPr="004A716E">
          <w:rPr>
            <w:rFonts w:ascii="Book Antiqua" w:hAnsi="Book Antiqua"/>
            <w:sz w:val="20"/>
            <w:szCs w:val="20"/>
          </w:rPr>
          <w:instrText xml:space="preserve"> PAGE   \* MERGEFORMAT </w:instrText>
        </w:r>
        <w:r w:rsidRPr="004A716E">
          <w:rPr>
            <w:rFonts w:ascii="Book Antiqua" w:hAnsi="Book Antiqua"/>
            <w:sz w:val="20"/>
            <w:szCs w:val="20"/>
          </w:rPr>
          <w:fldChar w:fldCharType="separate"/>
        </w:r>
        <w:r w:rsidR="0059093A">
          <w:rPr>
            <w:rFonts w:ascii="Book Antiqua" w:hAnsi="Book Antiqua"/>
            <w:noProof/>
            <w:sz w:val="20"/>
            <w:szCs w:val="20"/>
          </w:rPr>
          <w:t>5</w:t>
        </w:r>
        <w:r w:rsidRPr="004A716E">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BF0" w:rsidRPr="004A716E" w:rsidRDefault="008E7BF0" w:rsidP="008E7BF0">
    <w:pPr>
      <w:jc w:val="center"/>
      <w:rPr>
        <w:rFonts w:ascii="Book Antiqua" w:hAnsi="Book Antiqua"/>
        <w:b/>
      </w:rPr>
    </w:pPr>
    <w:r w:rsidRPr="004A716E">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A6B" w:rsidRDefault="00FF1A6B">
      <w:r>
        <w:separator/>
      </w:r>
    </w:p>
  </w:footnote>
  <w:footnote w:type="continuationSeparator" w:id="0">
    <w:p w:rsidR="00FF1A6B" w:rsidRDefault="00FF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814" w:rsidRPr="004A716E" w:rsidRDefault="00E44430" w:rsidP="00EF5872">
    <w:pPr>
      <w:pStyle w:val="Header"/>
      <w:jc w:val="right"/>
      <w:rPr>
        <w:rFonts w:ascii="Book Antiqua" w:hAnsi="Book Antiqua" w:cs="Arial"/>
        <w:sz w:val="20"/>
        <w:szCs w:val="20"/>
      </w:rPr>
    </w:pPr>
    <w:r w:rsidRPr="004A716E">
      <w:rPr>
        <w:rFonts w:ascii="Book Antiqua" w:hAnsi="Book Antiqua" w:cs="Arial"/>
        <w:sz w:val="20"/>
        <w:szCs w:val="20"/>
      </w:rPr>
      <w:t>H</w:t>
    </w:r>
    <w:r w:rsidR="004A716E">
      <w:rPr>
        <w:rFonts w:ascii="Book Antiqua" w:hAnsi="Book Antiqua" w:cs="Arial"/>
        <w:sz w:val="20"/>
        <w:szCs w:val="20"/>
      </w:rPr>
      <w:t>U/</w:t>
    </w:r>
    <w:r w:rsidRPr="004A716E">
      <w:rPr>
        <w:rFonts w:ascii="Book Antiqua" w:hAnsi="Book Antiqua" w:cs="Arial"/>
        <w:sz w:val="20"/>
        <w:szCs w:val="20"/>
      </w:rPr>
      <w:t>02033</w:t>
    </w:r>
    <w:r w:rsidR="004A716E">
      <w:rPr>
        <w:rFonts w:ascii="Book Antiqua" w:hAnsi="Book Antiqua" w:cs="Arial"/>
        <w:sz w:val="20"/>
        <w:szCs w:val="20"/>
      </w:rPr>
      <w:t>/</w:t>
    </w:r>
    <w:r w:rsidRPr="004A716E">
      <w:rPr>
        <w:rFonts w:ascii="Book Antiqua" w:hAnsi="Book Antiqua" w:cs="Arial"/>
        <w:sz w:val="20"/>
        <w:szCs w:val="20"/>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037F7"/>
    <w:multiLevelType w:val="hybridMultilevel"/>
    <w:tmpl w:val="77A6A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C51E80"/>
    <w:multiLevelType w:val="hybridMultilevel"/>
    <w:tmpl w:val="BA7A4A54"/>
    <w:lvl w:ilvl="0" w:tplc="3F74B93C">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06"/>
    <w:rsid w:val="00000621"/>
    <w:rsid w:val="000036C2"/>
    <w:rsid w:val="000225BC"/>
    <w:rsid w:val="0002319A"/>
    <w:rsid w:val="00033D3D"/>
    <w:rsid w:val="00062F02"/>
    <w:rsid w:val="00071A7E"/>
    <w:rsid w:val="000746C0"/>
    <w:rsid w:val="00074D1D"/>
    <w:rsid w:val="00092580"/>
    <w:rsid w:val="00093D4D"/>
    <w:rsid w:val="000B0F50"/>
    <w:rsid w:val="000B2BA7"/>
    <w:rsid w:val="000B3442"/>
    <w:rsid w:val="000D5D94"/>
    <w:rsid w:val="000F064A"/>
    <w:rsid w:val="000F1A0E"/>
    <w:rsid w:val="001165A7"/>
    <w:rsid w:val="00127ECB"/>
    <w:rsid w:val="00131B0C"/>
    <w:rsid w:val="00143CCB"/>
    <w:rsid w:val="001554B5"/>
    <w:rsid w:val="00167D3A"/>
    <w:rsid w:val="00171434"/>
    <w:rsid w:val="001864CE"/>
    <w:rsid w:val="00194C06"/>
    <w:rsid w:val="001962BA"/>
    <w:rsid w:val="001A3082"/>
    <w:rsid w:val="001B103A"/>
    <w:rsid w:val="001B186A"/>
    <w:rsid w:val="001B2F75"/>
    <w:rsid w:val="001B4032"/>
    <w:rsid w:val="001D45F0"/>
    <w:rsid w:val="001F2716"/>
    <w:rsid w:val="001F2FBD"/>
    <w:rsid w:val="001F5024"/>
    <w:rsid w:val="00207617"/>
    <w:rsid w:val="0023134B"/>
    <w:rsid w:val="00243169"/>
    <w:rsid w:val="00245E38"/>
    <w:rsid w:val="00254638"/>
    <w:rsid w:val="00265840"/>
    <w:rsid w:val="00283659"/>
    <w:rsid w:val="002C0F46"/>
    <w:rsid w:val="002C6BD4"/>
    <w:rsid w:val="002D290A"/>
    <w:rsid w:val="002D68BF"/>
    <w:rsid w:val="002F0753"/>
    <w:rsid w:val="002F6B98"/>
    <w:rsid w:val="002F7175"/>
    <w:rsid w:val="00304546"/>
    <w:rsid w:val="00336CBF"/>
    <w:rsid w:val="00343FE3"/>
    <w:rsid w:val="003546C8"/>
    <w:rsid w:val="003837D4"/>
    <w:rsid w:val="003A1AC1"/>
    <w:rsid w:val="003A7CF2"/>
    <w:rsid w:val="003B420E"/>
    <w:rsid w:val="003C5CE5"/>
    <w:rsid w:val="003C74BB"/>
    <w:rsid w:val="003E267B"/>
    <w:rsid w:val="003E7CD1"/>
    <w:rsid w:val="003F1117"/>
    <w:rsid w:val="00400A4A"/>
    <w:rsid w:val="00402B9E"/>
    <w:rsid w:val="00403A9E"/>
    <w:rsid w:val="004231BC"/>
    <w:rsid w:val="004249CB"/>
    <w:rsid w:val="0044127D"/>
    <w:rsid w:val="004448DB"/>
    <w:rsid w:val="00446C9A"/>
    <w:rsid w:val="00452F2B"/>
    <w:rsid w:val="00474D45"/>
    <w:rsid w:val="00477193"/>
    <w:rsid w:val="004A1848"/>
    <w:rsid w:val="004A3DDC"/>
    <w:rsid w:val="004A41A6"/>
    <w:rsid w:val="004A6F4A"/>
    <w:rsid w:val="004A716E"/>
    <w:rsid w:val="004E0F3D"/>
    <w:rsid w:val="004E4717"/>
    <w:rsid w:val="00507FEC"/>
    <w:rsid w:val="00510F0E"/>
    <w:rsid w:val="00533ED8"/>
    <w:rsid w:val="005479E1"/>
    <w:rsid w:val="00553E0A"/>
    <w:rsid w:val="005570FD"/>
    <w:rsid w:val="005575EA"/>
    <w:rsid w:val="00562F7A"/>
    <w:rsid w:val="0057790C"/>
    <w:rsid w:val="0059093A"/>
    <w:rsid w:val="00593795"/>
    <w:rsid w:val="005A75FF"/>
    <w:rsid w:val="005D10AB"/>
    <w:rsid w:val="00601D8F"/>
    <w:rsid w:val="00607D3E"/>
    <w:rsid w:val="00626EA2"/>
    <w:rsid w:val="00653E97"/>
    <w:rsid w:val="00664B04"/>
    <w:rsid w:val="006701F7"/>
    <w:rsid w:val="00684A74"/>
    <w:rsid w:val="00690B8A"/>
    <w:rsid w:val="006934C4"/>
    <w:rsid w:val="006F2CF1"/>
    <w:rsid w:val="007038ED"/>
    <w:rsid w:val="00703BC3"/>
    <w:rsid w:val="00704B61"/>
    <w:rsid w:val="007552A9"/>
    <w:rsid w:val="00756090"/>
    <w:rsid w:val="00761858"/>
    <w:rsid w:val="0076727C"/>
    <w:rsid w:val="00767D59"/>
    <w:rsid w:val="007737EE"/>
    <w:rsid w:val="00776E97"/>
    <w:rsid w:val="00780F86"/>
    <w:rsid w:val="007912AD"/>
    <w:rsid w:val="00792E5B"/>
    <w:rsid w:val="007A0B88"/>
    <w:rsid w:val="007A79A2"/>
    <w:rsid w:val="007B0824"/>
    <w:rsid w:val="007B5D3C"/>
    <w:rsid w:val="007F2A46"/>
    <w:rsid w:val="00806249"/>
    <w:rsid w:val="00821B72"/>
    <w:rsid w:val="00823EF2"/>
    <w:rsid w:val="008303B8"/>
    <w:rsid w:val="00833DCE"/>
    <w:rsid w:val="008430F1"/>
    <w:rsid w:val="00851D4F"/>
    <w:rsid w:val="00871D34"/>
    <w:rsid w:val="008941A4"/>
    <w:rsid w:val="008A0840"/>
    <w:rsid w:val="008A3898"/>
    <w:rsid w:val="008B270C"/>
    <w:rsid w:val="008B5078"/>
    <w:rsid w:val="008C3D3D"/>
    <w:rsid w:val="008D4131"/>
    <w:rsid w:val="008E7BF0"/>
    <w:rsid w:val="008F1932"/>
    <w:rsid w:val="00921062"/>
    <w:rsid w:val="00940AF0"/>
    <w:rsid w:val="00951C5A"/>
    <w:rsid w:val="00957B0F"/>
    <w:rsid w:val="009722BC"/>
    <w:rsid w:val="009727A3"/>
    <w:rsid w:val="00983F46"/>
    <w:rsid w:val="00987774"/>
    <w:rsid w:val="00994ECB"/>
    <w:rsid w:val="009A11E8"/>
    <w:rsid w:val="009A63A2"/>
    <w:rsid w:val="009D557B"/>
    <w:rsid w:val="009F0D16"/>
    <w:rsid w:val="009F14B8"/>
    <w:rsid w:val="009F5220"/>
    <w:rsid w:val="009F6636"/>
    <w:rsid w:val="00A15234"/>
    <w:rsid w:val="00A201AB"/>
    <w:rsid w:val="00A31C8B"/>
    <w:rsid w:val="00A509FA"/>
    <w:rsid w:val="00A71C11"/>
    <w:rsid w:val="00A842AA"/>
    <w:rsid w:val="00A845DC"/>
    <w:rsid w:val="00AA458F"/>
    <w:rsid w:val="00AA4CD8"/>
    <w:rsid w:val="00AA51DA"/>
    <w:rsid w:val="00AC04A0"/>
    <w:rsid w:val="00AD3DCA"/>
    <w:rsid w:val="00AF6E7B"/>
    <w:rsid w:val="00B01D90"/>
    <w:rsid w:val="00B05C39"/>
    <w:rsid w:val="00B26AA2"/>
    <w:rsid w:val="00B315A7"/>
    <w:rsid w:val="00B3524D"/>
    <w:rsid w:val="00B37FDE"/>
    <w:rsid w:val="00B40F69"/>
    <w:rsid w:val="00B46616"/>
    <w:rsid w:val="00B57AE9"/>
    <w:rsid w:val="00B7040A"/>
    <w:rsid w:val="00B71F83"/>
    <w:rsid w:val="00B83391"/>
    <w:rsid w:val="00B91640"/>
    <w:rsid w:val="00B95326"/>
    <w:rsid w:val="00BB3207"/>
    <w:rsid w:val="00BD4196"/>
    <w:rsid w:val="00BF22CA"/>
    <w:rsid w:val="00BF23BB"/>
    <w:rsid w:val="00C028F3"/>
    <w:rsid w:val="00C2080F"/>
    <w:rsid w:val="00C26032"/>
    <w:rsid w:val="00C345E1"/>
    <w:rsid w:val="00C43BFD"/>
    <w:rsid w:val="00CA050F"/>
    <w:rsid w:val="00CB6E35"/>
    <w:rsid w:val="00CD3D3A"/>
    <w:rsid w:val="00CE1A46"/>
    <w:rsid w:val="00CE456F"/>
    <w:rsid w:val="00CE751F"/>
    <w:rsid w:val="00D20757"/>
    <w:rsid w:val="00D22636"/>
    <w:rsid w:val="00D40FD9"/>
    <w:rsid w:val="00D53769"/>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30683"/>
    <w:rsid w:val="00E44430"/>
    <w:rsid w:val="00E453D8"/>
    <w:rsid w:val="00E50BCE"/>
    <w:rsid w:val="00E574BF"/>
    <w:rsid w:val="00E61292"/>
    <w:rsid w:val="00E67814"/>
    <w:rsid w:val="00E77C4D"/>
    <w:rsid w:val="00E81D01"/>
    <w:rsid w:val="00EE45D8"/>
    <w:rsid w:val="00EF5872"/>
    <w:rsid w:val="00F00186"/>
    <w:rsid w:val="00F2191A"/>
    <w:rsid w:val="00F22EDA"/>
    <w:rsid w:val="00F41C53"/>
    <w:rsid w:val="00F45136"/>
    <w:rsid w:val="00F601C8"/>
    <w:rsid w:val="00FB5412"/>
    <w:rsid w:val="00FF1A6B"/>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2CC19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8941A4"/>
    <w:pPr>
      <w:ind w:left="720"/>
      <w:contextualSpacing/>
    </w:pPr>
  </w:style>
  <w:style w:type="character" w:customStyle="1" w:styleId="FooterChar">
    <w:name w:val="Footer Char"/>
    <w:basedOn w:val="DefaultParagraphFont"/>
    <w:link w:val="Footer"/>
    <w:uiPriority w:val="99"/>
    <w:rsid w:val="00E6781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1914</Words>
  <Characters>10910</Characters>
  <Application>Microsoft Office Word</Application>
  <DocSecurity>0</DocSecurity>
  <Lines>90</Lines>
  <Paragraphs>25</Paragraphs>
  <ScaleCrop>false</ScaleCrop>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2018-06-11T13:56:00Z</dcterms:created>
  <dcterms:modified xsi:type="dcterms:W3CDTF">2018-06-11T13:56:00Z</dcterms:modified>
</cp:coreProperties>
</file>