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97A" w:rsidRPr="00F55191" w:rsidRDefault="00CB162C" w:rsidP="0072497A">
      <w:pPr>
        <w:jc w:val="center"/>
        <w:rPr>
          <w:rFonts w:ascii="Book Antiqua" w:hAnsi="Book Antiqua" w:cs="Arial"/>
          <w:caps/>
          <w:color w:val="000000"/>
          <w:sz w:val="16"/>
          <w:szCs w:val="16"/>
        </w:rPr>
      </w:pPr>
      <w:r w:rsidRPr="00F55191">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5191" w:rsidRDefault="00D94AFC">
      <w:pPr>
        <w:rPr>
          <w:rFonts w:ascii="Book Antiqua" w:hAnsi="Book Antiqua" w:cs="Arial"/>
          <w:color w:val="000000"/>
          <w:sz w:val="16"/>
          <w:szCs w:val="16"/>
        </w:rPr>
      </w:pPr>
    </w:p>
    <w:p w:rsidR="0072497A" w:rsidRPr="00C3462F" w:rsidRDefault="0072497A" w:rsidP="00780F86">
      <w:pPr>
        <w:tabs>
          <w:tab w:val="right" w:pos="9720"/>
        </w:tabs>
        <w:ind w:right="-82"/>
        <w:rPr>
          <w:rFonts w:ascii="Book Antiqua" w:hAnsi="Book Antiqua" w:cs="Arial"/>
          <w:b/>
          <w:color w:val="000000"/>
        </w:rPr>
      </w:pPr>
      <w:r w:rsidRPr="00C3462F">
        <w:rPr>
          <w:rFonts w:ascii="Book Antiqua" w:hAnsi="Book Antiqua" w:cs="Arial"/>
          <w:b/>
          <w:color w:val="000000"/>
        </w:rPr>
        <w:t xml:space="preserve">Upper Tribunal </w:t>
      </w:r>
    </w:p>
    <w:p w:rsidR="007B0824" w:rsidRPr="008E3667" w:rsidRDefault="0072497A" w:rsidP="00780F86">
      <w:pPr>
        <w:tabs>
          <w:tab w:val="right" w:pos="9720"/>
        </w:tabs>
        <w:ind w:right="-82"/>
        <w:rPr>
          <w:rFonts w:ascii="Book Antiqua" w:hAnsi="Book Antiqua" w:cs="Arial"/>
          <w:caps/>
          <w:color w:val="000000"/>
        </w:rPr>
      </w:pPr>
      <w:r w:rsidRPr="00C3462F">
        <w:rPr>
          <w:rFonts w:ascii="Book Antiqua" w:hAnsi="Book Antiqua" w:cs="Arial"/>
          <w:b/>
          <w:color w:val="000000"/>
        </w:rPr>
        <w:t>(Immigration and Asylum Chamber)</w:t>
      </w:r>
      <w:r w:rsidR="00DB70AE" w:rsidRPr="00C3462F">
        <w:rPr>
          <w:rFonts w:ascii="Book Antiqua" w:hAnsi="Book Antiqua" w:cs="Arial"/>
          <w:b/>
          <w:color w:val="000000"/>
        </w:rPr>
        <w:tab/>
      </w:r>
      <w:r w:rsidR="00B3524D" w:rsidRPr="00C3462F">
        <w:rPr>
          <w:rFonts w:ascii="Book Antiqua" w:hAnsi="Book Antiqua" w:cs="Arial"/>
          <w:color w:val="000000"/>
        </w:rPr>
        <w:t>Appeal Number</w:t>
      </w:r>
      <w:r w:rsidR="00D53769" w:rsidRPr="00C3462F">
        <w:rPr>
          <w:rFonts w:ascii="Book Antiqua" w:hAnsi="Book Antiqua" w:cs="Arial"/>
          <w:color w:val="000000"/>
        </w:rPr>
        <w:t>:</w:t>
      </w:r>
      <w:r w:rsidR="00B3524D" w:rsidRPr="00C3462F">
        <w:rPr>
          <w:rFonts w:ascii="Book Antiqua" w:hAnsi="Book Antiqua" w:cs="Arial"/>
          <w:color w:val="000000"/>
        </w:rPr>
        <w:t xml:space="preserve"> </w:t>
      </w:r>
      <w:bookmarkStart w:id="0" w:name="_GoBack"/>
      <w:r w:rsidR="008E3667" w:rsidRPr="008E3667">
        <w:rPr>
          <w:rFonts w:ascii="Book Antiqua" w:hAnsi="Book Antiqua" w:cs="Arial"/>
          <w:caps/>
          <w:color w:val="000000"/>
        </w:rPr>
        <w:t>HU/02036/2016</w:t>
      </w:r>
      <w:bookmarkEnd w:id="0"/>
    </w:p>
    <w:p w:rsidR="00C345E1" w:rsidRPr="00C3462F" w:rsidRDefault="00C345E1" w:rsidP="00C345E1">
      <w:pPr>
        <w:jc w:val="center"/>
        <w:rPr>
          <w:rFonts w:ascii="Book Antiqua" w:hAnsi="Book Antiqua" w:cs="Arial"/>
          <w:color w:val="000000"/>
        </w:rPr>
      </w:pPr>
    </w:p>
    <w:p w:rsidR="00C345E1" w:rsidRPr="00C3462F" w:rsidRDefault="00C345E1" w:rsidP="00C345E1">
      <w:pPr>
        <w:jc w:val="center"/>
        <w:rPr>
          <w:rFonts w:ascii="Book Antiqua" w:hAnsi="Book Antiqua" w:cs="Arial"/>
          <w:color w:val="000000"/>
        </w:rPr>
      </w:pPr>
    </w:p>
    <w:p w:rsidR="00C345E1" w:rsidRPr="00C3462F" w:rsidRDefault="00C345E1" w:rsidP="00C345E1">
      <w:pPr>
        <w:jc w:val="center"/>
        <w:rPr>
          <w:rFonts w:ascii="Book Antiqua" w:hAnsi="Book Antiqua" w:cs="Arial"/>
          <w:b/>
          <w:color w:val="000000"/>
          <w:u w:val="single"/>
        </w:rPr>
      </w:pPr>
      <w:r w:rsidRPr="00C3462F">
        <w:rPr>
          <w:rFonts w:ascii="Book Antiqua" w:hAnsi="Book Antiqua" w:cs="Arial"/>
          <w:b/>
          <w:color w:val="000000"/>
          <w:u w:val="single"/>
        </w:rPr>
        <w:t>THE IMMIGRATION ACTS</w:t>
      </w:r>
    </w:p>
    <w:p w:rsidR="00C345E1" w:rsidRPr="00C3462F" w:rsidRDefault="00C345E1" w:rsidP="00C345E1">
      <w:pPr>
        <w:jc w:val="center"/>
        <w:rPr>
          <w:rFonts w:ascii="Book Antiqua" w:hAnsi="Book Antiqua" w:cs="Arial"/>
          <w:b/>
          <w:u w:val="single"/>
        </w:rPr>
      </w:pPr>
    </w:p>
    <w:p w:rsidR="00C345E1" w:rsidRPr="00C3462F"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51824" w:rsidTr="00D51824">
        <w:tc>
          <w:tcPr>
            <w:tcW w:w="6048" w:type="dxa"/>
            <w:shd w:val="clear" w:color="auto" w:fill="auto"/>
          </w:tcPr>
          <w:p w:rsidR="00D22636" w:rsidRPr="00D51824" w:rsidRDefault="00D22636" w:rsidP="00D51824">
            <w:pPr>
              <w:jc w:val="both"/>
              <w:rPr>
                <w:rFonts w:ascii="Book Antiqua" w:hAnsi="Book Antiqua" w:cs="Arial"/>
                <w:b/>
              </w:rPr>
            </w:pPr>
            <w:r w:rsidRPr="00D51824">
              <w:rPr>
                <w:rFonts w:ascii="Book Antiqua" w:hAnsi="Book Antiqua" w:cs="Arial"/>
                <w:b/>
              </w:rPr>
              <w:t xml:space="preserve">Heard at </w:t>
            </w:r>
            <w:smartTag w:uri="urn:schemas-microsoft-com:office:smarttags" w:element="City">
              <w:smartTag w:uri="urn:schemas-microsoft-com:office:smarttags" w:element="place">
                <w:r w:rsidR="00BC2CC0" w:rsidRPr="00D51824">
                  <w:rPr>
                    <w:rFonts w:ascii="Book Antiqua" w:hAnsi="Book Antiqua" w:cs="Arial"/>
                    <w:b/>
                  </w:rPr>
                  <w:t>Manchester</w:t>
                </w:r>
              </w:smartTag>
            </w:smartTag>
          </w:p>
        </w:tc>
        <w:tc>
          <w:tcPr>
            <w:tcW w:w="3960" w:type="dxa"/>
            <w:shd w:val="clear" w:color="auto" w:fill="auto"/>
          </w:tcPr>
          <w:p w:rsidR="00D22636" w:rsidRPr="00D51824" w:rsidRDefault="002D7D7C" w:rsidP="00D51824">
            <w:pPr>
              <w:jc w:val="both"/>
              <w:rPr>
                <w:rFonts w:ascii="Book Antiqua" w:hAnsi="Book Antiqua" w:cs="Arial"/>
                <w:b/>
                <w:color w:val="000000"/>
              </w:rPr>
            </w:pPr>
            <w:r w:rsidRPr="00D51824">
              <w:rPr>
                <w:rFonts w:ascii="Book Antiqua" w:hAnsi="Book Antiqua" w:cs="Arial"/>
                <w:b/>
                <w:color w:val="000000"/>
              </w:rPr>
              <w:t>Decision &amp; Reasons</w:t>
            </w:r>
            <w:r w:rsidR="00283659" w:rsidRPr="00D51824">
              <w:rPr>
                <w:rFonts w:ascii="Book Antiqua" w:hAnsi="Book Antiqua" w:cs="Arial"/>
                <w:b/>
                <w:color w:val="000000"/>
              </w:rPr>
              <w:t xml:space="preserve"> Promulgated</w:t>
            </w:r>
          </w:p>
        </w:tc>
      </w:tr>
      <w:tr w:rsidR="00D22636" w:rsidRPr="00D51824" w:rsidTr="00D51824">
        <w:tc>
          <w:tcPr>
            <w:tcW w:w="6048" w:type="dxa"/>
            <w:shd w:val="clear" w:color="auto" w:fill="auto"/>
          </w:tcPr>
          <w:p w:rsidR="00D22636" w:rsidRPr="00D51824" w:rsidRDefault="00D22636" w:rsidP="00D51824">
            <w:pPr>
              <w:jc w:val="both"/>
              <w:rPr>
                <w:rFonts w:ascii="Book Antiqua" w:hAnsi="Book Antiqua" w:cs="Arial"/>
                <w:b/>
              </w:rPr>
            </w:pPr>
            <w:r w:rsidRPr="00D51824">
              <w:rPr>
                <w:rFonts w:ascii="Book Antiqua" w:hAnsi="Book Antiqua" w:cs="Arial"/>
                <w:b/>
              </w:rPr>
              <w:t xml:space="preserve">On </w:t>
            </w:r>
            <w:r w:rsidR="008E3667" w:rsidRPr="00D51824">
              <w:rPr>
                <w:rFonts w:ascii="Book Antiqua" w:hAnsi="Book Antiqua" w:cs="Arial"/>
                <w:b/>
              </w:rPr>
              <w:t>11</w:t>
            </w:r>
            <w:r w:rsidR="00BC2CC0" w:rsidRPr="00D51824">
              <w:rPr>
                <w:rFonts w:ascii="Book Antiqua" w:hAnsi="Book Antiqua" w:cs="Arial"/>
                <w:b/>
                <w:vertAlign w:val="superscript"/>
              </w:rPr>
              <w:t>th</w:t>
            </w:r>
            <w:r w:rsidR="00BC2CC0" w:rsidRPr="00D51824">
              <w:rPr>
                <w:rFonts w:ascii="Book Antiqua" w:hAnsi="Book Antiqua" w:cs="Arial"/>
                <w:b/>
              </w:rPr>
              <w:t xml:space="preserve"> May 2018</w:t>
            </w:r>
          </w:p>
        </w:tc>
        <w:tc>
          <w:tcPr>
            <w:tcW w:w="3960" w:type="dxa"/>
            <w:shd w:val="clear" w:color="auto" w:fill="auto"/>
          </w:tcPr>
          <w:p w:rsidR="00D22636" w:rsidRPr="00D51824" w:rsidRDefault="00EC3E1F" w:rsidP="00D51824">
            <w:pPr>
              <w:jc w:val="both"/>
              <w:rPr>
                <w:rFonts w:ascii="Book Antiqua" w:hAnsi="Book Antiqua" w:cs="Arial"/>
                <w:b/>
              </w:rPr>
            </w:pPr>
            <w:r>
              <w:rPr>
                <w:rFonts w:ascii="Book Antiqua" w:hAnsi="Book Antiqua" w:cs="Arial"/>
                <w:b/>
              </w:rPr>
              <w:t>On 29</w:t>
            </w:r>
            <w:r w:rsidRPr="00EC3E1F">
              <w:rPr>
                <w:rFonts w:ascii="Book Antiqua" w:hAnsi="Book Antiqua" w:cs="Arial"/>
                <w:b/>
                <w:vertAlign w:val="superscript"/>
              </w:rPr>
              <w:t>th</w:t>
            </w:r>
            <w:r>
              <w:rPr>
                <w:rFonts w:ascii="Book Antiqua" w:hAnsi="Book Antiqua" w:cs="Arial"/>
                <w:b/>
              </w:rPr>
              <w:t xml:space="preserve"> May 2018</w:t>
            </w:r>
          </w:p>
        </w:tc>
      </w:tr>
      <w:tr w:rsidR="00D22636" w:rsidRPr="00D51824" w:rsidTr="00D51824">
        <w:tc>
          <w:tcPr>
            <w:tcW w:w="6048" w:type="dxa"/>
            <w:shd w:val="clear" w:color="auto" w:fill="auto"/>
          </w:tcPr>
          <w:p w:rsidR="00D22636" w:rsidRPr="00D51824" w:rsidRDefault="00D22636" w:rsidP="00D51824">
            <w:pPr>
              <w:jc w:val="both"/>
              <w:rPr>
                <w:rFonts w:ascii="Book Antiqua" w:hAnsi="Book Antiqua" w:cs="Arial"/>
                <w:b/>
              </w:rPr>
            </w:pPr>
          </w:p>
        </w:tc>
        <w:tc>
          <w:tcPr>
            <w:tcW w:w="3960" w:type="dxa"/>
            <w:shd w:val="clear" w:color="auto" w:fill="auto"/>
          </w:tcPr>
          <w:p w:rsidR="00D22636" w:rsidRPr="00D51824" w:rsidRDefault="00D22636" w:rsidP="00D51824">
            <w:pPr>
              <w:jc w:val="both"/>
              <w:rPr>
                <w:rFonts w:ascii="Book Antiqua" w:hAnsi="Book Antiqua" w:cs="Arial"/>
                <w:b/>
              </w:rPr>
            </w:pPr>
          </w:p>
        </w:tc>
      </w:tr>
    </w:tbl>
    <w:p w:rsidR="00A15234" w:rsidRPr="00C3462F" w:rsidRDefault="00A15234" w:rsidP="00A15234">
      <w:pPr>
        <w:jc w:val="center"/>
        <w:rPr>
          <w:rFonts w:ascii="Book Antiqua" w:hAnsi="Book Antiqua" w:cs="Arial"/>
        </w:rPr>
      </w:pPr>
    </w:p>
    <w:p w:rsidR="00A15234" w:rsidRPr="00C3462F" w:rsidRDefault="00207617" w:rsidP="00A15234">
      <w:pPr>
        <w:jc w:val="center"/>
        <w:rPr>
          <w:rFonts w:ascii="Book Antiqua" w:hAnsi="Book Antiqua" w:cs="Arial"/>
          <w:b/>
        </w:rPr>
      </w:pPr>
      <w:r w:rsidRPr="00C3462F">
        <w:rPr>
          <w:rFonts w:ascii="Book Antiqua" w:hAnsi="Book Antiqua" w:cs="Arial"/>
          <w:b/>
        </w:rPr>
        <w:t>Befo</w:t>
      </w:r>
      <w:r w:rsidR="00A15234" w:rsidRPr="00C3462F">
        <w:rPr>
          <w:rFonts w:ascii="Book Antiqua" w:hAnsi="Book Antiqua" w:cs="Arial"/>
          <w:b/>
        </w:rPr>
        <w:t>re</w:t>
      </w:r>
    </w:p>
    <w:p w:rsidR="00A15234" w:rsidRPr="00C3462F" w:rsidRDefault="00A15234" w:rsidP="00A15234">
      <w:pPr>
        <w:jc w:val="center"/>
        <w:rPr>
          <w:rFonts w:ascii="Book Antiqua" w:hAnsi="Book Antiqua" w:cs="Arial"/>
          <w:b/>
        </w:rPr>
      </w:pPr>
    </w:p>
    <w:p w:rsidR="00D20757" w:rsidRPr="00CB512F" w:rsidRDefault="00CB512F" w:rsidP="00A15234">
      <w:pPr>
        <w:jc w:val="center"/>
        <w:rPr>
          <w:rFonts w:ascii="Book Antiqua" w:hAnsi="Book Antiqua" w:cs="Arial"/>
          <w:b/>
          <w:color w:val="000000"/>
        </w:rPr>
      </w:pPr>
      <w:r w:rsidRPr="00CB512F">
        <w:rPr>
          <w:rFonts w:ascii="Book Antiqua" w:hAnsi="Book Antiqua" w:cs="Arial"/>
          <w:b/>
          <w:color w:val="000000"/>
        </w:rPr>
        <w:t xml:space="preserve">THE </w:t>
      </w:r>
      <w:smartTag w:uri="urn:schemas-microsoft-com:office:smarttags" w:element="Street">
        <w:smartTag w:uri="urn:schemas-microsoft-com:office:smarttags" w:element="address">
          <w:r w:rsidRPr="00CB512F">
            <w:rPr>
              <w:rFonts w:ascii="Book Antiqua" w:hAnsi="Book Antiqua" w:cs="Arial"/>
              <w:b/>
              <w:color w:val="000000"/>
            </w:rPr>
            <w:t>HON. MR JUSTICE LANE</w:t>
          </w:r>
        </w:smartTag>
      </w:smartTag>
      <w:r w:rsidRPr="00CB512F">
        <w:rPr>
          <w:rFonts w:ascii="Book Antiqua" w:hAnsi="Book Antiqua" w:cs="Arial"/>
          <w:b/>
          <w:color w:val="000000"/>
        </w:rPr>
        <w:t>, PRESIDENT</w:t>
      </w:r>
    </w:p>
    <w:p w:rsidR="00D20757" w:rsidRDefault="00D20757" w:rsidP="00A15234">
      <w:pPr>
        <w:jc w:val="center"/>
        <w:rPr>
          <w:rFonts w:ascii="Book Antiqua" w:hAnsi="Book Antiqua" w:cs="Arial"/>
          <w:b/>
        </w:rPr>
      </w:pPr>
    </w:p>
    <w:p w:rsidR="00F55191" w:rsidRPr="00C3462F" w:rsidRDefault="00F55191" w:rsidP="00A15234">
      <w:pPr>
        <w:jc w:val="center"/>
        <w:rPr>
          <w:rFonts w:ascii="Book Antiqua" w:hAnsi="Book Antiqua" w:cs="Arial"/>
          <w:b/>
        </w:rPr>
      </w:pPr>
    </w:p>
    <w:p w:rsidR="00A845DC" w:rsidRPr="00C3462F" w:rsidRDefault="00A845DC" w:rsidP="00A15234">
      <w:pPr>
        <w:jc w:val="center"/>
        <w:rPr>
          <w:rFonts w:ascii="Book Antiqua" w:hAnsi="Book Antiqua" w:cs="Arial"/>
          <w:b/>
        </w:rPr>
      </w:pPr>
      <w:r w:rsidRPr="00C3462F">
        <w:rPr>
          <w:rFonts w:ascii="Book Antiqua" w:hAnsi="Book Antiqua" w:cs="Arial"/>
          <w:b/>
        </w:rPr>
        <w:t>Between</w:t>
      </w:r>
    </w:p>
    <w:p w:rsidR="00A845DC" w:rsidRPr="00C3462F" w:rsidRDefault="00A845DC" w:rsidP="00A15234">
      <w:pPr>
        <w:jc w:val="center"/>
        <w:rPr>
          <w:rFonts w:ascii="Book Antiqua" w:hAnsi="Book Antiqua" w:cs="Arial"/>
          <w:b/>
        </w:rPr>
      </w:pPr>
    </w:p>
    <w:p w:rsidR="00704B61" w:rsidRPr="00C3462F" w:rsidRDefault="00BC2CC0" w:rsidP="00A15234">
      <w:pPr>
        <w:jc w:val="center"/>
        <w:rPr>
          <w:rFonts w:ascii="Book Antiqua" w:hAnsi="Book Antiqua" w:cs="Arial"/>
          <w:b/>
        </w:rPr>
      </w:pPr>
      <w:r w:rsidRPr="00C3462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C3462F">
        <w:rPr>
          <w:rFonts w:ascii="Book Antiqua" w:hAnsi="Book Antiqua" w:cs="Arial"/>
          <w:b/>
        </w:rPr>
        <w:instrText xml:space="preserve"> FORMTEXT </w:instrText>
      </w:r>
      <w:r w:rsidRPr="00C3462F">
        <w:rPr>
          <w:rFonts w:ascii="Book Antiqua" w:hAnsi="Book Antiqua" w:cs="Arial"/>
          <w:b/>
        </w:rPr>
      </w:r>
      <w:r w:rsidRPr="00C3462F">
        <w:rPr>
          <w:rFonts w:ascii="Book Antiqua" w:hAnsi="Book Antiqua" w:cs="Arial"/>
          <w:b/>
        </w:rPr>
        <w:fldChar w:fldCharType="separate"/>
      </w:r>
      <w:r w:rsidRPr="00C3462F">
        <w:rPr>
          <w:rFonts w:ascii="Book Antiqua" w:hAnsi="Book Antiqua" w:cs="Arial"/>
          <w:b/>
          <w:noProof/>
        </w:rPr>
        <w:t>THE SECRETARY OF STATE FOR THE HOME DEPARTMENT</w:t>
      </w:r>
      <w:r w:rsidRPr="00C3462F">
        <w:rPr>
          <w:rFonts w:ascii="Book Antiqua" w:hAnsi="Book Antiqua" w:cs="Arial"/>
          <w:b/>
        </w:rPr>
        <w:fldChar w:fldCharType="end"/>
      </w:r>
      <w:bookmarkEnd w:id="1"/>
    </w:p>
    <w:p w:rsidR="00704B61" w:rsidRPr="00C3462F" w:rsidRDefault="00704B61" w:rsidP="00704B61">
      <w:pPr>
        <w:jc w:val="right"/>
        <w:rPr>
          <w:rFonts w:ascii="Book Antiqua" w:hAnsi="Book Antiqua" w:cs="Arial"/>
          <w:u w:val="single"/>
        </w:rPr>
      </w:pPr>
      <w:r w:rsidRPr="00C3462F">
        <w:rPr>
          <w:rFonts w:ascii="Book Antiqua" w:hAnsi="Book Antiqua" w:cs="Arial"/>
          <w:u w:val="single"/>
        </w:rPr>
        <w:t>Appellant</w:t>
      </w:r>
    </w:p>
    <w:p w:rsidR="00704B61" w:rsidRPr="00C3462F" w:rsidRDefault="00DD5071" w:rsidP="00704B61">
      <w:pPr>
        <w:jc w:val="center"/>
        <w:rPr>
          <w:rFonts w:ascii="Book Antiqua" w:hAnsi="Book Antiqua" w:cs="Arial"/>
          <w:b/>
        </w:rPr>
      </w:pPr>
      <w:r w:rsidRPr="00C3462F">
        <w:rPr>
          <w:rFonts w:ascii="Book Antiqua" w:hAnsi="Book Antiqua" w:cs="Arial"/>
          <w:b/>
        </w:rPr>
        <w:t>and</w:t>
      </w:r>
    </w:p>
    <w:p w:rsidR="00DD5071" w:rsidRDefault="00DD5071" w:rsidP="00704B61">
      <w:pPr>
        <w:jc w:val="center"/>
        <w:rPr>
          <w:rFonts w:ascii="Book Antiqua" w:hAnsi="Book Antiqua" w:cs="Arial"/>
          <w:b/>
        </w:rPr>
      </w:pPr>
    </w:p>
    <w:p w:rsidR="00BC2CC0" w:rsidRPr="002D7D7C" w:rsidRDefault="008E3667" w:rsidP="00BC2CC0">
      <w:pPr>
        <w:jc w:val="center"/>
        <w:rPr>
          <w:rFonts w:ascii="Book Antiqua" w:hAnsi="Book Antiqua" w:cs="Arial"/>
          <w:b/>
          <w:caps/>
        </w:rPr>
      </w:pPr>
      <w:r>
        <w:rPr>
          <w:rFonts w:ascii="Book Antiqua" w:hAnsi="Book Antiqua" w:cs="Arial"/>
          <w:b/>
          <w:caps/>
        </w:rPr>
        <w:t>Mr Md Jahangir Ahmed Chowdhury</w:t>
      </w:r>
    </w:p>
    <w:p w:rsidR="00DD5071" w:rsidRPr="00C3462F" w:rsidRDefault="00BC2CC0" w:rsidP="00704B61">
      <w:pPr>
        <w:jc w:val="center"/>
        <w:rPr>
          <w:rFonts w:ascii="Book Antiqua" w:hAnsi="Book Antiqua" w:cs="Arial"/>
          <w:b/>
        </w:rPr>
      </w:pPr>
      <w:r w:rsidRPr="002D7D7C">
        <w:rPr>
          <w:rFonts w:ascii="Book Antiqua" w:hAnsi="Book Antiqua" w:cs="Arial"/>
          <w:b/>
          <w:caps/>
        </w:rPr>
        <w:t>(ANONYMITY DIRECTION</w:t>
      </w:r>
      <w:r w:rsidR="00961599">
        <w:rPr>
          <w:rFonts w:ascii="Book Antiqua" w:hAnsi="Book Antiqua" w:cs="Arial"/>
          <w:b/>
          <w:caps/>
        </w:rPr>
        <w:t xml:space="preserve"> NOT MADE</w:t>
      </w:r>
      <w:r w:rsidRPr="002D7D7C">
        <w:rPr>
          <w:rFonts w:ascii="Book Antiqua" w:hAnsi="Book Antiqua" w:cs="Arial"/>
          <w:b/>
          <w:caps/>
        </w:rPr>
        <w:t>)</w:t>
      </w:r>
    </w:p>
    <w:p w:rsidR="00DD5071" w:rsidRPr="00C3462F" w:rsidRDefault="00DD5071" w:rsidP="00DD5071">
      <w:pPr>
        <w:jc w:val="right"/>
        <w:rPr>
          <w:rFonts w:ascii="Book Antiqua" w:hAnsi="Book Antiqua" w:cs="Arial"/>
          <w:u w:val="single"/>
        </w:rPr>
      </w:pPr>
      <w:r w:rsidRPr="00C3462F">
        <w:rPr>
          <w:rFonts w:ascii="Book Antiqua" w:hAnsi="Book Antiqua" w:cs="Arial"/>
          <w:u w:val="single"/>
        </w:rPr>
        <w:t>Respondent</w:t>
      </w:r>
    </w:p>
    <w:p w:rsidR="00DD5071" w:rsidRPr="00C3462F" w:rsidRDefault="00DD5071" w:rsidP="00DD5071">
      <w:pPr>
        <w:rPr>
          <w:rFonts w:ascii="Book Antiqua" w:hAnsi="Book Antiqua" w:cs="Arial"/>
          <w:u w:val="single"/>
        </w:rPr>
      </w:pPr>
    </w:p>
    <w:p w:rsidR="00DD5071" w:rsidRPr="00C3462F" w:rsidRDefault="00DD5071" w:rsidP="00DD5071">
      <w:pPr>
        <w:rPr>
          <w:rFonts w:ascii="Book Antiqua" w:hAnsi="Book Antiqua" w:cs="Arial"/>
          <w:u w:val="single"/>
        </w:rPr>
      </w:pPr>
    </w:p>
    <w:p w:rsidR="00DD5071" w:rsidRPr="00C3462F" w:rsidRDefault="00DE7DB7" w:rsidP="00DD5071">
      <w:pPr>
        <w:rPr>
          <w:rFonts w:ascii="Book Antiqua" w:hAnsi="Book Antiqua" w:cs="Arial"/>
        </w:rPr>
      </w:pPr>
      <w:r w:rsidRPr="00C3462F">
        <w:rPr>
          <w:rFonts w:ascii="Book Antiqua" w:hAnsi="Book Antiqua" w:cs="Arial"/>
          <w:b/>
          <w:u w:val="single"/>
        </w:rPr>
        <w:t>Representation</w:t>
      </w:r>
      <w:r w:rsidRPr="00C3462F">
        <w:rPr>
          <w:rFonts w:ascii="Book Antiqua" w:hAnsi="Book Antiqua" w:cs="Arial"/>
          <w:b/>
        </w:rPr>
        <w:t>:</w:t>
      </w:r>
    </w:p>
    <w:p w:rsidR="00DE7DB7" w:rsidRPr="00C3462F" w:rsidRDefault="00DE7DB7" w:rsidP="00DE7DB7">
      <w:pPr>
        <w:tabs>
          <w:tab w:val="left" w:pos="2520"/>
        </w:tabs>
        <w:rPr>
          <w:rFonts w:ascii="Book Antiqua" w:hAnsi="Book Antiqua" w:cs="Arial"/>
        </w:rPr>
      </w:pPr>
      <w:r w:rsidRPr="00C3462F">
        <w:rPr>
          <w:rFonts w:ascii="Book Antiqua" w:hAnsi="Book Antiqua" w:cs="Arial"/>
        </w:rPr>
        <w:t>For the Appellant:</w:t>
      </w:r>
      <w:r w:rsidRPr="00C3462F">
        <w:rPr>
          <w:rFonts w:ascii="Book Antiqua" w:hAnsi="Book Antiqua" w:cs="Arial"/>
        </w:rPr>
        <w:tab/>
      </w:r>
      <w:r w:rsidR="00BC2CC0">
        <w:rPr>
          <w:rFonts w:ascii="Book Antiqua" w:hAnsi="Book Antiqua" w:cs="Arial"/>
        </w:rPr>
        <w:t>Mr Bates, Home Office Presenting Officer</w:t>
      </w:r>
    </w:p>
    <w:p w:rsidR="00DE7DB7" w:rsidRPr="008E3667" w:rsidRDefault="00DE7DB7" w:rsidP="00DE7DB7">
      <w:pPr>
        <w:tabs>
          <w:tab w:val="left" w:pos="2520"/>
        </w:tabs>
        <w:rPr>
          <w:rFonts w:ascii="Book Antiqua" w:hAnsi="Book Antiqua" w:cs="Arial"/>
        </w:rPr>
      </w:pPr>
      <w:r w:rsidRPr="00C3462F">
        <w:rPr>
          <w:rFonts w:ascii="Book Antiqua" w:hAnsi="Book Antiqua" w:cs="Arial"/>
        </w:rPr>
        <w:t>For the Respondent:</w:t>
      </w:r>
      <w:r w:rsidRPr="00C3462F">
        <w:rPr>
          <w:rFonts w:ascii="Book Antiqua" w:hAnsi="Book Antiqua" w:cs="Arial"/>
        </w:rPr>
        <w:tab/>
      </w:r>
      <w:r w:rsidR="008E3667">
        <w:rPr>
          <w:rFonts w:ascii="Book Antiqua" w:hAnsi="Book Antiqua" w:cs="Arial"/>
        </w:rPr>
        <w:t>Mr Khan</w:t>
      </w:r>
      <w:r w:rsidR="00BC2CC0">
        <w:rPr>
          <w:rFonts w:ascii="Book Antiqua" w:hAnsi="Book Antiqua" w:cs="Arial"/>
        </w:rPr>
        <w:t xml:space="preserve">, Counsel, instructed by </w:t>
      </w:r>
      <w:r w:rsidR="008E3667" w:rsidRPr="008E3667">
        <w:rPr>
          <w:rFonts w:ascii="Book Antiqua" w:hAnsi="Book Antiqua" w:cs="Arial"/>
        </w:rPr>
        <w:t>Lawmans Solicitors</w:t>
      </w:r>
    </w:p>
    <w:p w:rsidR="00DE7DB7" w:rsidRPr="00C3462F" w:rsidRDefault="00DE7DB7" w:rsidP="00402B9E">
      <w:pPr>
        <w:tabs>
          <w:tab w:val="left" w:pos="2520"/>
        </w:tabs>
        <w:jc w:val="center"/>
        <w:rPr>
          <w:rFonts w:ascii="Book Antiqua" w:hAnsi="Book Antiqua" w:cs="Arial"/>
        </w:rPr>
      </w:pPr>
    </w:p>
    <w:p w:rsidR="00DE7DB7" w:rsidRPr="00C3462F" w:rsidRDefault="00DE7DB7" w:rsidP="00402B9E">
      <w:pPr>
        <w:tabs>
          <w:tab w:val="left" w:pos="2520"/>
        </w:tabs>
        <w:jc w:val="center"/>
        <w:rPr>
          <w:rFonts w:ascii="Book Antiqua" w:hAnsi="Book Antiqua" w:cs="Arial"/>
        </w:rPr>
      </w:pPr>
    </w:p>
    <w:p w:rsidR="00DE7DB7" w:rsidRPr="00C3462F" w:rsidRDefault="002D7D7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3462F">
        <w:rPr>
          <w:rFonts w:ascii="Book Antiqua" w:hAnsi="Book Antiqua" w:cs="Arial"/>
          <w:b/>
          <w:u w:val="single"/>
        </w:rPr>
        <w:t>AND REASONS</w:t>
      </w:r>
    </w:p>
    <w:p w:rsidR="00BF23BB" w:rsidRDefault="00402B9E" w:rsidP="00F55191">
      <w:pPr>
        <w:pStyle w:val="p"/>
        <w:spacing w:before="160"/>
      </w:pPr>
      <w:r w:rsidRPr="00C3462F">
        <w:t>1.</w:t>
      </w:r>
      <w:r w:rsidRPr="00C3462F">
        <w:tab/>
      </w:r>
      <w:r w:rsidR="00BC437B">
        <w:t xml:space="preserve">This is an application made by the Secretary of State for the Home Department </w:t>
      </w:r>
      <w:r w:rsidR="006D15E7">
        <w:t>to appeal the decision of First-tier Tribunal Judge Pickup, who allowed the appeal on human rights grounds of the claimant in a decision dated 6</w:t>
      </w:r>
      <w:r w:rsidR="006D15E7" w:rsidRPr="006D15E7">
        <w:rPr>
          <w:vertAlign w:val="superscript"/>
        </w:rPr>
        <w:t>th</w:t>
      </w:r>
      <w:r w:rsidR="006D15E7">
        <w:t xml:space="preserve"> February 2018.</w:t>
      </w:r>
    </w:p>
    <w:p w:rsidR="009C2220" w:rsidRPr="009218F3" w:rsidRDefault="009C2220" w:rsidP="00F55191">
      <w:pPr>
        <w:pStyle w:val="p"/>
        <w:spacing w:before="160"/>
      </w:pPr>
      <w:r>
        <w:t>2.</w:t>
      </w:r>
      <w:r>
        <w:tab/>
      </w:r>
      <w:r w:rsidR="006D15E7">
        <w:t xml:space="preserve">The issue in this case is concerned with the correct approach to applications to </w:t>
      </w:r>
      <w:r w:rsidR="009218F3">
        <w:t xml:space="preserve">revoke deportation orders.  In this case, crucially, the deportation of the claimant had occurred more than ten years ago.  The First-tier Judge produced what is by any standards a detailed and cogent analysis of the position.  He examined carefully the application of </w:t>
      </w:r>
      <w:r w:rsidR="009218F3">
        <w:lastRenderedPageBreak/>
        <w:t>the Immigration Rules.</w:t>
      </w:r>
      <w:r w:rsidR="00680330" w:rsidRPr="00680330">
        <w:t xml:space="preserve"> </w:t>
      </w:r>
      <w:r w:rsidR="00680330">
        <w:t xml:space="preserve"> He reached the conclusion that the </w:t>
      </w:r>
      <w:proofErr w:type="gramStart"/>
      <w:r w:rsidR="00680330">
        <w:t>ten year</w:t>
      </w:r>
      <w:proofErr w:type="gramEnd"/>
      <w:r w:rsidR="00680330">
        <w:t xml:space="preserve"> period was significant because after that the Secretary of State’s own policy pointed to there being a case</w:t>
      </w:r>
      <w:r w:rsidR="008052D3">
        <w:t>-</w:t>
      </w:r>
      <w:r w:rsidR="00680330">
        <w:t>by</w:t>
      </w:r>
      <w:r w:rsidR="008052D3">
        <w:t>-</w:t>
      </w:r>
      <w:r w:rsidR="00680330">
        <w:t>case analysis in order to determine whether it was proportionate to lift the deportation order.</w:t>
      </w:r>
    </w:p>
    <w:p w:rsidR="009C2220" w:rsidRDefault="009C2220" w:rsidP="00F55191">
      <w:pPr>
        <w:pStyle w:val="p"/>
        <w:spacing w:before="160"/>
      </w:pPr>
      <w:r>
        <w:t>3.</w:t>
      </w:r>
      <w:r>
        <w:tab/>
      </w:r>
      <w:r w:rsidR="00680330">
        <w:t>The First-tier Judge at the beginning of paragraph 78 of his decision concluded that in the circumstances of this particular case it was disproportionate to maintain the order.  He accordingly allowed the appeal.</w:t>
      </w:r>
    </w:p>
    <w:p w:rsidR="00926150" w:rsidRPr="00680330" w:rsidRDefault="00926150" w:rsidP="00F55191">
      <w:pPr>
        <w:pStyle w:val="p"/>
        <w:spacing w:before="160"/>
      </w:pPr>
      <w:r>
        <w:t>4.</w:t>
      </w:r>
      <w:r w:rsidR="007C3A44">
        <w:tab/>
      </w:r>
      <w:r w:rsidR="00680330">
        <w:t>Mr Bates, who appears on behalf of the Secretary of State, pointed to what might be said to be a problematic finding in paragraph 83 of the determination concerning very compelling circumstances.  Mr Bates fairly acknowledged, however, that in the light of the decision as a whole any error in that regard would be, in his own view, immaterial.  I endorse that conclusion.</w:t>
      </w:r>
    </w:p>
    <w:p w:rsidR="00BF23BB" w:rsidRPr="00E2084B" w:rsidRDefault="00926150" w:rsidP="00F55191">
      <w:pPr>
        <w:pStyle w:val="p"/>
        <w:spacing w:before="160"/>
      </w:pPr>
      <w:r>
        <w:t>5.</w:t>
      </w:r>
      <w:r>
        <w:tab/>
      </w:r>
      <w:r w:rsidR="008F74A6">
        <w:t xml:space="preserve">Mr Bates also helpfully and appropriately drew the Tribunal’s attention to the decision of Upper Tribunal Judge Canavan in the reported case of </w:t>
      </w:r>
      <w:r w:rsidR="008F74A6" w:rsidRPr="008F74A6">
        <w:rPr>
          <w:u w:val="single"/>
        </w:rPr>
        <w:t>Smith</w:t>
      </w:r>
      <w:r w:rsidR="008F74A6" w:rsidRPr="008F74A6">
        <w:t xml:space="preserve"> [2017] UKUT 00166</w:t>
      </w:r>
      <w:r w:rsidR="00E26403">
        <w:t xml:space="preserve">.  That states that </w:t>
      </w:r>
      <w:r w:rsidR="00E26403" w:rsidRPr="00E26403">
        <w:t xml:space="preserve">in cases involving conviction </w:t>
      </w:r>
      <w:r w:rsidR="008052D3">
        <w:t xml:space="preserve">for </w:t>
      </w:r>
      <w:r w:rsidR="00E26403" w:rsidRPr="00E26403">
        <w:t xml:space="preserve">an offence for which the person was sentenced to a period of less than </w:t>
      </w:r>
      <w:r w:rsidR="00E26403">
        <w:t>four</w:t>
      </w:r>
      <w:r w:rsidR="00E26403" w:rsidRPr="00E26403">
        <w:t xml:space="preserve"> years</w:t>
      </w:r>
      <w:r w:rsidR="00E26403">
        <w:t>’ imprisonment</w:t>
      </w:r>
      <w:r w:rsidR="008052D3">
        <w:t>,</w:t>
      </w:r>
      <w:r w:rsidR="00E26403">
        <w:t xml:space="preserve"> not only does the </w:t>
      </w:r>
      <w:proofErr w:type="gramStart"/>
      <w:r w:rsidR="00E26403">
        <w:t>ten year</w:t>
      </w:r>
      <w:proofErr w:type="gramEnd"/>
      <w:r w:rsidR="00E26403">
        <w:t xml:space="preserve"> point carry the significance that I have just described</w:t>
      </w:r>
      <w:r w:rsidR="008052D3">
        <w:t>;</w:t>
      </w:r>
      <w:r w:rsidR="00E26403">
        <w:t xml:space="preserve"> it is in fact the </w:t>
      </w:r>
      <w:r w:rsidR="00E26403" w:rsidRPr="00E26403">
        <w:t>Secretary of State</w:t>
      </w:r>
      <w:r w:rsidR="00E26403">
        <w:t>’</w:t>
      </w:r>
      <w:r w:rsidR="00E26403" w:rsidRPr="00E26403">
        <w:t>s policy, as expressed in paragraph 391(a) of the Immigration Rules, that</w:t>
      </w:r>
      <w:r w:rsidR="008052D3">
        <w:t xml:space="preserve"> the</w:t>
      </w:r>
      <w:r w:rsidR="00E26403" w:rsidRPr="00E26403">
        <w:t xml:space="preserve"> public interest does not require continuation of </w:t>
      </w:r>
      <w:r w:rsidR="00E2084B">
        <w:t>the deportation order.</w:t>
      </w:r>
      <w:r w:rsidR="00E2084B" w:rsidRPr="00E2084B">
        <w:t xml:space="preserve"> </w:t>
      </w:r>
      <w:r w:rsidR="00E2084B">
        <w:t xml:space="preserve"> In any event, as I have already said, the approach of the First-tier Tribunal Judge cannot, in my view, be faulted.</w:t>
      </w:r>
    </w:p>
    <w:p w:rsidR="00686B5C" w:rsidRPr="00E2084B" w:rsidRDefault="00686B5C" w:rsidP="00F55191">
      <w:pPr>
        <w:pStyle w:val="p"/>
        <w:spacing w:before="160"/>
      </w:pPr>
      <w:r>
        <w:t>6.</w:t>
      </w:r>
      <w:r>
        <w:tab/>
      </w:r>
      <w:r w:rsidR="00E2084B">
        <w:t xml:space="preserve">It is, I have to say, somewhat regrettable in the circumstances that the Secretary of State saw fit to appeal Judge Pickup’s decision.  It is even more regrettable that the contention was made that the mere passage of time could not be a material factor.  For </w:t>
      </w:r>
      <w:r w:rsidR="008052D3">
        <w:t xml:space="preserve">the </w:t>
      </w:r>
      <w:r w:rsidR="00E2084B">
        <w:t>reasons I have given</w:t>
      </w:r>
      <w:r w:rsidR="008052D3">
        <w:t>,</w:t>
      </w:r>
      <w:r w:rsidR="00E2084B">
        <w:t xml:space="preserve"> it is in this case a highly material factor.  By the same token it is regrettable, in my view, that Judge O’Garro saw fit to grant permission.  In any event, matters are now resolved.  The Secretary of State through Mr Bates </w:t>
      </w:r>
      <w:r w:rsidR="00E503A1">
        <w:t>does</w:t>
      </w:r>
      <w:r w:rsidR="00E2084B">
        <w:t xml:space="preserve"> not in effect </w:t>
      </w:r>
      <w:r w:rsidR="00E503A1">
        <w:t>pursue the appeal.</w:t>
      </w:r>
    </w:p>
    <w:p w:rsidR="009E257F" w:rsidRDefault="002A4D3F" w:rsidP="00F55191">
      <w:pPr>
        <w:pStyle w:val="p"/>
        <w:spacing w:before="160"/>
      </w:pPr>
      <w:r>
        <w:t>7.</w:t>
      </w:r>
      <w:r>
        <w:tab/>
      </w:r>
      <w:r w:rsidR="008052D3">
        <w:t>F</w:t>
      </w:r>
      <w:r w:rsidR="00E503A1">
        <w:t>or the reasons I have given</w:t>
      </w:r>
      <w:r w:rsidR="008052D3">
        <w:t>,</w:t>
      </w:r>
      <w:r w:rsidR="00E503A1">
        <w:t xml:space="preserve"> there is no material error of law in Judge Pickup’s decision and I therefore dismiss the appeal.</w:t>
      </w:r>
    </w:p>
    <w:p w:rsidR="002D7D7C" w:rsidRPr="002D7D7C" w:rsidRDefault="002D7D7C" w:rsidP="00F55191">
      <w:pPr>
        <w:spacing w:before="160"/>
        <w:jc w:val="both"/>
        <w:rPr>
          <w:rFonts w:ascii="Book Antiqua" w:hAnsi="Book Antiqua" w:cs="Arial"/>
          <w:b/>
          <w:u w:val="single"/>
        </w:rPr>
      </w:pPr>
      <w:r w:rsidRPr="002D7D7C">
        <w:rPr>
          <w:rFonts w:ascii="Book Antiqua" w:hAnsi="Book Antiqua" w:cs="Arial"/>
          <w:b/>
          <w:u w:val="single"/>
        </w:rPr>
        <w:t>Notice of Decision</w:t>
      </w:r>
    </w:p>
    <w:p w:rsidR="002D7D7C" w:rsidRPr="002D7D7C" w:rsidRDefault="008052D3" w:rsidP="00F55191">
      <w:pPr>
        <w:spacing w:before="160"/>
        <w:jc w:val="both"/>
        <w:rPr>
          <w:rFonts w:ascii="Book Antiqua" w:hAnsi="Book Antiqua" w:cs="Arial"/>
        </w:rPr>
      </w:pPr>
      <w:r>
        <w:rPr>
          <w:rFonts w:ascii="Book Antiqua" w:hAnsi="Book Antiqua" w:cs="Arial"/>
        </w:rPr>
        <w:t>The appeal is dismissed.</w:t>
      </w:r>
    </w:p>
    <w:p w:rsidR="002D7D7C" w:rsidRPr="002D7D7C" w:rsidRDefault="002D7D7C" w:rsidP="00F55191">
      <w:pPr>
        <w:spacing w:before="160"/>
        <w:jc w:val="both"/>
        <w:rPr>
          <w:rFonts w:ascii="Book Antiqua" w:hAnsi="Book Antiqua" w:cs="Arial"/>
        </w:rPr>
      </w:pPr>
      <w:r w:rsidRPr="002D7D7C">
        <w:rPr>
          <w:rFonts w:ascii="Book Antiqua" w:hAnsi="Book Antiqua" w:cs="Arial"/>
        </w:rPr>
        <w:t>No anonymity direction is made.</w:t>
      </w:r>
    </w:p>
    <w:p w:rsidR="002D7D7C" w:rsidRDefault="002D7D7C" w:rsidP="002D7D7C">
      <w:pPr>
        <w:jc w:val="both"/>
        <w:rPr>
          <w:rFonts w:ascii="Book Antiqua" w:hAnsi="Book Antiqua" w:cs="Arial"/>
        </w:rPr>
      </w:pPr>
    </w:p>
    <w:p w:rsidR="002D7D7C" w:rsidRDefault="002D7D7C" w:rsidP="002D7D7C">
      <w:pPr>
        <w:jc w:val="both"/>
        <w:rPr>
          <w:rFonts w:ascii="Book Antiqua" w:hAnsi="Book Antiqua" w:cs="Arial"/>
        </w:rPr>
      </w:pPr>
    </w:p>
    <w:p w:rsidR="002D7D7C" w:rsidRPr="00C3462F" w:rsidRDefault="00AE7531" w:rsidP="002D7D7C">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2D7D7C" w:rsidRPr="00C3462F">
        <w:rPr>
          <w:rFonts w:ascii="Book Antiqua" w:hAnsi="Book Antiqua" w:cs="Arial"/>
        </w:rPr>
        <w:t>Date</w:t>
      </w:r>
      <w:r w:rsidR="00F55A1A">
        <w:rPr>
          <w:rFonts w:ascii="Book Antiqua" w:hAnsi="Book Antiqua" w:cs="Arial"/>
        </w:rPr>
        <w:t xml:space="preserve"> 25 May 2018</w:t>
      </w:r>
    </w:p>
    <w:p w:rsidR="002D7D7C" w:rsidRPr="00C3462F" w:rsidRDefault="002D7D7C" w:rsidP="002D7D7C">
      <w:pPr>
        <w:tabs>
          <w:tab w:val="left" w:pos="2520"/>
        </w:tabs>
        <w:ind w:left="4508" w:hanging="539"/>
        <w:rPr>
          <w:rFonts w:ascii="Book Antiqua" w:hAnsi="Book Antiqua" w:cs="Arial"/>
        </w:rPr>
      </w:pPr>
    </w:p>
    <w:p w:rsidR="00CB512F" w:rsidRPr="00CB512F" w:rsidRDefault="00CB512F" w:rsidP="00CB512F">
      <w:pPr>
        <w:tabs>
          <w:tab w:val="left" w:pos="2520"/>
        </w:tabs>
        <w:ind w:left="4508" w:hanging="539"/>
        <w:rPr>
          <w:rFonts w:ascii="Book Antiqua" w:hAnsi="Book Antiqua" w:cs="Arial"/>
          <w:color w:val="000000"/>
        </w:rPr>
      </w:pPr>
      <w:r w:rsidRPr="00CB512F">
        <w:rPr>
          <w:rFonts w:ascii="Book Antiqua" w:hAnsi="Book Antiqua" w:cs="Arial"/>
          <w:color w:val="000000"/>
        </w:rPr>
        <w:t xml:space="preserve">The </w:t>
      </w:r>
      <w:smartTag w:uri="urn:schemas-microsoft-com:office:smarttags" w:element="Street">
        <w:smartTag w:uri="urn:schemas-microsoft-com:office:smarttags" w:element="address">
          <w:r w:rsidRPr="00CB512F">
            <w:rPr>
              <w:rFonts w:ascii="Book Antiqua" w:hAnsi="Book Antiqua" w:cs="Arial"/>
              <w:color w:val="000000"/>
            </w:rPr>
            <w:t>Hon. Mr Justice Lane</w:t>
          </w:r>
        </w:smartTag>
      </w:smartTag>
    </w:p>
    <w:p w:rsidR="00CB512F" w:rsidRPr="00CB512F" w:rsidRDefault="00CB512F" w:rsidP="00CB512F">
      <w:pPr>
        <w:tabs>
          <w:tab w:val="left" w:pos="2520"/>
        </w:tabs>
        <w:ind w:left="4508" w:hanging="539"/>
        <w:rPr>
          <w:rFonts w:ascii="Book Antiqua" w:hAnsi="Book Antiqua" w:cs="Arial"/>
          <w:color w:val="000000"/>
        </w:rPr>
      </w:pPr>
      <w:r w:rsidRPr="00CB512F">
        <w:rPr>
          <w:rFonts w:ascii="Book Antiqua" w:hAnsi="Book Antiqua" w:cs="Arial"/>
          <w:color w:val="000000"/>
        </w:rPr>
        <w:t xml:space="preserve">President of the Upper Tribunal </w:t>
      </w:r>
    </w:p>
    <w:p w:rsidR="00B95326" w:rsidRPr="00C3462F" w:rsidRDefault="00CB512F" w:rsidP="00CB162C">
      <w:pPr>
        <w:tabs>
          <w:tab w:val="left" w:pos="2520"/>
        </w:tabs>
        <w:ind w:left="4508" w:hanging="539"/>
        <w:rPr>
          <w:rFonts w:ascii="Book Antiqua" w:hAnsi="Book Antiqua" w:cs="Arial"/>
        </w:rPr>
      </w:pPr>
      <w:r w:rsidRPr="00CB512F">
        <w:rPr>
          <w:rFonts w:ascii="Book Antiqua" w:hAnsi="Book Antiqua" w:cs="Arial"/>
          <w:color w:val="000000"/>
        </w:rPr>
        <w:t>Immigration and Asylum Chamber</w:t>
      </w:r>
    </w:p>
    <w:sectPr w:rsidR="00B95326" w:rsidRPr="00C3462F" w:rsidSect="008052D3">
      <w:headerReference w:type="default" r:id="rId8"/>
      <w:footerReference w:type="default" r:id="rId9"/>
      <w:headerReference w:type="first" r:id="rId10"/>
      <w:footerReference w:type="first" r:id="rId11"/>
      <w:pgSz w:w="11906" w:h="16838" w:code="9"/>
      <w:pgMar w:top="1440" w:right="1134" w:bottom="1440" w:left="1134" w:header="709" w:footer="709" w:gutter="0"/>
      <w:paperSrc w:first="261" w:other="26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FDE" w:rsidRDefault="00D10FDE">
      <w:r>
        <w:separator/>
      </w:r>
    </w:p>
  </w:endnote>
  <w:endnote w:type="continuationSeparator" w:id="0">
    <w:p w:rsidR="00D10FDE" w:rsidRDefault="00D1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D6B" w:rsidRPr="00C3462F" w:rsidRDefault="00B16D6B" w:rsidP="00593795">
    <w:pPr>
      <w:pStyle w:val="Footer"/>
      <w:jc w:val="center"/>
      <w:rPr>
        <w:rFonts w:ascii="Book Antiqua" w:hAnsi="Book Antiqua" w:cs="Arial"/>
        <w:sz w:val="16"/>
        <w:szCs w:val="16"/>
      </w:rPr>
    </w:pPr>
    <w:r w:rsidRPr="00C3462F">
      <w:rPr>
        <w:rStyle w:val="PageNumber"/>
        <w:rFonts w:ascii="Book Antiqua" w:hAnsi="Book Antiqua" w:cs="Arial"/>
        <w:sz w:val="16"/>
        <w:szCs w:val="16"/>
      </w:rPr>
      <w:fldChar w:fldCharType="begin"/>
    </w:r>
    <w:r w:rsidRPr="00C3462F">
      <w:rPr>
        <w:rStyle w:val="PageNumber"/>
        <w:rFonts w:ascii="Book Antiqua" w:hAnsi="Book Antiqua" w:cs="Arial"/>
        <w:sz w:val="16"/>
        <w:szCs w:val="16"/>
      </w:rPr>
      <w:instrText xml:space="preserve"> PAGE </w:instrText>
    </w:r>
    <w:r w:rsidRPr="00C3462F">
      <w:rPr>
        <w:rStyle w:val="PageNumber"/>
        <w:rFonts w:ascii="Book Antiqua" w:hAnsi="Book Antiqua" w:cs="Arial"/>
        <w:sz w:val="16"/>
        <w:szCs w:val="16"/>
      </w:rPr>
      <w:fldChar w:fldCharType="separate"/>
    </w:r>
    <w:r w:rsidR="00F432EA">
      <w:rPr>
        <w:rStyle w:val="PageNumber"/>
        <w:rFonts w:ascii="Book Antiqua" w:hAnsi="Book Antiqua" w:cs="Arial"/>
        <w:noProof/>
        <w:sz w:val="16"/>
        <w:szCs w:val="16"/>
      </w:rPr>
      <w:t>2</w:t>
    </w:r>
    <w:r w:rsidRPr="00C3462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D6B" w:rsidRPr="00C3462F" w:rsidRDefault="00B16D6B" w:rsidP="00090CF9">
    <w:pPr>
      <w:jc w:val="center"/>
      <w:rPr>
        <w:rFonts w:ascii="Book Antiqua" w:hAnsi="Book Antiqua" w:cs="Arial"/>
        <w:b/>
      </w:rPr>
    </w:pPr>
    <w:r w:rsidRPr="00C3462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FDE" w:rsidRDefault="00D10FDE">
      <w:r>
        <w:separator/>
      </w:r>
    </w:p>
  </w:footnote>
  <w:footnote w:type="continuationSeparator" w:id="0">
    <w:p w:rsidR="00D10FDE" w:rsidRDefault="00D10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D6B" w:rsidRPr="008E3667" w:rsidRDefault="00B16D6B" w:rsidP="00593795">
    <w:pPr>
      <w:pStyle w:val="Header"/>
      <w:jc w:val="right"/>
      <w:rPr>
        <w:rFonts w:ascii="Book Antiqua" w:hAnsi="Book Antiqua" w:cs="Arial"/>
        <w:sz w:val="16"/>
        <w:szCs w:val="16"/>
      </w:rPr>
    </w:pPr>
    <w:r w:rsidRPr="00C3462F">
      <w:rPr>
        <w:rFonts w:ascii="Book Antiqua" w:hAnsi="Book Antiqua" w:cs="Arial"/>
        <w:sz w:val="16"/>
        <w:szCs w:val="16"/>
      </w:rPr>
      <w:t xml:space="preserve">Appeal Number: </w:t>
    </w:r>
    <w:r w:rsidRPr="008E3667">
      <w:rPr>
        <w:rFonts w:ascii="Book Antiqua" w:hAnsi="Book Antiqua" w:cs="Arial"/>
        <w:sz w:val="16"/>
        <w:szCs w:val="16"/>
      </w:rPr>
      <w:t>HU/02036/2016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D6B" w:rsidRPr="00C3462F" w:rsidRDefault="00B16D6B">
    <w:pPr>
      <w:pStyle w:val="Header"/>
      <w:rPr>
        <w:rFonts w:ascii="Book Antiqua" w:hAnsi="Book Antiqua"/>
      </w:rPr>
    </w:pPr>
    <w:r w:rsidRPr="00C3462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7C7"/>
    <w:multiLevelType w:val="hybridMultilevel"/>
    <w:tmpl w:val="568ED9FA"/>
    <w:lvl w:ilvl="0" w:tplc="E4645060">
      <w:start w:val="1"/>
      <w:numFmt w:val="bullet"/>
      <w:lvlText w:val=""/>
      <w:lvlJc w:val="left"/>
      <w:pPr>
        <w:tabs>
          <w:tab w:val="num" w:pos="1701"/>
        </w:tabs>
        <w:ind w:left="1701" w:hanging="567"/>
      </w:pPr>
      <w:rPr>
        <w:rFonts w:ascii="Symbol" w:hAnsi="Symbol"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4522613F"/>
    <w:multiLevelType w:val="hybridMultilevel"/>
    <w:tmpl w:val="73F28A4E"/>
    <w:lvl w:ilvl="0" w:tplc="3404F27E">
      <w:start w:val="1"/>
      <w:numFmt w:val="bullet"/>
      <w:pStyle w:val="qbullet"/>
      <w:lvlText w:val=""/>
      <w:lvlJc w:val="left"/>
      <w:pPr>
        <w:tabs>
          <w:tab w:val="num" w:pos="1701"/>
        </w:tabs>
        <w:ind w:left="1701"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E6"/>
    <w:rsid w:val="00000621"/>
    <w:rsid w:val="000036C2"/>
    <w:rsid w:val="00012CBD"/>
    <w:rsid w:val="00033D3D"/>
    <w:rsid w:val="00036C1F"/>
    <w:rsid w:val="000448E6"/>
    <w:rsid w:val="00062F02"/>
    <w:rsid w:val="00071A7E"/>
    <w:rsid w:val="000746C0"/>
    <w:rsid w:val="00074D1D"/>
    <w:rsid w:val="00090CF9"/>
    <w:rsid w:val="00091DFC"/>
    <w:rsid w:val="00092580"/>
    <w:rsid w:val="00093561"/>
    <w:rsid w:val="00093D4D"/>
    <w:rsid w:val="000A6345"/>
    <w:rsid w:val="000B07FA"/>
    <w:rsid w:val="000C363D"/>
    <w:rsid w:val="000D5D94"/>
    <w:rsid w:val="000E5429"/>
    <w:rsid w:val="000F1A0E"/>
    <w:rsid w:val="001165A7"/>
    <w:rsid w:val="0012566A"/>
    <w:rsid w:val="001416CE"/>
    <w:rsid w:val="00167395"/>
    <w:rsid w:val="00167D3A"/>
    <w:rsid w:val="00181D04"/>
    <w:rsid w:val="001A3082"/>
    <w:rsid w:val="001B186A"/>
    <w:rsid w:val="001B2F75"/>
    <w:rsid w:val="001C4D42"/>
    <w:rsid w:val="001C7CA0"/>
    <w:rsid w:val="001F2716"/>
    <w:rsid w:val="00207617"/>
    <w:rsid w:val="00214F07"/>
    <w:rsid w:val="0023134B"/>
    <w:rsid w:val="00250EB7"/>
    <w:rsid w:val="002677C6"/>
    <w:rsid w:val="00270E13"/>
    <w:rsid w:val="00277001"/>
    <w:rsid w:val="00283659"/>
    <w:rsid w:val="002A4D3F"/>
    <w:rsid w:val="002C6B15"/>
    <w:rsid w:val="002C6BD4"/>
    <w:rsid w:val="002D68BF"/>
    <w:rsid w:val="002D7D7C"/>
    <w:rsid w:val="002F6B98"/>
    <w:rsid w:val="00315E15"/>
    <w:rsid w:val="00336CBF"/>
    <w:rsid w:val="00343FE3"/>
    <w:rsid w:val="003546C8"/>
    <w:rsid w:val="003567ED"/>
    <w:rsid w:val="0038352F"/>
    <w:rsid w:val="003A283A"/>
    <w:rsid w:val="003A3F9E"/>
    <w:rsid w:val="003A40C6"/>
    <w:rsid w:val="003A7CF2"/>
    <w:rsid w:val="003B3AF2"/>
    <w:rsid w:val="003C5CE5"/>
    <w:rsid w:val="003E267B"/>
    <w:rsid w:val="003E32E6"/>
    <w:rsid w:val="003E4C57"/>
    <w:rsid w:val="003E7CD1"/>
    <w:rsid w:val="003F586F"/>
    <w:rsid w:val="00402B9E"/>
    <w:rsid w:val="004225C9"/>
    <w:rsid w:val="004225D4"/>
    <w:rsid w:val="004249CB"/>
    <w:rsid w:val="0044127D"/>
    <w:rsid w:val="004448DB"/>
    <w:rsid w:val="00446C9A"/>
    <w:rsid w:val="00452F2B"/>
    <w:rsid w:val="004703DD"/>
    <w:rsid w:val="00472E50"/>
    <w:rsid w:val="00477193"/>
    <w:rsid w:val="004A1848"/>
    <w:rsid w:val="004A6F4A"/>
    <w:rsid w:val="004B1755"/>
    <w:rsid w:val="004E4717"/>
    <w:rsid w:val="004F2DC5"/>
    <w:rsid w:val="004F4C33"/>
    <w:rsid w:val="005035E7"/>
    <w:rsid w:val="00507FEC"/>
    <w:rsid w:val="00510F0E"/>
    <w:rsid w:val="0051608B"/>
    <w:rsid w:val="005479E1"/>
    <w:rsid w:val="00553E0A"/>
    <w:rsid w:val="00555EE1"/>
    <w:rsid w:val="005570FD"/>
    <w:rsid w:val="005575EA"/>
    <w:rsid w:val="0057790C"/>
    <w:rsid w:val="005858A7"/>
    <w:rsid w:val="00592A98"/>
    <w:rsid w:val="00593795"/>
    <w:rsid w:val="00593821"/>
    <w:rsid w:val="005A4C2F"/>
    <w:rsid w:val="005A549B"/>
    <w:rsid w:val="005A75FF"/>
    <w:rsid w:val="005B08DF"/>
    <w:rsid w:val="005C7222"/>
    <w:rsid w:val="005D10AB"/>
    <w:rsid w:val="00601D8F"/>
    <w:rsid w:val="006068D5"/>
    <w:rsid w:val="0061237A"/>
    <w:rsid w:val="00653E97"/>
    <w:rsid w:val="006549DD"/>
    <w:rsid w:val="00680330"/>
    <w:rsid w:val="006840ED"/>
    <w:rsid w:val="00684A74"/>
    <w:rsid w:val="00686B5C"/>
    <w:rsid w:val="00690B8A"/>
    <w:rsid w:val="006A0E02"/>
    <w:rsid w:val="006A2F41"/>
    <w:rsid w:val="006D15E7"/>
    <w:rsid w:val="006F283F"/>
    <w:rsid w:val="006F2CF1"/>
    <w:rsid w:val="006F74C5"/>
    <w:rsid w:val="007038ED"/>
    <w:rsid w:val="00703BC3"/>
    <w:rsid w:val="00704B61"/>
    <w:rsid w:val="00713EC3"/>
    <w:rsid w:val="0072497A"/>
    <w:rsid w:val="007334B3"/>
    <w:rsid w:val="00742130"/>
    <w:rsid w:val="00745C57"/>
    <w:rsid w:val="007552A9"/>
    <w:rsid w:val="00761789"/>
    <w:rsid w:val="00761858"/>
    <w:rsid w:val="007625CE"/>
    <w:rsid w:val="00767D59"/>
    <w:rsid w:val="00776E97"/>
    <w:rsid w:val="00780F86"/>
    <w:rsid w:val="007912AD"/>
    <w:rsid w:val="007A07E5"/>
    <w:rsid w:val="007A0B39"/>
    <w:rsid w:val="007B0824"/>
    <w:rsid w:val="007B5D3C"/>
    <w:rsid w:val="007C3A44"/>
    <w:rsid w:val="008052D3"/>
    <w:rsid w:val="00821B72"/>
    <w:rsid w:val="00823EF2"/>
    <w:rsid w:val="008303B8"/>
    <w:rsid w:val="00833DCE"/>
    <w:rsid w:val="00841241"/>
    <w:rsid w:val="00845BF7"/>
    <w:rsid w:val="00854337"/>
    <w:rsid w:val="008543B4"/>
    <w:rsid w:val="008560E1"/>
    <w:rsid w:val="00857784"/>
    <w:rsid w:val="0086025E"/>
    <w:rsid w:val="00870CFF"/>
    <w:rsid w:val="00871D34"/>
    <w:rsid w:val="008752AE"/>
    <w:rsid w:val="0088040B"/>
    <w:rsid w:val="008B0814"/>
    <w:rsid w:val="008B270C"/>
    <w:rsid w:val="008B5078"/>
    <w:rsid w:val="008C3D3D"/>
    <w:rsid w:val="008D4131"/>
    <w:rsid w:val="008E3667"/>
    <w:rsid w:val="008F1932"/>
    <w:rsid w:val="008F22D0"/>
    <w:rsid w:val="008F3E6B"/>
    <w:rsid w:val="008F74A6"/>
    <w:rsid w:val="00901C9C"/>
    <w:rsid w:val="00921062"/>
    <w:rsid w:val="009218F3"/>
    <w:rsid w:val="00925AB2"/>
    <w:rsid w:val="00926150"/>
    <w:rsid w:val="009417D6"/>
    <w:rsid w:val="00945EED"/>
    <w:rsid w:val="00961599"/>
    <w:rsid w:val="009722BC"/>
    <w:rsid w:val="009727A3"/>
    <w:rsid w:val="00987774"/>
    <w:rsid w:val="00992E7F"/>
    <w:rsid w:val="009938EF"/>
    <w:rsid w:val="009A11E8"/>
    <w:rsid w:val="009B3BBB"/>
    <w:rsid w:val="009C2220"/>
    <w:rsid w:val="009D7740"/>
    <w:rsid w:val="009E257F"/>
    <w:rsid w:val="009F5220"/>
    <w:rsid w:val="00A108FD"/>
    <w:rsid w:val="00A1433B"/>
    <w:rsid w:val="00A15234"/>
    <w:rsid w:val="00A201AB"/>
    <w:rsid w:val="00A31C8B"/>
    <w:rsid w:val="00A46628"/>
    <w:rsid w:val="00A509FA"/>
    <w:rsid w:val="00A73ABC"/>
    <w:rsid w:val="00A75BA4"/>
    <w:rsid w:val="00A845DC"/>
    <w:rsid w:val="00A9771F"/>
    <w:rsid w:val="00AA116A"/>
    <w:rsid w:val="00AE4908"/>
    <w:rsid w:val="00AE7531"/>
    <w:rsid w:val="00B03324"/>
    <w:rsid w:val="00B16D6B"/>
    <w:rsid w:val="00B176FC"/>
    <w:rsid w:val="00B219F2"/>
    <w:rsid w:val="00B26AA2"/>
    <w:rsid w:val="00B3524D"/>
    <w:rsid w:val="00B40F69"/>
    <w:rsid w:val="00B434B0"/>
    <w:rsid w:val="00B46616"/>
    <w:rsid w:val="00B7040A"/>
    <w:rsid w:val="00B83391"/>
    <w:rsid w:val="00B95326"/>
    <w:rsid w:val="00B976D0"/>
    <w:rsid w:val="00BC2CC0"/>
    <w:rsid w:val="00BC437B"/>
    <w:rsid w:val="00BC6E58"/>
    <w:rsid w:val="00BD4196"/>
    <w:rsid w:val="00BF22CA"/>
    <w:rsid w:val="00BF23BB"/>
    <w:rsid w:val="00C03CB5"/>
    <w:rsid w:val="00C12F97"/>
    <w:rsid w:val="00C25B62"/>
    <w:rsid w:val="00C26032"/>
    <w:rsid w:val="00C345E1"/>
    <w:rsid w:val="00C3462F"/>
    <w:rsid w:val="00C43BFD"/>
    <w:rsid w:val="00CA4DCD"/>
    <w:rsid w:val="00CB162C"/>
    <w:rsid w:val="00CB3D7F"/>
    <w:rsid w:val="00CB512F"/>
    <w:rsid w:val="00CB6E35"/>
    <w:rsid w:val="00CE1A46"/>
    <w:rsid w:val="00CE7F95"/>
    <w:rsid w:val="00D10EBE"/>
    <w:rsid w:val="00D10FDE"/>
    <w:rsid w:val="00D20757"/>
    <w:rsid w:val="00D22636"/>
    <w:rsid w:val="00D40FD9"/>
    <w:rsid w:val="00D41C08"/>
    <w:rsid w:val="00D51824"/>
    <w:rsid w:val="00D53769"/>
    <w:rsid w:val="00D733A2"/>
    <w:rsid w:val="00D856A1"/>
    <w:rsid w:val="00D85C13"/>
    <w:rsid w:val="00D8713F"/>
    <w:rsid w:val="00D9111A"/>
    <w:rsid w:val="00D91BE3"/>
    <w:rsid w:val="00D94AFC"/>
    <w:rsid w:val="00DB4FFF"/>
    <w:rsid w:val="00DB70AE"/>
    <w:rsid w:val="00DD5071"/>
    <w:rsid w:val="00DD5C39"/>
    <w:rsid w:val="00DE7DB7"/>
    <w:rsid w:val="00E00A0A"/>
    <w:rsid w:val="00E066DE"/>
    <w:rsid w:val="00E07F57"/>
    <w:rsid w:val="00E07FFC"/>
    <w:rsid w:val="00E143D1"/>
    <w:rsid w:val="00E2084B"/>
    <w:rsid w:val="00E26403"/>
    <w:rsid w:val="00E30683"/>
    <w:rsid w:val="00E31245"/>
    <w:rsid w:val="00E453D8"/>
    <w:rsid w:val="00E503A1"/>
    <w:rsid w:val="00E50BCE"/>
    <w:rsid w:val="00E574BF"/>
    <w:rsid w:val="00E61292"/>
    <w:rsid w:val="00E66F6E"/>
    <w:rsid w:val="00E77C4D"/>
    <w:rsid w:val="00E81D01"/>
    <w:rsid w:val="00E863FA"/>
    <w:rsid w:val="00EC3E1F"/>
    <w:rsid w:val="00EC4AB8"/>
    <w:rsid w:val="00ED69C0"/>
    <w:rsid w:val="00EE45D8"/>
    <w:rsid w:val="00F0648C"/>
    <w:rsid w:val="00F22EDA"/>
    <w:rsid w:val="00F27E1B"/>
    <w:rsid w:val="00F33159"/>
    <w:rsid w:val="00F432EA"/>
    <w:rsid w:val="00F5135B"/>
    <w:rsid w:val="00F55191"/>
    <w:rsid w:val="00F55A1A"/>
    <w:rsid w:val="00F55C6F"/>
    <w:rsid w:val="00F60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5121"/>
    <o:shapelayout v:ext="edit">
      <o:idmap v:ext="edit" data="1"/>
    </o:shapelayout>
  </w:shapeDefaults>
  <w:decimalSymbol w:val="."/>
  <w:listSeparator w:val=","/>
  <w14:docId w14:val="716989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B51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A3F9E"/>
    <w:pPr>
      <w:tabs>
        <w:tab w:val="left" w:pos="567"/>
      </w:tabs>
      <w:ind w:left="567" w:hanging="567"/>
      <w:jc w:val="both"/>
    </w:pPr>
    <w:rPr>
      <w:rFonts w:ascii="Book Antiqua" w:hAnsi="Book Antiqua" w:cs="Arial"/>
    </w:rPr>
  </w:style>
  <w:style w:type="paragraph" w:customStyle="1" w:styleId="t">
    <w:name w:val="t"/>
    <w:basedOn w:val="Normal"/>
    <w:rsid w:val="003A3F9E"/>
    <w:pPr>
      <w:jc w:val="both"/>
    </w:pPr>
    <w:rPr>
      <w:rFonts w:ascii="Book Antiqua" w:hAnsi="Book Antiqua" w:cs="Arial"/>
    </w:rPr>
  </w:style>
  <w:style w:type="paragraph" w:customStyle="1" w:styleId="q">
    <w:name w:val="q"/>
    <w:basedOn w:val="Normal"/>
    <w:rsid w:val="00250EB7"/>
    <w:pPr>
      <w:ind w:left="1134"/>
      <w:jc w:val="both"/>
    </w:pPr>
    <w:rPr>
      <w:rFonts w:ascii="Book Antiqua" w:hAnsi="Book Antiqua" w:cs="Arial"/>
      <w:sz w:val="22"/>
    </w:rPr>
  </w:style>
  <w:style w:type="paragraph" w:customStyle="1" w:styleId="un">
    <w:name w:val="un"/>
    <w:basedOn w:val="p"/>
    <w:rsid w:val="00686B5C"/>
    <w:pPr>
      <w:tabs>
        <w:tab w:val="clear" w:pos="567"/>
      </w:tabs>
      <w:ind w:firstLine="0"/>
    </w:pPr>
  </w:style>
  <w:style w:type="paragraph" w:customStyle="1" w:styleId="Default">
    <w:name w:val="Default"/>
    <w:rsid w:val="009E257F"/>
    <w:pPr>
      <w:autoSpaceDE w:val="0"/>
      <w:autoSpaceDN w:val="0"/>
      <w:adjustRightInd w:val="0"/>
    </w:pPr>
    <w:rPr>
      <w:rFonts w:ascii="Arial" w:hAnsi="Arial" w:cs="Arial"/>
      <w:color w:val="000000"/>
      <w:sz w:val="24"/>
      <w:szCs w:val="24"/>
    </w:rPr>
  </w:style>
  <w:style w:type="paragraph" w:customStyle="1" w:styleId="qbullet">
    <w:name w:val="qbullet"/>
    <w:basedOn w:val="q"/>
    <w:rsid w:val="00F0648C"/>
    <w:pPr>
      <w:numPr>
        <w:numId w:val="2"/>
      </w:numPr>
    </w:pPr>
  </w:style>
  <w:style w:type="paragraph" w:customStyle="1" w:styleId="qn">
    <w:name w:val="qn"/>
    <w:basedOn w:val="Normal"/>
    <w:rsid w:val="0051608B"/>
    <w:pPr>
      <w:ind w:left="1701" w:hanging="567"/>
      <w:jc w:val="both"/>
    </w:pPr>
    <w:rPr>
      <w:rFonts w:ascii="Book Antiqua" w:hAnsi="Book Antiqua" w:cs="Arial"/>
      <w:sz w:val="22"/>
    </w:rPr>
  </w:style>
  <w:style w:type="paragraph" w:customStyle="1" w:styleId="Style1">
    <w:name w:val="Style1"/>
    <w:basedOn w:val="qn"/>
    <w:rsid w:val="0051608B"/>
    <w:pPr>
      <w:ind w:left="2268"/>
    </w:pPr>
  </w:style>
  <w:style w:type="paragraph" w:customStyle="1" w:styleId="subqn">
    <w:name w:val="subqn"/>
    <w:basedOn w:val="qn"/>
    <w:rsid w:val="0051608B"/>
    <w:pPr>
      <w:ind w:left="22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3030</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2018-06-19T15:32:00Z</dcterms:created>
  <dcterms:modified xsi:type="dcterms:W3CDTF">2018-06-19T15:32:00Z</dcterms:modified>
</cp:coreProperties>
</file>