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8A1123" w:rsidRDefault="00060B05" w:rsidP="00C321B5">
      <w:pPr>
        <w:jc w:val="center"/>
        <w:rPr>
          <w:rFonts w:ascii="Book Antiqua" w:hAnsi="Book Antiqua" w:cs="Arial"/>
          <w:sz w:val="16"/>
          <w:szCs w:val="16"/>
        </w:rPr>
      </w:pPr>
      <w:r w:rsidRPr="00F1235D">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8A1123" w:rsidRDefault="001A1E2C" w:rsidP="00B626FA">
      <w:pPr>
        <w:tabs>
          <w:tab w:val="right" w:pos="9639"/>
        </w:tabs>
        <w:rPr>
          <w:rFonts w:ascii="Book Antiqua" w:hAnsi="Book Antiqua" w:cs="Arial"/>
          <w:b/>
        </w:rPr>
      </w:pPr>
      <w:r w:rsidRPr="008A1123">
        <w:rPr>
          <w:rFonts w:ascii="Book Antiqua" w:hAnsi="Book Antiqua" w:cs="Arial"/>
          <w:b/>
        </w:rPr>
        <w:t xml:space="preserve">Upper </w:t>
      </w:r>
      <w:r w:rsidR="00C321B5" w:rsidRPr="008A1123">
        <w:rPr>
          <w:rFonts w:ascii="Book Antiqua" w:hAnsi="Book Antiqua" w:cs="Arial"/>
          <w:b/>
        </w:rPr>
        <w:t xml:space="preserve">Tribunal </w:t>
      </w:r>
      <w:r w:rsidR="000F6101" w:rsidRPr="008A1123">
        <w:rPr>
          <w:rFonts w:ascii="Book Antiqua" w:hAnsi="Book Antiqua" w:cs="Arial"/>
          <w:b/>
        </w:rPr>
        <w:t xml:space="preserve"> </w:t>
      </w:r>
    </w:p>
    <w:p w:rsidR="007B0824" w:rsidRPr="00416E4D" w:rsidRDefault="00C321B5" w:rsidP="00B626FA">
      <w:pPr>
        <w:tabs>
          <w:tab w:val="right" w:pos="9639"/>
        </w:tabs>
        <w:rPr>
          <w:rFonts w:ascii="Book Antiqua" w:hAnsi="Book Antiqua" w:cs="Arial"/>
          <w:b/>
        </w:rPr>
      </w:pPr>
      <w:r w:rsidRPr="008A1123">
        <w:rPr>
          <w:rFonts w:ascii="Book Antiqua" w:hAnsi="Book Antiqua" w:cs="Arial"/>
          <w:b/>
        </w:rPr>
        <w:t xml:space="preserve">(Immigration and Asylum </w:t>
      </w:r>
      <w:proofErr w:type="gramStart"/>
      <w:r w:rsidRPr="008A1123">
        <w:rPr>
          <w:rFonts w:ascii="Book Antiqua" w:hAnsi="Book Antiqua" w:cs="Arial"/>
          <w:b/>
        </w:rPr>
        <w:t>Chamber)</w:t>
      </w:r>
      <w:r w:rsidR="00416E4D">
        <w:rPr>
          <w:rFonts w:ascii="Book Antiqua" w:hAnsi="Book Antiqua" w:cs="Arial"/>
          <w:b/>
        </w:rPr>
        <w:t xml:space="preserve">   </w:t>
      </w:r>
      <w:proofErr w:type="gramEnd"/>
      <w:r w:rsidR="00416E4D">
        <w:rPr>
          <w:rFonts w:ascii="Book Antiqua" w:hAnsi="Book Antiqua" w:cs="Arial"/>
          <w:b/>
        </w:rPr>
        <w:t xml:space="preserve">                   </w:t>
      </w:r>
      <w:r w:rsidR="00B3524D" w:rsidRPr="00416E4D">
        <w:rPr>
          <w:rFonts w:ascii="Book Antiqua" w:hAnsi="Book Antiqua" w:cs="Arial"/>
          <w:b/>
        </w:rPr>
        <w:t>Appeal Number</w:t>
      </w:r>
      <w:r w:rsidR="00D53769" w:rsidRPr="00416E4D">
        <w:rPr>
          <w:rFonts w:ascii="Book Antiqua" w:hAnsi="Book Antiqua" w:cs="Arial"/>
          <w:b/>
        </w:rPr>
        <w:t>:</w:t>
      </w:r>
      <w:r w:rsidR="00B3524D" w:rsidRPr="00416E4D">
        <w:rPr>
          <w:rFonts w:ascii="Book Antiqua" w:hAnsi="Book Antiqua" w:cs="Arial"/>
          <w:b/>
        </w:rPr>
        <w:t xml:space="preserve"> </w:t>
      </w:r>
      <w:r w:rsidR="0047433D" w:rsidRPr="00416E4D">
        <w:rPr>
          <w:rFonts w:ascii="Book Antiqua" w:hAnsi="Book Antiqua" w:cs="Arial"/>
          <w:b/>
          <w:caps/>
        </w:rPr>
        <w:t>HU/02582/2016</w:t>
      </w:r>
      <w:r w:rsidR="00887E78" w:rsidRPr="00416E4D">
        <w:rPr>
          <w:rFonts w:ascii="Book Antiqua" w:hAnsi="Book Antiqua" w:cs="Arial"/>
          <w:b/>
          <w:caps/>
        </w:rPr>
        <w:t xml:space="preserve">  </w:t>
      </w:r>
    </w:p>
    <w:p w:rsidR="00C345E1" w:rsidRPr="008A1123" w:rsidRDefault="00C345E1" w:rsidP="00C345E1">
      <w:pPr>
        <w:jc w:val="center"/>
        <w:rPr>
          <w:rFonts w:ascii="Book Antiqua" w:hAnsi="Book Antiqua" w:cs="Arial"/>
        </w:rPr>
      </w:pPr>
    </w:p>
    <w:p w:rsidR="00C345E1" w:rsidRPr="008A1123" w:rsidRDefault="00C345E1" w:rsidP="00C345E1">
      <w:pPr>
        <w:jc w:val="center"/>
        <w:rPr>
          <w:rFonts w:ascii="Book Antiqua" w:hAnsi="Book Antiqua" w:cs="Arial"/>
          <w:b/>
          <w:u w:val="single"/>
        </w:rPr>
      </w:pPr>
      <w:r w:rsidRPr="008A1123">
        <w:rPr>
          <w:rFonts w:ascii="Book Antiqua" w:hAnsi="Book Antiqua" w:cs="Arial"/>
          <w:b/>
          <w:u w:val="single"/>
        </w:rPr>
        <w:t>THE IMMIGRATION ACTS</w:t>
      </w:r>
    </w:p>
    <w:p w:rsidR="00C345E1" w:rsidRPr="008A112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4797"/>
      </w:tblGrid>
      <w:tr w:rsidR="00D22636" w:rsidRPr="008A1123" w:rsidTr="00060B05">
        <w:tc>
          <w:tcPr>
            <w:tcW w:w="5211" w:type="dxa"/>
            <w:shd w:val="clear" w:color="auto" w:fill="auto"/>
          </w:tcPr>
          <w:p w:rsidR="00D22636" w:rsidRPr="00F1235D" w:rsidRDefault="00D22636" w:rsidP="00F1235D">
            <w:pPr>
              <w:jc w:val="both"/>
              <w:rPr>
                <w:rFonts w:ascii="Book Antiqua" w:hAnsi="Book Antiqua" w:cs="Arial"/>
                <w:b/>
              </w:rPr>
            </w:pPr>
            <w:r w:rsidRPr="00F1235D">
              <w:rPr>
                <w:rFonts w:ascii="Book Antiqua" w:hAnsi="Book Antiqua" w:cs="Arial"/>
                <w:b/>
              </w:rPr>
              <w:t xml:space="preserve">Heard at </w:t>
            </w:r>
            <w:r w:rsidR="00887E78" w:rsidRPr="00F1235D">
              <w:rPr>
                <w:rFonts w:ascii="Book Antiqua" w:hAnsi="Book Antiqua" w:cs="Arial"/>
                <w:b/>
              </w:rPr>
              <w:t xml:space="preserve">Manchester Civil Justice Centre  </w:t>
            </w:r>
          </w:p>
        </w:tc>
        <w:tc>
          <w:tcPr>
            <w:tcW w:w="4797" w:type="dxa"/>
            <w:shd w:val="clear" w:color="auto" w:fill="auto"/>
          </w:tcPr>
          <w:p w:rsidR="00D22636" w:rsidRPr="00F1235D" w:rsidRDefault="00060B05" w:rsidP="00F1235D">
            <w:pPr>
              <w:jc w:val="both"/>
              <w:rPr>
                <w:rFonts w:ascii="Book Antiqua" w:hAnsi="Book Antiqua" w:cs="Arial"/>
                <w:b/>
              </w:rPr>
            </w:pPr>
            <w:r>
              <w:rPr>
                <w:rFonts w:ascii="Book Antiqua" w:hAnsi="Book Antiqua" w:cs="Arial"/>
                <w:b/>
              </w:rPr>
              <w:t>Decision &amp; Reasons Promulgated</w:t>
            </w:r>
          </w:p>
        </w:tc>
      </w:tr>
      <w:tr w:rsidR="00D22636" w:rsidRPr="008A1123" w:rsidTr="00060B05">
        <w:tc>
          <w:tcPr>
            <w:tcW w:w="5211" w:type="dxa"/>
            <w:shd w:val="clear" w:color="auto" w:fill="auto"/>
          </w:tcPr>
          <w:p w:rsidR="00D22636" w:rsidRPr="00F1235D" w:rsidRDefault="00D22636" w:rsidP="00F1235D">
            <w:pPr>
              <w:jc w:val="both"/>
              <w:rPr>
                <w:rFonts w:ascii="Book Antiqua" w:hAnsi="Book Antiqua" w:cs="Arial"/>
                <w:b/>
              </w:rPr>
            </w:pPr>
            <w:r w:rsidRPr="00F1235D">
              <w:rPr>
                <w:rFonts w:ascii="Book Antiqua" w:hAnsi="Book Antiqua" w:cs="Arial"/>
                <w:b/>
              </w:rPr>
              <w:t xml:space="preserve">On </w:t>
            </w:r>
            <w:r w:rsidR="00887E78" w:rsidRPr="00F1235D">
              <w:rPr>
                <w:rFonts w:ascii="Book Antiqua" w:hAnsi="Book Antiqua" w:cs="Arial"/>
                <w:b/>
              </w:rPr>
              <w:t>17</w:t>
            </w:r>
            <w:r w:rsidR="00887E78" w:rsidRPr="00F1235D">
              <w:rPr>
                <w:rFonts w:ascii="Book Antiqua" w:hAnsi="Book Antiqua" w:cs="Arial"/>
                <w:b/>
                <w:vertAlign w:val="superscript"/>
              </w:rPr>
              <w:t>th</w:t>
            </w:r>
            <w:r w:rsidR="00887E78" w:rsidRPr="00F1235D">
              <w:rPr>
                <w:rFonts w:ascii="Book Antiqua" w:hAnsi="Book Antiqua" w:cs="Arial"/>
                <w:b/>
              </w:rPr>
              <w:t xml:space="preserve"> May 2018  </w:t>
            </w:r>
          </w:p>
        </w:tc>
        <w:tc>
          <w:tcPr>
            <w:tcW w:w="4797" w:type="dxa"/>
            <w:shd w:val="clear" w:color="auto" w:fill="auto"/>
          </w:tcPr>
          <w:p w:rsidR="00D22636" w:rsidRPr="00F1235D" w:rsidRDefault="00060B05" w:rsidP="00F1235D">
            <w:pPr>
              <w:jc w:val="both"/>
              <w:rPr>
                <w:rFonts w:ascii="Book Antiqua" w:hAnsi="Book Antiqua" w:cs="Arial"/>
                <w:b/>
              </w:rPr>
            </w:pPr>
            <w:r>
              <w:rPr>
                <w:rFonts w:ascii="Book Antiqua" w:hAnsi="Book Antiqua" w:cs="Arial"/>
                <w:b/>
              </w:rPr>
              <w:t>On 12</w:t>
            </w:r>
            <w:r w:rsidRPr="00060B05">
              <w:rPr>
                <w:rFonts w:ascii="Book Antiqua" w:hAnsi="Book Antiqua" w:cs="Arial"/>
                <w:b/>
                <w:vertAlign w:val="superscript"/>
              </w:rPr>
              <w:t>th</w:t>
            </w:r>
            <w:r>
              <w:rPr>
                <w:rFonts w:ascii="Book Antiqua" w:hAnsi="Book Antiqua" w:cs="Arial"/>
                <w:b/>
              </w:rPr>
              <w:t xml:space="preserve"> September 2018</w:t>
            </w:r>
          </w:p>
        </w:tc>
      </w:tr>
      <w:tr w:rsidR="00D22636" w:rsidRPr="008A1123" w:rsidTr="00060B05">
        <w:tc>
          <w:tcPr>
            <w:tcW w:w="5211" w:type="dxa"/>
            <w:shd w:val="clear" w:color="auto" w:fill="auto"/>
          </w:tcPr>
          <w:p w:rsidR="00D22636" w:rsidRPr="00F1235D" w:rsidRDefault="00D22636" w:rsidP="00F1235D">
            <w:pPr>
              <w:jc w:val="both"/>
              <w:rPr>
                <w:rFonts w:ascii="Book Antiqua" w:hAnsi="Book Antiqua" w:cs="Arial"/>
                <w:b/>
              </w:rPr>
            </w:pPr>
          </w:p>
        </w:tc>
        <w:tc>
          <w:tcPr>
            <w:tcW w:w="4797" w:type="dxa"/>
            <w:shd w:val="clear" w:color="auto" w:fill="auto"/>
          </w:tcPr>
          <w:p w:rsidR="00D22636" w:rsidRPr="00F1235D" w:rsidRDefault="00D22636" w:rsidP="00F1235D">
            <w:pPr>
              <w:jc w:val="both"/>
              <w:rPr>
                <w:rFonts w:ascii="Book Antiqua" w:hAnsi="Book Antiqua" w:cs="Arial"/>
                <w:b/>
              </w:rPr>
            </w:pPr>
          </w:p>
        </w:tc>
      </w:tr>
    </w:tbl>
    <w:p w:rsidR="00A15234" w:rsidRPr="008A1123" w:rsidRDefault="00A15234" w:rsidP="00A15234">
      <w:pPr>
        <w:jc w:val="center"/>
        <w:rPr>
          <w:rFonts w:ascii="Book Antiqua" w:hAnsi="Book Antiqua" w:cs="Arial"/>
        </w:rPr>
      </w:pPr>
    </w:p>
    <w:p w:rsidR="00A15234" w:rsidRPr="008A1123" w:rsidRDefault="00207617" w:rsidP="00A15234">
      <w:pPr>
        <w:jc w:val="center"/>
        <w:rPr>
          <w:rFonts w:ascii="Book Antiqua" w:hAnsi="Book Antiqua" w:cs="Arial"/>
          <w:b/>
        </w:rPr>
      </w:pPr>
      <w:r w:rsidRPr="008A1123">
        <w:rPr>
          <w:rFonts w:ascii="Book Antiqua" w:hAnsi="Book Antiqua" w:cs="Arial"/>
          <w:b/>
        </w:rPr>
        <w:t>Befo</w:t>
      </w:r>
      <w:r w:rsidR="00A15234" w:rsidRPr="008A1123">
        <w:rPr>
          <w:rFonts w:ascii="Book Antiqua" w:hAnsi="Book Antiqua" w:cs="Arial"/>
          <w:b/>
        </w:rPr>
        <w:t>re</w:t>
      </w:r>
    </w:p>
    <w:p w:rsidR="00A15234" w:rsidRPr="008A1123" w:rsidRDefault="00A15234" w:rsidP="00A15234">
      <w:pPr>
        <w:jc w:val="center"/>
        <w:rPr>
          <w:rFonts w:ascii="Book Antiqua" w:hAnsi="Book Antiqua" w:cs="Arial"/>
          <w:b/>
        </w:rPr>
      </w:pPr>
    </w:p>
    <w:p w:rsidR="001A1E2C" w:rsidRPr="008A1123" w:rsidRDefault="00B2116E" w:rsidP="00A15234">
      <w:pPr>
        <w:jc w:val="center"/>
        <w:rPr>
          <w:rFonts w:ascii="Book Antiqua" w:hAnsi="Book Antiqua" w:cs="Arial"/>
          <w:b/>
        </w:rPr>
      </w:pPr>
      <w:r w:rsidRPr="008A1123">
        <w:rPr>
          <w:rFonts w:ascii="Book Antiqua" w:hAnsi="Book Antiqua" w:cs="Arial"/>
          <w:b/>
        </w:rPr>
        <w:t>DEPUTY UPPER TRIBUNAL</w:t>
      </w:r>
      <w:r w:rsidR="00B16F58" w:rsidRPr="008A1123">
        <w:rPr>
          <w:rFonts w:ascii="Book Antiqua" w:hAnsi="Book Antiqua" w:cs="Arial"/>
          <w:b/>
        </w:rPr>
        <w:t xml:space="preserve"> JUDGE </w:t>
      </w:r>
      <w:r w:rsidR="004F50BF" w:rsidRPr="008A1123">
        <w:rPr>
          <w:rFonts w:ascii="Book Antiqua" w:hAnsi="Book Antiqua" w:cs="Arial"/>
          <w:b/>
        </w:rPr>
        <w:t>JUSS</w:t>
      </w:r>
      <w:r w:rsidR="00887E78" w:rsidRPr="008A1123">
        <w:rPr>
          <w:rFonts w:ascii="Book Antiqua" w:hAnsi="Book Antiqua" w:cs="Arial"/>
          <w:b/>
        </w:rPr>
        <w:t xml:space="preserve">   </w:t>
      </w:r>
    </w:p>
    <w:p w:rsidR="00B16F58" w:rsidRPr="008A1123" w:rsidRDefault="00B16F58" w:rsidP="00A15234">
      <w:pPr>
        <w:jc w:val="center"/>
        <w:rPr>
          <w:rFonts w:ascii="Book Antiqua" w:hAnsi="Book Antiqua" w:cs="Arial"/>
          <w:b/>
        </w:rPr>
      </w:pPr>
    </w:p>
    <w:p w:rsidR="00A845DC" w:rsidRPr="008A1123" w:rsidRDefault="00A845DC" w:rsidP="00A15234">
      <w:pPr>
        <w:jc w:val="center"/>
        <w:rPr>
          <w:rFonts w:ascii="Book Antiqua" w:hAnsi="Book Antiqua" w:cs="Arial"/>
          <w:b/>
        </w:rPr>
      </w:pPr>
      <w:r w:rsidRPr="008A1123">
        <w:rPr>
          <w:rFonts w:ascii="Book Antiqua" w:hAnsi="Book Antiqua" w:cs="Arial"/>
          <w:b/>
        </w:rPr>
        <w:t>Between</w:t>
      </w:r>
      <w:r w:rsidR="000F6101" w:rsidRPr="008A1123">
        <w:rPr>
          <w:rFonts w:ascii="Book Antiqua" w:hAnsi="Book Antiqua" w:cs="Arial"/>
          <w:b/>
        </w:rPr>
        <w:t xml:space="preserve">  </w:t>
      </w:r>
    </w:p>
    <w:p w:rsidR="00A845DC" w:rsidRPr="008A1123" w:rsidRDefault="00A845DC" w:rsidP="00A15234">
      <w:pPr>
        <w:jc w:val="center"/>
        <w:rPr>
          <w:rFonts w:ascii="Book Antiqua" w:hAnsi="Book Antiqua" w:cs="Arial"/>
          <w:b/>
        </w:rPr>
      </w:pPr>
    </w:p>
    <w:p w:rsidR="00742A8D" w:rsidRPr="008A1123" w:rsidRDefault="00887E78" w:rsidP="00742A8D">
      <w:pPr>
        <w:jc w:val="center"/>
        <w:rPr>
          <w:rFonts w:ascii="Book Antiqua" w:hAnsi="Book Antiqua" w:cs="Arial"/>
          <w:b/>
          <w:caps/>
        </w:rPr>
      </w:pPr>
      <w:r w:rsidRPr="008A1123">
        <w:rPr>
          <w:rFonts w:ascii="Book Antiqua" w:hAnsi="Book Antiqua" w:cs="Arial"/>
          <w:b/>
          <w:caps/>
        </w:rPr>
        <w:t xml:space="preserve">mr Waqar Ajmal </w:t>
      </w:r>
      <w:r w:rsidR="000F6101" w:rsidRPr="008A1123">
        <w:rPr>
          <w:rFonts w:ascii="Book Antiqua" w:hAnsi="Book Antiqua" w:cs="Arial"/>
          <w:b/>
          <w:caps/>
        </w:rPr>
        <w:t xml:space="preserve"> </w:t>
      </w:r>
    </w:p>
    <w:p w:rsidR="000E34AA" w:rsidRPr="00416E4D" w:rsidRDefault="000E34AA" w:rsidP="000E34AA">
      <w:pPr>
        <w:jc w:val="center"/>
        <w:rPr>
          <w:rFonts w:ascii="Book Antiqua" w:hAnsi="Book Antiqua" w:cs="Arial"/>
          <w:caps/>
        </w:rPr>
      </w:pPr>
      <w:r w:rsidRPr="00416E4D">
        <w:rPr>
          <w:rFonts w:ascii="Book Antiqua" w:hAnsi="Book Antiqua" w:cs="Arial"/>
          <w:caps/>
        </w:rPr>
        <w:t xml:space="preserve">(ANONYMITY DIRECTION </w:t>
      </w:r>
      <w:bookmarkStart w:id="0" w:name="Text21"/>
      <w:r w:rsidRPr="00416E4D">
        <w:rPr>
          <w:rFonts w:ascii="Book Antiqua" w:hAnsi="Book Antiqua" w:cs="Arial"/>
          <w:caps/>
          <w:noProof/>
        </w:rPr>
        <w:t>NOT MADE</w:t>
      </w:r>
      <w:bookmarkEnd w:id="0"/>
      <w:r w:rsidRPr="00416E4D">
        <w:rPr>
          <w:rFonts w:ascii="Book Antiqua" w:hAnsi="Book Antiqua" w:cs="Arial"/>
          <w:caps/>
        </w:rPr>
        <w:t>)</w:t>
      </w:r>
      <w:r w:rsidR="00887E78" w:rsidRPr="00416E4D">
        <w:rPr>
          <w:rFonts w:ascii="Book Antiqua" w:hAnsi="Book Antiqua" w:cs="Arial"/>
          <w:caps/>
        </w:rPr>
        <w:t xml:space="preserve">  </w:t>
      </w:r>
    </w:p>
    <w:p w:rsidR="00704B61" w:rsidRPr="008A1123" w:rsidRDefault="00704B61" w:rsidP="00704B61">
      <w:pPr>
        <w:jc w:val="right"/>
        <w:rPr>
          <w:rFonts w:ascii="Book Antiqua" w:hAnsi="Book Antiqua" w:cs="Arial"/>
          <w:u w:val="single"/>
        </w:rPr>
      </w:pPr>
      <w:r w:rsidRPr="008A1123">
        <w:rPr>
          <w:rFonts w:ascii="Book Antiqua" w:hAnsi="Book Antiqua" w:cs="Arial"/>
          <w:u w:val="single"/>
        </w:rPr>
        <w:t>Appellant</w:t>
      </w:r>
      <w:r w:rsidR="000F6101" w:rsidRPr="008A1123">
        <w:rPr>
          <w:rFonts w:ascii="Book Antiqua" w:hAnsi="Book Antiqua" w:cs="Arial"/>
          <w:u w:val="single"/>
        </w:rPr>
        <w:t xml:space="preserve">  </w:t>
      </w:r>
    </w:p>
    <w:p w:rsidR="006D1DFA" w:rsidRPr="008A1123" w:rsidRDefault="006D1DFA" w:rsidP="00704B61">
      <w:pPr>
        <w:jc w:val="center"/>
        <w:rPr>
          <w:rFonts w:ascii="Book Antiqua" w:hAnsi="Book Antiqua" w:cs="Arial"/>
          <w:b/>
        </w:rPr>
      </w:pPr>
    </w:p>
    <w:p w:rsidR="00704B61" w:rsidRPr="008A1123" w:rsidRDefault="00DD5071" w:rsidP="00704B61">
      <w:pPr>
        <w:jc w:val="center"/>
        <w:rPr>
          <w:rFonts w:ascii="Book Antiqua" w:hAnsi="Book Antiqua" w:cs="Arial"/>
          <w:b/>
        </w:rPr>
      </w:pPr>
      <w:r w:rsidRPr="008A1123">
        <w:rPr>
          <w:rFonts w:ascii="Book Antiqua" w:hAnsi="Book Antiqua" w:cs="Arial"/>
          <w:b/>
        </w:rPr>
        <w:t>and</w:t>
      </w:r>
    </w:p>
    <w:p w:rsidR="00DD5071" w:rsidRPr="008A1123" w:rsidRDefault="00DD5071" w:rsidP="00704B61">
      <w:pPr>
        <w:jc w:val="center"/>
        <w:rPr>
          <w:rFonts w:ascii="Book Antiqua" w:hAnsi="Book Antiqua" w:cs="Arial"/>
          <w:b/>
        </w:rPr>
      </w:pPr>
    </w:p>
    <w:p w:rsidR="00DD5071" w:rsidRPr="008A1123" w:rsidRDefault="00DD5071" w:rsidP="00704B61">
      <w:pPr>
        <w:jc w:val="center"/>
        <w:rPr>
          <w:rFonts w:ascii="Book Antiqua" w:hAnsi="Book Antiqua" w:cs="Arial"/>
          <w:b/>
          <w:caps/>
        </w:rPr>
      </w:pPr>
      <w:bookmarkStart w:id="1" w:name="Text7"/>
      <w:r w:rsidRPr="008A1123">
        <w:rPr>
          <w:rFonts w:ascii="Book Antiqua" w:hAnsi="Book Antiqua" w:cs="Arial"/>
          <w:b/>
          <w:caps/>
          <w:noProof/>
        </w:rPr>
        <w:t>THE SECRETARY OF STATE FOR THE HOME DEPARTMENT</w:t>
      </w:r>
      <w:bookmarkEnd w:id="1"/>
      <w:r w:rsidR="00887E78" w:rsidRPr="008A1123">
        <w:rPr>
          <w:rFonts w:ascii="Book Antiqua" w:hAnsi="Book Antiqua" w:cs="Arial"/>
          <w:b/>
          <w:caps/>
          <w:noProof/>
        </w:rPr>
        <w:t xml:space="preserve">  </w:t>
      </w:r>
    </w:p>
    <w:p w:rsidR="00DD5071" w:rsidRPr="008A1123" w:rsidRDefault="00DD5071" w:rsidP="00DD5071">
      <w:pPr>
        <w:jc w:val="right"/>
        <w:rPr>
          <w:rFonts w:ascii="Book Antiqua" w:hAnsi="Book Antiqua" w:cs="Arial"/>
          <w:u w:val="single"/>
        </w:rPr>
      </w:pPr>
      <w:r w:rsidRPr="008A1123">
        <w:rPr>
          <w:rFonts w:ascii="Book Antiqua" w:hAnsi="Book Antiqua" w:cs="Arial"/>
          <w:u w:val="single"/>
        </w:rPr>
        <w:t>Respondent</w:t>
      </w:r>
      <w:r w:rsidR="000F6101" w:rsidRPr="008A1123">
        <w:rPr>
          <w:rFonts w:ascii="Book Antiqua" w:hAnsi="Book Antiqua" w:cs="Arial"/>
          <w:u w:val="single"/>
        </w:rPr>
        <w:t xml:space="preserve">  </w:t>
      </w:r>
    </w:p>
    <w:p w:rsidR="00DD5071" w:rsidRPr="008A1123" w:rsidRDefault="00DD5071" w:rsidP="00DD5071">
      <w:pPr>
        <w:rPr>
          <w:rFonts w:ascii="Book Antiqua" w:hAnsi="Book Antiqua" w:cs="Arial"/>
          <w:u w:val="single"/>
        </w:rPr>
      </w:pPr>
    </w:p>
    <w:p w:rsidR="00DD5071" w:rsidRPr="008A1123" w:rsidRDefault="00DE7DB7" w:rsidP="00DD5071">
      <w:pPr>
        <w:rPr>
          <w:rFonts w:ascii="Book Antiqua" w:hAnsi="Book Antiqua" w:cs="Arial"/>
        </w:rPr>
      </w:pPr>
      <w:r w:rsidRPr="008A1123">
        <w:rPr>
          <w:rFonts w:ascii="Book Antiqua" w:hAnsi="Book Antiqua" w:cs="Arial"/>
          <w:b/>
          <w:u w:val="single"/>
        </w:rPr>
        <w:t>Representation</w:t>
      </w:r>
      <w:r w:rsidRPr="008A1123">
        <w:rPr>
          <w:rFonts w:ascii="Book Antiqua" w:hAnsi="Book Antiqua" w:cs="Arial"/>
          <w:b/>
        </w:rPr>
        <w:t>:</w:t>
      </w:r>
    </w:p>
    <w:p w:rsidR="00DE7DB7" w:rsidRPr="008A1123" w:rsidRDefault="00DE7DB7" w:rsidP="00DD5071">
      <w:pPr>
        <w:rPr>
          <w:rFonts w:ascii="Book Antiqua" w:hAnsi="Book Antiqua" w:cs="Arial"/>
        </w:rPr>
      </w:pPr>
    </w:p>
    <w:p w:rsidR="00DE7DB7" w:rsidRPr="008A1123" w:rsidRDefault="00DE7DB7" w:rsidP="00DE7DB7">
      <w:pPr>
        <w:tabs>
          <w:tab w:val="left" w:pos="2520"/>
        </w:tabs>
        <w:rPr>
          <w:rFonts w:ascii="Book Antiqua" w:hAnsi="Book Antiqua" w:cs="Arial"/>
        </w:rPr>
      </w:pPr>
      <w:r w:rsidRPr="008A1123">
        <w:rPr>
          <w:rFonts w:ascii="Book Antiqua" w:hAnsi="Book Antiqua" w:cs="Arial"/>
        </w:rPr>
        <w:t>For the Appellant:</w:t>
      </w:r>
      <w:r w:rsidRPr="008A1123">
        <w:rPr>
          <w:rFonts w:ascii="Book Antiqua" w:hAnsi="Book Antiqua" w:cs="Arial"/>
        </w:rPr>
        <w:tab/>
      </w:r>
      <w:r w:rsidR="00887E78" w:rsidRPr="008A1123">
        <w:rPr>
          <w:rFonts w:ascii="Book Antiqua" w:hAnsi="Book Antiqua" w:cs="Arial"/>
        </w:rPr>
        <w:t xml:space="preserve">Mr G Brown (Counsel)  </w:t>
      </w:r>
    </w:p>
    <w:p w:rsidR="00DE7DB7" w:rsidRPr="008A1123" w:rsidRDefault="00DE7DB7" w:rsidP="00DE7DB7">
      <w:pPr>
        <w:tabs>
          <w:tab w:val="left" w:pos="2520"/>
        </w:tabs>
        <w:rPr>
          <w:rFonts w:ascii="Book Antiqua" w:hAnsi="Book Antiqua" w:cs="Arial"/>
        </w:rPr>
      </w:pPr>
      <w:r w:rsidRPr="008A1123">
        <w:rPr>
          <w:rFonts w:ascii="Book Antiqua" w:hAnsi="Book Antiqua" w:cs="Arial"/>
        </w:rPr>
        <w:t>For the Respondent:</w:t>
      </w:r>
      <w:r w:rsidRPr="008A1123">
        <w:rPr>
          <w:rFonts w:ascii="Book Antiqua" w:hAnsi="Book Antiqua" w:cs="Arial"/>
        </w:rPr>
        <w:tab/>
      </w:r>
      <w:r w:rsidR="00887E78" w:rsidRPr="008A1123">
        <w:rPr>
          <w:rFonts w:ascii="Book Antiqua" w:hAnsi="Book Antiqua" w:cs="Arial"/>
        </w:rPr>
        <w:t xml:space="preserve">Mr A </w:t>
      </w:r>
      <w:proofErr w:type="spellStart"/>
      <w:r w:rsidR="00887E78" w:rsidRPr="008A1123">
        <w:rPr>
          <w:rFonts w:ascii="Book Antiqua" w:hAnsi="Book Antiqua" w:cs="Arial"/>
        </w:rPr>
        <w:t>McVeety</w:t>
      </w:r>
      <w:proofErr w:type="spellEnd"/>
      <w:r w:rsidR="00887E78" w:rsidRPr="008A1123">
        <w:rPr>
          <w:rFonts w:ascii="Book Antiqua" w:hAnsi="Book Antiqua" w:cs="Arial"/>
        </w:rPr>
        <w:t xml:space="preserve"> (Senior HOPO)  </w:t>
      </w:r>
    </w:p>
    <w:p w:rsidR="00DE7DB7" w:rsidRPr="008A1123" w:rsidRDefault="00DE7DB7" w:rsidP="00402B9E">
      <w:pPr>
        <w:tabs>
          <w:tab w:val="left" w:pos="2520"/>
        </w:tabs>
        <w:jc w:val="center"/>
        <w:rPr>
          <w:rFonts w:ascii="Book Antiqua" w:hAnsi="Book Antiqua" w:cs="Arial"/>
        </w:rPr>
      </w:pPr>
    </w:p>
    <w:p w:rsidR="00DE7DB7" w:rsidRPr="008A1123" w:rsidRDefault="00DE7DB7" w:rsidP="00402B9E">
      <w:pPr>
        <w:tabs>
          <w:tab w:val="left" w:pos="2520"/>
        </w:tabs>
        <w:jc w:val="center"/>
        <w:rPr>
          <w:rFonts w:ascii="Book Antiqua" w:hAnsi="Book Antiqua" w:cs="Arial"/>
        </w:rPr>
      </w:pPr>
    </w:p>
    <w:p w:rsidR="00DE7DB7" w:rsidRPr="008A1123" w:rsidRDefault="00887E78" w:rsidP="00402B9E">
      <w:pPr>
        <w:tabs>
          <w:tab w:val="left" w:pos="2520"/>
        </w:tabs>
        <w:jc w:val="center"/>
        <w:rPr>
          <w:rFonts w:ascii="Book Antiqua" w:hAnsi="Book Antiqua" w:cs="Arial"/>
        </w:rPr>
      </w:pPr>
      <w:r w:rsidRPr="008A1123">
        <w:rPr>
          <w:rFonts w:ascii="Book Antiqua" w:hAnsi="Book Antiqua" w:cs="Arial"/>
          <w:b/>
          <w:u w:val="single"/>
        </w:rPr>
        <w:t xml:space="preserve">DETERMINATION </w:t>
      </w:r>
      <w:r w:rsidR="00402B9E" w:rsidRPr="008A1123">
        <w:rPr>
          <w:rFonts w:ascii="Book Antiqua" w:hAnsi="Book Antiqua" w:cs="Arial"/>
          <w:b/>
          <w:u w:val="single"/>
        </w:rPr>
        <w:t>AND REASONS</w:t>
      </w:r>
      <w:r w:rsidRPr="008A1123">
        <w:rPr>
          <w:rFonts w:ascii="Book Antiqua" w:hAnsi="Book Antiqua" w:cs="Arial"/>
          <w:b/>
          <w:u w:val="single"/>
        </w:rPr>
        <w:t xml:space="preserve">  </w:t>
      </w:r>
    </w:p>
    <w:p w:rsidR="00B626FA" w:rsidRPr="008A1123" w:rsidRDefault="00B626FA" w:rsidP="00402B9E">
      <w:pPr>
        <w:tabs>
          <w:tab w:val="left" w:pos="2520"/>
        </w:tabs>
        <w:jc w:val="both"/>
        <w:rPr>
          <w:rFonts w:ascii="Book Antiqua" w:hAnsi="Book Antiqua" w:cs="Arial"/>
        </w:rPr>
      </w:pPr>
    </w:p>
    <w:p w:rsidR="00887E78" w:rsidRPr="008A1123" w:rsidRDefault="00887E78" w:rsidP="00D33B16">
      <w:pPr>
        <w:numPr>
          <w:ilvl w:val="0"/>
          <w:numId w:val="3"/>
        </w:numPr>
        <w:spacing w:before="240"/>
        <w:jc w:val="both"/>
        <w:rPr>
          <w:rFonts w:ascii="Book Antiqua" w:hAnsi="Book Antiqua" w:cs="Arial"/>
        </w:rPr>
      </w:pPr>
      <w:r w:rsidRPr="008A1123">
        <w:rPr>
          <w:rFonts w:ascii="Book Antiqua" w:hAnsi="Book Antiqua" w:cs="Arial"/>
        </w:rPr>
        <w:t>This is an appeal against the determination of First-tier Tribunal Judge Holt, promulgated on 13</w:t>
      </w:r>
      <w:r w:rsidRPr="008A1123">
        <w:rPr>
          <w:rFonts w:ascii="Book Antiqua" w:hAnsi="Book Antiqua" w:cs="Arial"/>
          <w:vertAlign w:val="superscript"/>
        </w:rPr>
        <w:t>th</w:t>
      </w:r>
      <w:r w:rsidRPr="008A1123">
        <w:rPr>
          <w:rFonts w:ascii="Book Antiqua" w:hAnsi="Book Antiqua" w:cs="Arial"/>
        </w:rPr>
        <w:t xml:space="preserve"> July 2017, following a hearing at Manchester on 1</w:t>
      </w:r>
      <w:r w:rsidRPr="008A1123">
        <w:rPr>
          <w:rFonts w:ascii="Book Antiqua" w:hAnsi="Book Antiqua" w:cs="Arial"/>
          <w:vertAlign w:val="superscript"/>
        </w:rPr>
        <w:t>st</w:t>
      </w:r>
      <w:r w:rsidRPr="008A1123">
        <w:rPr>
          <w:rFonts w:ascii="Book Antiqua" w:hAnsi="Book Antiqua" w:cs="Arial"/>
        </w:rPr>
        <w:t xml:space="preserve"> June 2017.  In the determination, the judge allowed the appeal of the Appellant, whereupon the Respondent subsequently applied for, and was granted, permission to appeal to the Upper Tribunal, and thus the matter comes before me.  </w:t>
      </w:r>
    </w:p>
    <w:p w:rsidR="00887E78" w:rsidRPr="008A1123" w:rsidRDefault="00887E78" w:rsidP="00887E78">
      <w:pPr>
        <w:spacing w:before="240"/>
        <w:jc w:val="both"/>
        <w:rPr>
          <w:rFonts w:ascii="Book Antiqua" w:hAnsi="Book Antiqua" w:cs="Arial"/>
          <w:b/>
          <w:u w:val="single"/>
        </w:rPr>
      </w:pPr>
      <w:r w:rsidRPr="008A1123">
        <w:rPr>
          <w:rFonts w:ascii="Book Antiqua" w:hAnsi="Book Antiqua" w:cs="Arial"/>
          <w:b/>
          <w:u w:val="single"/>
        </w:rPr>
        <w:t xml:space="preserve">The Appellant  </w:t>
      </w:r>
    </w:p>
    <w:p w:rsidR="00887E78" w:rsidRPr="008A1123" w:rsidRDefault="00887E78" w:rsidP="00D33B16">
      <w:pPr>
        <w:numPr>
          <w:ilvl w:val="0"/>
          <w:numId w:val="3"/>
        </w:numPr>
        <w:spacing w:before="240"/>
        <w:jc w:val="both"/>
        <w:rPr>
          <w:rFonts w:ascii="Book Antiqua" w:hAnsi="Book Antiqua" w:cs="Arial"/>
        </w:rPr>
      </w:pPr>
      <w:r w:rsidRPr="008A1123">
        <w:rPr>
          <w:rFonts w:ascii="Book Antiqua" w:hAnsi="Book Antiqua" w:cs="Arial"/>
        </w:rPr>
        <w:t>The Appellant is a male, a citizen of Pakistan, and was born on 9</w:t>
      </w:r>
      <w:r w:rsidRPr="008A1123">
        <w:rPr>
          <w:rFonts w:ascii="Book Antiqua" w:hAnsi="Book Antiqua" w:cs="Arial"/>
          <w:vertAlign w:val="superscript"/>
        </w:rPr>
        <w:t>th</w:t>
      </w:r>
      <w:r w:rsidRPr="008A1123">
        <w:rPr>
          <w:rFonts w:ascii="Book Antiqua" w:hAnsi="Book Antiqua" w:cs="Arial"/>
        </w:rPr>
        <w:t xml:space="preserve"> August 1990.  He appealed against the decision of the Respondent Secretary of State dated 27</w:t>
      </w:r>
      <w:r w:rsidRPr="008A1123">
        <w:rPr>
          <w:rFonts w:ascii="Book Antiqua" w:hAnsi="Book Antiqua" w:cs="Arial"/>
          <w:vertAlign w:val="superscript"/>
        </w:rPr>
        <w:t>th</w:t>
      </w:r>
      <w:r w:rsidRPr="008A1123">
        <w:rPr>
          <w:rFonts w:ascii="Book Antiqua" w:hAnsi="Book Antiqua" w:cs="Arial"/>
        </w:rPr>
        <w:t xml:space="preserve"> January </w:t>
      </w:r>
      <w:r w:rsidRPr="008A1123">
        <w:rPr>
          <w:rFonts w:ascii="Book Antiqua" w:hAnsi="Book Antiqua" w:cs="Arial"/>
        </w:rPr>
        <w:lastRenderedPageBreak/>
        <w:t xml:space="preserve">2016, refusing his application for leave to remain on the basis of his family and private life rights.  </w:t>
      </w:r>
    </w:p>
    <w:p w:rsidR="00887E78" w:rsidRPr="008A1123" w:rsidRDefault="006371A4" w:rsidP="006371A4">
      <w:pPr>
        <w:spacing w:before="240"/>
        <w:jc w:val="both"/>
        <w:rPr>
          <w:rFonts w:ascii="Book Antiqua" w:hAnsi="Book Antiqua" w:cs="Arial"/>
          <w:b/>
          <w:u w:val="single"/>
        </w:rPr>
      </w:pPr>
      <w:r w:rsidRPr="008A1123">
        <w:rPr>
          <w:rFonts w:ascii="Book Antiqua" w:hAnsi="Book Antiqua" w:cs="Arial"/>
          <w:b/>
          <w:u w:val="single"/>
        </w:rPr>
        <w:t xml:space="preserve">The Appellant’s Claim  </w:t>
      </w:r>
    </w:p>
    <w:p w:rsidR="006371A4" w:rsidRPr="008A1123" w:rsidRDefault="006371A4" w:rsidP="00D33B16">
      <w:pPr>
        <w:numPr>
          <w:ilvl w:val="0"/>
          <w:numId w:val="3"/>
        </w:numPr>
        <w:spacing w:before="240"/>
        <w:jc w:val="both"/>
        <w:rPr>
          <w:rFonts w:ascii="Book Antiqua" w:hAnsi="Book Antiqua" w:cs="Arial"/>
        </w:rPr>
      </w:pPr>
      <w:r w:rsidRPr="008A1123">
        <w:rPr>
          <w:rFonts w:ascii="Book Antiqua" w:hAnsi="Book Antiqua" w:cs="Arial"/>
        </w:rPr>
        <w:t>The essence of the Appellant’s claim is that, having arrived in the UK on a multiple visitor’s visa valid from 27</w:t>
      </w:r>
      <w:r w:rsidRPr="008A1123">
        <w:rPr>
          <w:rFonts w:ascii="Book Antiqua" w:hAnsi="Book Antiqua" w:cs="Arial"/>
          <w:vertAlign w:val="superscript"/>
        </w:rPr>
        <w:t>th</w:t>
      </w:r>
      <w:r w:rsidRPr="008A1123">
        <w:rPr>
          <w:rFonts w:ascii="Book Antiqua" w:hAnsi="Book Antiqua" w:cs="Arial"/>
        </w:rPr>
        <w:t xml:space="preserve"> May 2005 until 27</w:t>
      </w:r>
      <w:r w:rsidRPr="008A1123">
        <w:rPr>
          <w:rFonts w:ascii="Book Antiqua" w:hAnsi="Book Antiqua" w:cs="Arial"/>
          <w:vertAlign w:val="superscript"/>
        </w:rPr>
        <w:t>th</w:t>
      </w:r>
      <w:r w:rsidRPr="008A1123">
        <w:rPr>
          <w:rFonts w:ascii="Book Antiqua" w:hAnsi="Book Antiqua" w:cs="Arial"/>
        </w:rPr>
        <w:t xml:space="preserve"> October 2005, he eventually married a Miss Eleanor Bennett, a school teacher, who is a British citizen and permanently resident in the UK, and that the parties </w:t>
      </w:r>
      <w:r w:rsidR="008A5FF8" w:rsidRPr="008A1123">
        <w:rPr>
          <w:rFonts w:ascii="Book Antiqua" w:hAnsi="Book Antiqua" w:cs="Arial"/>
        </w:rPr>
        <w:t>had</w:t>
      </w:r>
      <w:r w:rsidRPr="008A1123">
        <w:rPr>
          <w:rFonts w:ascii="Book Antiqua" w:hAnsi="Book Antiqua" w:cs="Arial"/>
        </w:rPr>
        <w:t xml:space="preserve"> been cohabiting, and are in a genuine and subsisting relationship, a fact which is not contested by the Respondent Secretary of State.  What the Respondent, Secretary of State, does, however, say is that the Appellant has been dishonest because he has firstly, previously submitted a false/forged bank document, and secondly, obtained a language (TOEIC) English language test result by employing dishonest means.  Accordingly, the Appellant does not satisfy the “suitability” requirements of the Immigration Rules.  That being so, there are no insurmountable obstacles, in his way, which would prevent him from returning back to Pakistan from</w:t>
      </w:r>
      <w:r w:rsidR="006405B2" w:rsidRPr="008A1123">
        <w:rPr>
          <w:rFonts w:ascii="Book Antiqua" w:hAnsi="Book Antiqua" w:cs="Arial"/>
        </w:rPr>
        <w:t xml:space="preserve"> </w:t>
      </w:r>
      <w:r w:rsidRPr="00F1235D">
        <w:rPr>
          <w:rFonts w:ascii="Book Antiqua" w:hAnsi="Book Antiqua" w:cs="Calibri"/>
        </w:rPr>
        <w:t xml:space="preserve">where he can apply for a foreign national spouse’s visa to re-enter the country to join Miss Eleanor Bennett.  </w:t>
      </w:r>
    </w:p>
    <w:p w:rsidR="006371A4" w:rsidRPr="008A1123" w:rsidRDefault="006371A4" w:rsidP="006371A4">
      <w:pPr>
        <w:spacing w:before="240"/>
        <w:jc w:val="both"/>
        <w:rPr>
          <w:rFonts w:ascii="Book Antiqua" w:hAnsi="Book Antiqua" w:cs="Arial"/>
          <w:b/>
          <w:u w:val="single"/>
        </w:rPr>
      </w:pPr>
      <w:r w:rsidRPr="008A1123">
        <w:rPr>
          <w:rFonts w:ascii="Book Antiqua" w:hAnsi="Book Antiqua" w:cs="Arial"/>
          <w:b/>
          <w:u w:val="single"/>
        </w:rPr>
        <w:t xml:space="preserve">The Judge’s Findings  </w:t>
      </w:r>
      <w:r w:rsidR="001E5987" w:rsidRPr="008A1123">
        <w:rPr>
          <w:rFonts w:ascii="Book Antiqua" w:hAnsi="Book Antiqua" w:cs="Arial"/>
          <w:b/>
          <w:u w:val="single"/>
        </w:rPr>
        <w:t xml:space="preserve"> </w:t>
      </w:r>
    </w:p>
    <w:p w:rsidR="00F1235D" w:rsidRDefault="007F0477" w:rsidP="00D33B16">
      <w:pPr>
        <w:numPr>
          <w:ilvl w:val="0"/>
          <w:numId w:val="3"/>
        </w:numPr>
        <w:spacing w:before="240"/>
        <w:jc w:val="both"/>
        <w:rPr>
          <w:rFonts w:ascii="Book Antiqua" w:hAnsi="Book Antiqua" w:cs="Arial"/>
        </w:rPr>
      </w:pPr>
      <w:r w:rsidRPr="008A1123">
        <w:rPr>
          <w:rFonts w:ascii="Book Antiqua" w:hAnsi="Book Antiqua" w:cs="Arial"/>
        </w:rPr>
        <w:t>The judge found both witnesses to be credible.  In relation to Miss Eleanor Bennett, the Appellant’s wife, the judge observed that “a quite unusual feature of this case” was that, although the Appellant was from the Muslim background, his wife was a practicing Christian, and the judge</w:t>
      </w:r>
      <w:r w:rsidR="00C6468A" w:rsidRPr="008A1123">
        <w:rPr>
          <w:rFonts w:ascii="Book Antiqua" w:hAnsi="Book Antiqua" w:cs="Arial"/>
        </w:rPr>
        <w:t xml:space="preserve"> found her to be a straightforward, honest and articulate individual, which was to be expected of a professional teacher and that, “I have absolutely no doubt that the parties are married as claimed” (paragraph 13).  </w:t>
      </w:r>
    </w:p>
    <w:p w:rsidR="00F1235D" w:rsidRDefault="00A46E49" w:rsidP="00D33B16">
      <w:pPr>
        <w:numPr>
          <w:ilvl w:val="0"/>
          <w:numId w:val="3"/>
        </w:numPr>
        <w:spacing w:before="240"/>
        <w:jc w:val="both"/>
        <w:rPr>
          <w:rFonts w:ascii="Book Antiqua" w:hAnsi="Book Antiqua" w:cs="Arial"/>
        </w:rPr>
      </w:pPr>
      <w:r w:rsidRPr="008A1123">
        <w:rPr>
          <w:rFonts w:ascii="Book Antiqua" w:hAnsi="Book Antiqua" w:cs="Arial"/>
        </w:rPr>
        <w:t xml:space="preserve">The judge found that Miss Bennett’s “faith is of great significance to her, and not least because she obviously spends several hours every week in church related activities” (paragraph 14).  Miss Bennett also </w:t>
      </w:r>
      <w:r w:rsidR="00467EA5" w:rsidRPr="008A1123">
        <w:rPr>
          <w:rFonts w:ascii="Book Antiqua" w:hAnsi="Book Antiqua" w:cs="Arial"/>
        </w:rPr>
        <w:t xml:space="preserve">had “worrying health problems recently” (paragraph 15) and she was worried that “she has an elevated risk of cardiac emergency developing which might require urgent treatment” (paragraph 15).  </w:t>
      </w:r>
    </w:p>
    <w:p w:rsidR="00F1235D" w:rsidRDefault="00467EA5" w:rsidP="00D33B16">
      <w:pPr>
        <w:numPr>
          <w:ilvl w:val="0"/>
          <w:numId w:val="3"/>
        </w:numPr>
        <w:spacing w:before="240"/>
        <w:jc w:val="both"/>
        <w:rPr>
          <w:rFonts w:ascii="Book Antiqua" w:hAnsi="Book Antiqua" w:cs="Arial"/>
        </w:rPr>
      </w:pPr>
      <w:r w:rsidRPr="008A1123">
        <w:rPr>
          <w:rFonts w:ascii="Book Antiqua" w:hAnsi="Book Antiqua" w:cs="Arial"/>
        </w:rPr>
        <w:t xml:space="preserve">Miss Bennett had additionally also “recently bought a house with the help of </w:t>
      </w:r>
      <w:r w:rsidR="00742A48" w:rsidRPr="008A1123">
        <w:rPr>
          <w:rFonts w:ascii="Book Antiqua" w:hAnsi="Book Antiqua" w:cs="Arial"/>
        </w:rPr>
        <w:t xml:space="preserve">a mortgage” and, in these </w:t>
      </w:r>
      <w:r w:rsidR="000F063D" w:rsidRPr="008A1123">
        <w:rPr>
          <w:rFonts w:ascii="Book Antiqua" w:hAnsi="Book Antiqua" w:cs="Arial"/>
        </w:rPr>
        <w:t xml:space="preserve">circumstances had, </w:t>
      </w:r>
      <w:r w:rsidR="004A741D" w:rsidRPr="008A1123">
        <w:rPr>
          <w:rFonts w:ascii="Book Antiqua" w:hAnsi="Book Antiqua" w:cs="Arial"/>
        </w:rPr>
        <w:t>“</w:t>
      </w:r>
      <w:r w:rsidR="000F063D" w:rsidRPr="008A1123">
        <w:rPr>
          <w:rFonts w:ascii="Book Antiqua" w:hAnsi="Book Antiqua" w:cs="Arial"/>
        </w:rPr>
        <w:t xml:space="preserve">ties to her job, income and property in the United Kingdom” (paragraph 16).  At the same </w:t>
      </w:r>
      <w:proofErr w:type="gramStart"/>
      <w:r w:rsidR="000F063D" w:rsidRPr="008A1123">
        <w:rPr>
          <w:rFonts w:ascii="Book Antiqua" w:hAnsi="Book Antiqua" w:cs="Arial"/>
        </w:rPr>
        <w:t>time</w:t>
      </w:r>
      <w:proofErr w:type="gramEnd"/>
      <w:r w:rsidR="000F063D" w:rsidRPr="008A1123">
        <w:rPr>
          <w:rFonts w:ascii="Book Antiqua" w:hAnsi="Book Antiqua" w:cs="Arial"/>
        </w:rPr>
        <w:t xml:space="preserve"> she did not speak Urdu or Punjabi, and did not want to “change her personal presentation and image” (paragraph 16) and was not </w:t>
      </w:r>
      <w:r w:rsidR="008F76BD" w:rsidRPr="008A1123">
        <w:rPr>
          <w:rFonts w:ascii="Book Antiqua" w:hAnsi="Book Antiqua" w:cs="Arial"/>
        </w:rPr>
        <w:t xml:space="preserve">interested in going to Pakistan.  </w:t>
      </w:r>
    </w:p>
    <w:p w:rsidR="006371A4" w:rsidRPr="008A1123" w:rsidRDefault="008F76BD" w:rsidP="00D33B16">
      <w:pPr>
        <w:numPr>
          <w:ilvl w:val="0"/>
          <w:numId w:val="3"/>
        </w:numPr>
        <w:spacing w:before="240"/>
        <w:jc w:val="both"/>
        <w:rPr>
          <w:rFonts w:ascii="Book Antiqua" w:hAnsi="Book Antiqua" w:cs="Arial"/>
        </w:rPr>
      </w:pPr>
      <w:r w:rsidRPr="008A1123">
        <w:rPr>
          <w:rFonts w:ascii="Book Antiqua" w:hAnsi="Book Antiqua" w:cs="Arial"/>
        </w:rPr>
        <w:t>These facts were all relevant because there was, as the judge</w:t>
      </w:r>
      <w:r w:rsidR="0078180A" w:rsidRPr="008A1123">
        <w:rPr>
          <w:rFonts w:ascii="Book Antiqua" w:hAnsi="Book Antiqua" w:cs="Arial"/>
        </w:rPr>
        <w:t xml:space="preserve"> observed, in Pakistan, “worsening levels of persecution with churches and individuals being targeted.  I am easily satisfied that Miss Bennett would be at real risk </w:t>
      </w:r>
      <w:r w:rsidR="006B755D" w:rsidRPr="008A1123">
        <w:rPr>
          <w:rFonts w:ascii="Book Antiqua" w:hAnsi="Book Antiqua" w:cs="Arial"/>
        </w:rPr>
        <w:t xml:space="preserve">living as a Christian in Pakistan” (paragraph 17).  </w:t>
      </w:r>
    </w:p>
    <w:p w:rsidR="00847C55" w:rsidRPr="008A1123" w:rsidRDefault="00847C55" w:rsidP="00D33B16">
      <w:pPr>
        <w:numPr>
          <w:ilvl w:val="0"/>
          <w:numId w:val="3"/>
        </w:numPr>
        <w:spacing w:before="240"/>
        <w:jc w:val="both"/>
        <w:rPr>
          <w:rFonts w:ascii="Book Antiqua" w:hAnsi="Book Antiqua" w:cs="Arial"/>
        </w:rPr>
      </w:pPr>
      <w:r w:rsidRPr="008A1123">
        <w:rPr>
          <w:rFonts w:ascii="Book Antiqua" w:hAnsi="Book Antiqua" w:cs="Arial"/>
        </w:rPr>
        <w:t xml:space="preserve">In relation to the Appellant himself, the judge also found him to be a “reliable </w:t>
      </w:r>
      <w:r w:rsidR="0076728D" w:rsidRPr="008A1123">
        <w:rPr>
          <w:rFonts w:ascii="Book Antiqua" w:hAnsi="Book Antiqua" w:cs="Arial"/>
        </w:rPr>
        <w:t>witness who gave evidence in a calm and straightforward manner”.  The evidence of the Appellant before the judge was that “</w:t>
      </w:r>
      <w:r w:rsidR="00C7102E" w:rsidRPr="008A1123">
        <w:rPr>
          <w:rFonts w:ascii="Book Antiqua" w:hAnsi="Book Antiqua" w:cs="Arial"/>
        </w:rPr>
        <w:t xml:space="preserve">he generally took the English language test and denied that he had done anything to invalidate the test and said that, after his tests </w:t>
      </w:r>
      <w:r w:rsidR="00C7102E" w:rsidRPr="008A1123">
        <w:rPr>
          <w:rFonts w:ascii="Book Antiqua" w:hAnsi="Book Antiqua" w:cs="Arial"/>
        </w:rPr>
        <w:lastRenderedPageBreak/>
        <w:t>had been declared invalid, he had tried to make contact with the test centre</w:t>
      </w:r>
      <w:r w:rsidR="00E13492" w:rsidRPr="008A1123">
        <w:rPr>
          <w:rFonts w:ascii="Book Antiqua" w:hAnsi="Book Antiqua" w:cs="Arial"/>
        </w:rPr>
        <w:t>, but that the centre had failed to respond”.  For good measure then, the Appellant went on to provide “a Trinity College London grade 2 spoken English entry level certificate in ESOL international dated 23</w:t>
      </w:r>
      <w:r w:rsidR="00E13492" w:rsidRPr="008A1123">
        <w:rPr>
          <w:rFonts w:ascii="Book Antiqua" w:hAnsi="Book Antiqua" w:cs="Arial"/>
          <w:vertAlign w:val="superscript"/>
        </w:rPr>
        <w:t>rd</w:t>
      </w:r>
      <w:r w:rsidR="00E13492" w:rsidRPr="008A1123">
        <w:rPr>
          <w:rFonts w:ascii="Book Antiqua" w:hAnsi="Book Antiqua" w:cs="Arial"/>
        </w:rPr>
        <w:t xml:space="preserve"> December 2016” which showed that the Appellant had “passed with</w:t>
      </w:r>
      <w:r w:rsidR="00917261" w:rsidRPr="008A1123">
        <w:rPr>
          <w:rFonts w:ascii="Book Antiqua" w:hAnsi="Book Antiqua" w:cs="Arial"/>
        </w:rPr>
        <w:t xml:space="preserve"> </w:t>
      </w:r>
      <w:r w:rsidR="00E13492" w:rsidRPr="008A1123">
        <w:rPr>
          <w:rFonts w:ascii="Book Antiqua" w:hAnsi="Book Antiqua" w:cs="Arial"/>
        </w:rPr>
        <w:t>distinction”</w:t>
      </w:r>
      <w:r w:rsidR="00617D9E" w:rsidRPr="008A1123">
        <w:rPr>
          <w:rFonts w:ascii="Book Antiqua" w:hAnsi="Book Antiqua" w:cs="Arial"/>
        </w:rPr>
        <w:t xml:space="preserve"> (paragraph 18).  </w:t>
      </w:r>
    </w:p>
    <w:p w:rsidR="00F429FC" w:rsidRPr="008A1123" w:rsidRDefault="00F429FC" w:rsidP="00D33B16">
      <w:pPr>
        <w:numPr>
          <w:ilvl w:val="0"/>
          <w:numId w:val="3"/>
        </w:numPr>
        <w:spacing w:before="240"/>
        <w:jc w:val="both"/>
        <w:rPr>
          <w:rFonts w:ascii="Book Antiqua" w:hAnsi="Book Antiqua" w:cs="Arial"/>
        </w:rPr>
      </w:pPr>
      <w:r w:rsidRPr="008A1123">
        <w:rPr>
          <w:rFonts w:ascii="Book Antiqua" w:hAnsi="Book Antiqua" w:cs="Arial"/>
        </w:rPr>
        <w:t xml:space="preserve">Judge Holt, in the meticulous and carefully crafted determination in this case, also referred to the fact that the refusal letter had drawn attention to an October 2011 letter, but that “neither me nor the Appellant were referred to either the letter or a document verification report” (paragraph 19).  </w:t>
      </w:r>
    </w:p>
    <w:p w:rsidR="00F1235D" w:rsidRDefault="00F429FC" w:rsidP="00D33B16">
      <w:pPr>
        <w:numPr>
          <w:ilvl w:val="0"/>
          <w:numId w:val="3"/>
        </w:numPr>
        <w:spacing w:before="240"/>
        <w:jc w:val="both"/>
        <w:rPr>
          <w:rFonts w:ascii="Book Antiqua" w:hAnsi="Book Antiqua" w:cs="Arial"/>
        </w:rPr>
      </w:pPr>
      <w:r w:rsidRPr="008A1123">
        <w:rPr>
          <w:rFonts w:ascii="Book Antiqua" w:hAnsi="Book Antiqua" w:cs="Arial"/>
        </w:rPr>
        <w:t xml:space="preserve">What has been challenged in Judge Holt’s determination, however, is her substantive findings in relation to the ETS declaring the Appellant’s test to be fraudulent.  Judge Holt had regard to the case of </w:t>
      </w:r>
      <w:r w:rsidR="000A6060" w:rsidRPr="008A1123">
        <w:rPr>
          <w:rFonts w:ascii="Book Antiqua" w:hAnsi="Book Antiqua" w:cs="Arial"/>
          <w:b/>
          <w:u w:val="single"/>
        </w:rPr>
        <w:t>Kadir</w:t>
      </w:r>
      <w:r w:rsidRPr="008A1123">
        <w:rPr>
          <w:rFonts w:ascii="Book Antiqua" w:hAnsi="Book Antiqua" w:cs="Arial"/>
          <w:b/>
        </w:rPr>
        <w:t xml:space="preserve"> [2016] EWCA </w:t>
      </w:r>
      <w:proofErr w:type="spellStart"/>
      <w:r w:rsidRPr="008A1123">
        <w:rPr>
          <w:rFonts w:ascii="Book Antiqua" w:hAnsi="Book Antiqua" w:cs="Arial"/>
          <w:b/>
        </w:rPr>
        <w:t>Civ</w:t>
      </w:r>
      <w:proofErr w:type="spellEnd"/>
      <w:r w:rsidRPr="008A1123">
        <w:rPr>
          <w:rFonts w:ascii="Book Antiqua" w:hAnsi="Book Antiqua" w:cs="Arial"/>
          <w:b/>
        </w:rPr>
        <w:t xml:space="preserve"> 1167</w:t>
      </w:r>
      <w:r w:rsidRPr="008A1123">
        <w:rPr>
          <w:rFonts w:ascii="Book Antiqua" w:hAnsi="Book Antiqua" w:cs="Arial"/>
        </w:rPr>
        <w:t xml:space="preserve">, and </w:t>
      </w:r>
      <w:r w:rsidR="00487747" w:rsidRPr="008A1123">
        <w:rPr>
          <w:rFonts w:ascii="Book Antiqua" w:hAnsi="Book Antiqua" w:cs="Arial"/>
        </w:rPr>
        <w:t>proper</w:t>
      </w:r>
      <w:r w:rsidR="00025FB1" w:rsidRPr="008A1123">
        <w:rPr>
          <w:rFonts w:ascii="Book Antiqua" w:hAnsi="Book Antiqua" w:cs="Arial"/>
        </w:rPr>
        <w:t>ly noted that each case is fact-</w:t>
      </w:r>
      <w:r w:rsidR="00487747" w:rsidRPr="008A1123">
        <w:rPr>
          <w:rFonts w:ascii="Book Antiqua" w:hAnsi="Book Antiqua" w:cs="Arial"/>
        </w:rPr>
        <w:t xml:space="preserve">sensitive, and involved scrutiny of an alleged fraudulent ETS application, requiring there to be a careful analysis on its own facts, determined by the evidence adduced by the parties. </w:t>
      </w:r>
    </w:p>
    <w:p w:rsidR="00965FCC" w:rsidRPr="008A1123" w:rsidRDefault="00487747" w:rsidP="00D33B16">
      <w:pPr>
        <w:numPr>
          <w:ilvl w:val="0"/>
          <w:numId w:val="3"/>
        </w:numPr>
        <w:spacing w:before="240"/>
        <w:jc w:val="both"/>
        <w:rPr>
          <w:rFonts w:ascii="Book Antiqua" w:hAnsi="Book Antiqua" w:cs="Arial"/>
        </w:rPr>
      </w:pPr>
      <w:r w:rsidRPr="008A1123">
        <w:rPr>
          <w:rFonts w:ascii="Book Antiqua" w:hAnsi="Book Antiqua" w:cs="Arial"/>
        </w:rPr>
        <w:t xml:space="preserve"> That being so, the judge concluded that,</w:t>
      </w:r>
      <w:r w:rsidR="00965FCC" w:rsidRPr="008A1123">
        <w:rPr>
          <w:rFonts w:ascii="Book Antiqua" w:hAnsi="Book Antiqua" w:cs="Arial"/>
        </w:rPr>
        <w:t xml:space="preserve">       </w:t>
      </w:r>
      <w:r w:rsidRPr="008A1123">
        <w:rPr>
          <w:rFonts w:ascii="Book Antiqua" w:hAnsi="Book Antiqua" w:cs="Arial"/>
        </w:rPr>
        <w:t xml:space="preserve"> </w:t>
      </w:r>
    </w:p>
    <w:p w:rsidR="00F429FC" w:rsidRPr="008A1123" w:rsidRDefault="00487747" w:rsidP="00965FCC">
      <w:pPr>
        <w:spacing w:before="240"/>
        <w:ind w:left="1134"/>
        <w:jc w:val="both"/>
        <w:rPr>
          <w:rFonts w:ascii="Book Antiqua" w:hAnsi="Book Antiqua" w:cs="Arial"/>
        </w:rPr>
      </w:pPr>
      <w:r w:rsidRPr="008A1123">
        <w:rPr>
          <w:rFonts w:ascii="Book Antiqua" w:hAnsi="Book Antiqua" w:cs="Arial"/>
        </w:rPr>
        <w:t>“</w:t>
      </w:r>
      <w:r w:rsidR="00965FCC" w:rsidRPr="008A1123">
        <w:rPr>
          <w:rFonts w:ascii="Book Antiqua" w:hAnsi="Book Antiqua" w:cs="Arial"/>
        </w:rPr>
        <w:t xml:space="preserve">To </w:t>
      </w:r>
      <w:r w:rsidRPr="008A1123">
        <w:rPr>
          <w:rFonts w:ascii="Book Antiqua" w:hAnsi="Book Antiqua" w:cs="Arial"/>
        </w:rPr>
        <w:t xml:space="preserve">that end, the Respondent only provided the standard documentation (in the form of a supplementary bundle) that they rely on in all ETS cases, including a witness </w:t>
      </w:r>
      <w:r w:rsidR="005C0C03" w:rsidRPr="008A1123">
        <w:rPr>
          <w:rFonts w:ascii="Book Antiqua" w:hAnsi="Book Antiqua" w:cs="Arial"/>
        </w:rPr>
        <w:t>statement of Rebecca Collings dated 24</w:t>
      </w:r>
      <w:r w:rsidR="005C0C03" w:rsidRPr="008A1123">
        <w:rPr>
          <w:rFonts w:ascii="Book Antiqua" w:hAnsi="Book Antiqua" w:cs="Arial"/>
          <w:vertAlign w:val="superscript"/>
        </w:rPr>
        <w:t>th</w:t>
      </w:r>
      <w:r w:rsidR="005C0C03" w:rsidRPr="008A1123">
        <w:rPr>
          <w:rFonts w:ascii="Book Antiqua" w:hAnsi="Book Antiqua" w:cs="Arial"/>
        </w:rPr>
        <w:t xml:space="preserve"> June 2014 and a report from Professor French dated 20</w:t>
      </w:r>
      <w:r w:rsidR="005C0C03" w:rsidRPr="008A1123">
        <w:rPr>
          <w:rFonts w:ascii="Book Antiqua" w:hAnsi="Book Antiqua" w:cs="Arial"/>
          <w:vertAlign w:val="superscript"/>
        </w:rPr>
        <w:t>th</w:t>
      </w:r>
      <w:r w:rsidR="005C0C03" w:rsidRPr="008A1123">
        <w:rPr>
          <w:rFonts w:ascii="Book Antiqua" w:hAnsi="Book Antiqua" w:cs="Arial"/>
        </w:rPr>
        <w:t xml:space="preserve"> April 2016, as well as a statement from Mr Alain Tan (senior caseworker dated 8</w:t>
      </w:r>
      <w:r w:rsidR="005C0C03" w:rsidRPr="008A1123">
        <w:rPr>
          <w:rFonts w:ascii="Book Antiqua" w:hAnsi="Book Antiqua" w:cs="Arial"/>
          <w:vertAlign w:val="superscript"/>
        </w:rPr>
        <w:t>th</w:t>
      </w:r>
      <w:r w:rsidR="005C0C03" w:rsidRPr="008A1123">
        <w:rPr>
          <w:rFonts w:ascii="Book Antiqua" w:hAnsi="Book Antiqua" w:cs="Arial"/>
        </w:rPr>
        <w:t xml:space="preserve"> May 2017).  I was not provided with any specific evidence to this Appellant and his test” (paragraph 22).  </w:t>
      </w:r>
    </w:p>
    <w:p w:rsidR="00887E78" w:rsidRPr="008A1123" w:rsidRDefault="00965FCC" w:rsidP="00D33B16">
      <w:pPr>
        <w:numPr>
          <w:ilvl w:val="0"/>
          <w:numId w:val="3"/>
        </w:numPr>
        <w:spacing w:before="240"/>
        <w:jc w:val="both"/>
        <w:rPr>
          <w:rFonts w:ascii="Book Antiqua" w:hAnsi="Book Antiqua" w:cs="Arial"/>
        </w:rPr>
      </w:pPr>
      <w:r w:rsidRPr="008A1123">
        <w:rPr>
          <w:rFonts w:ascii="Book Antiqua" w:hAnsi="Book Antiqua" w:cs="Arial"/>
        </w:rPr>
        <w:t>Against this background, the judge went on to say that the Respondent Secretary of State’s case was not proven that the Appellant had engaged in fraudulent conduct in taking his English language test.  Judge Holt gave at least five good reasons for this.  First, that the Appellant</w:t>
      </w:r>
      <w:r w:rsidR="007A565A" w:rsidRPr="008A1123">
        <w:rPr>
          <w:rFonts w:ascii="Book Antiqua" w:hAnsi="Book Antiqua" w:cs="Arial"/>
        </w:rPr>
        <w:t xml:space="preserve"> spoke good English.  Second, he provided the Trinity College certificate.  Third, he coped easily with giving evidence at the hearing.  Fourth, he gave a credible account of his recollection of what happened when he attended the testing centre</w:t>
      </w:r>
      <w:r w:rsidR="00D646AC" w:rsidRPr="008A1123">
        <w:rPr>
          <w:rFonts w:ascii="Book Antiqua" w:hAnsi="Book Antiqua" w:cs="Arial"/>
        </w:rPr>
        <w:t xml:space="preserve"> and took the test</w:t>
      </w:r>
      <w:r w:rsidR="004C28C9" w:rsidRPr="008A1123">
        <w:rPr>
          <w:rFonts w:ascii="Book Antiqua" w:hAnsi="Book Antiqua" w:cs="Arial"/>
        </w:rPr>
        <w:t>s</w:t>
      </w:r>
      <w:r w:rsidR="004C28C9" w:rsidRPr="00F1235D">
        <w:rPr>
          <w:rFonts w:ascii="Book Antiqua" w:hAnsi="Book Antiqua" w:cs="Calibri"/>
        </w:rPr>
        <w:t xml:space="preserve">.  Fifth, he would have no need to even consider getting an English language test certificate by fraudulent means as his English </w:t>
      </w:r>
      <w:r w:rsidR="001767DC" w:rsidRPr="00F1235D">
        <w:rPr>
          <w:rFonts w:ascii="Book Antiqua" w:hAnsi="Book Antiqua" w:cs="Calibri"/>
        </w:rPr>
        <w:t>is good</w:t>
      </w:r>
      <w:r w:rsidR="00B45661" w:rsidRPr="00F1235D">
        <w:rPr>
          <w:rFonts w:ascii="Book Antiqua" w:hAnsi="Book Antiqua" w:cs="Calibri"/>
        </w:rPr>
        <w:t xml:space="preserve">. </w:t>
      </w:r>
      <w:r w:rsidR="001767DC" w:rsidRPr="00F1235D">
        <w:rPr>
          <w:rFonts w:ascii="Book Antiqua" w:hAnsi="Book Antiqua" w:cs="Calibri"/>
        </w:rPr>
        <w:t xml:space="preserve"> (</w:t>
      </w:r>
      <w:r w:rsidR="00B45661" w:rsidRPr="00F1235D">
        <w:rPr>
          <w:rFonts w:ascii="Book Antiqua" w:hAnsi="Book Antiqua" w:cs="Calibri"/>
        </w:rPr>
        <w:t xml:space="preserve">See </w:t>
      </w:r>
      <w:r w:rsidR="001767DC" w:rsidRPr="00F1235D">
        <w:rPr>
          <w:rFonts w:ascii="Book Antiqua" w:hAnsi="Book Antiqua" w:cs="Calibri"/>
        </w:rPr>
        <w:t xml:space="preserve">paragraph 22).  </w:t>
      </w:r>
    </w:p>
    <w:p w:rsidR="001767DC" w:rsidRPr="008A1123" w:rsidRDefault="001767DC" w:rsidP="00D33B16">
      <w:pPr>
        <w:numPr>
          <w:ilvl w:val="0"/>
          <w:numId w:val="3"/>
        </w:numPr>
        <w:spacing w:before="240"/>
        <w:jc w:val="both"/>
        <w:rPr>
          <w:rFonts w:ascii="Book Antiqua" w:hAnsi="Book Antiqua" w:cs="Arial"/>
        </w:rPr>
      </w:pPr>
      <w:r w:rsidRPr="00F1235D">
        <w:rPr>
          <w:rFonts w:ascii="Book Antiqua" w:hAnsi="Book Antiqua" w:cs="Calibri"/>
        </w:rPr>
        <w:t>Given these observations, the judge concluded that, “therefore, I find that the Respondent has not met the evidential standard in relation to the allegation that the Appellant cheated or attempted to provide a ‘non</w:t>
      </w:r>
      <w:r w:rsidR="00F1235D" w:rsidRPr="00F1235D">
        <w:rPr>
          <w:rFonts w:ascii="Book Antiqua" w:hAnsi="Book Antiqua" w:cs="Calibri"/>
        </w:rPr>
        <w:t>-</w:t>
      </w:r>
      <w:r w:rsidRPr="00F1235D">
        <w:rPr>
          <w:rFonts w:ascii="Book Antiqua" w:hAnsi="Book Antiqua" w:cs="Calibri"/>
        </w:rPr>
        <w:t xml:space="preserve">genuine’ test result” (paragraph 22).  </w:t>
      </w:r>
    </w:p>
    <w:p w:rsidR="00F1235D" w:rsidRPr="00F1235D" w:rsidRDefault="00096465" w:rsidP="00F1235D">
      <w:pPr>
        <w:numPr>
          <w:ilvl w:val="0"/>
          <w:numId w:val="3"/>
        </w:numPr>
        <w:spacing w:before="240"/>
        <w:jc w:val="both"/>
        <w:rPr>
          <w:rFonts w:ascii="Book Antiqua" w:hAnsi="Book Antiqua" w:cs="Arial"/>
        </w:rPr>
      </w:pPr>
      <w:r w:rsidRPr="00F1235D">
        <w:rPr>
          <w:rFonts w:ascii="Book Antiqua" w:hAnsi="Book Antiqua" w:cs="Calibri"/>
        </w:rPr>
        <w:t>The appeal was allowed.</w:t>
      </w:r>
      <w:r w:rsidR="00D350ED" w:rsidRPr="00F1235D">
        <w:rPr>
          <w:rFonts w:ascii="Book Antiqua" w:hAnsi="Book Antiqua" w:cs="Calibri"/>
        </w:rPr>
        <w:t xml:space="preserve">  </w:t>
      </w:r>
    </w:p>
    <w:p w:rsidR="00D350ED" w:rsidRPr="008A1123" w:rsidRDefault="00D350ED" w:rsidP="00D350ED">
      <w:pPr>
        <w:spacing w:before="240"/>
        <w:jc w:val="both"/>
        <w:rPr>
          <w:rFonts w:ascii="Book Antiqua" w:hAnsi="Book Antiqua" w:cs="Arial"/>
          <w:b/>
          <w:u w:val="single"/>
        </w:rPr>
      </w:pPr>
      <w:r w:rsidRPr="008A1123">
        <w:rPr>
          <w:rFonts w:ascii="Book Antiqua" w:hAnsi="Book Antiqua" w:cs="Arial"/>
          <w:b/>
          <w:u w:val="single"/>
        </w:rPr>
        <w:t xml:space="preserve">Grounds of Application   </w:t>
      </w:r>
    </w:p>
    <w:p w:rsidR="00D350ED" w:rsidRPr="008A1123" w:rsidRDefault="00D350ED" w:rsidP="00D33B16">
      <w:pPr>
        <w:numPr>
          <w:ilvl w:val="0"/>
          <w:numId w:val="3"/>
        </w:numPr>
        <w:spacing w:before="240"/>
        <w:jc w:val="both"/>
        <w:rPr>
          <w:rFonts w:ascii="Book Antiqua" w:hAnsi="Book Antiqua" w:cs="Arial"/>
        </w:rPr>
      </w:pPr>
      <w:r w:rsidRPr="008A1123">
        <w:rPr>
          <w:rFonts w:ascii="Book Antiqua" w:hAnsi="Book Antiqua" w:cs="Arial"/>
        </w:rPr>
        <w:t xml:space="preserve">The grounds of application state that the judge gave inadequate reasons for finding an innocent explanation for the invalidation of the test and wrongly gave the impression (at paragraph 22) that the case did not even get that far when she referred to “the </w:t>
      </w:r>
      <w:r w:rsidRPr="008A1123">
        <w:rPr>
          <w:rFonts w:ascii="Book Antiqua" w:hAnsi="Book Antiqua" w:cs="Arial"/>
        </w:rPr>
        <w:lastRenderedPageBreak/>
        <w:t>standard documentation … I was not provided with any evidence specific to this Appellant and his test” because there had been spread</w:t>
      </w:r>
      <w:r w:rsidR="00F1235D">
        <w:rPr>
          <w:rFonts w:ascii="Book Antiqua" w:hAnsi="Book Antiqua" w:cs="Arial"/>
        </w:rPr>
        <w:t>-</w:t>
      </w:r>
      <w:r w:rsidRPr="008A1123">
        <w:rPr>
          <w:rFonts w:ascii="Book Antiqua" w:hAnsi="Book Antiqua" w:cs="Arial"/>
        </w:rPr>
        <w:t>sheet evidence</w:t>
      </w:r>
      <w:r w:rsidR="007B3A83" w:rsidRPr="008A1123">
        <w:rPr>
          <w:rFonts w:ascii="Book Antiqua" w:hAnsi="Book Antiqua" w:cs="Arial"/>
        </w:rPr>
        <w:t xml:space="preserve"> before the judge.  </w:t>
      </w:r>
    </w:p>
    <w:p w:rsidR="00F1235D" w:rsidRPr="00F1235D" w:rsidRDefault="007B3A83" w:rsidP="00F1235D">
      <w:pPr>
        <w:numPr>
          <w:ilvl w:val="0"/>
          <w:numId w:val="3"/>
        </w:numPr>
        <w:spacing w:before="240"/>
        <w:jc w:val="both"/>
        <w:rPr>
          <w:rFonts w:ascii="Book Antiqua" w:hAnsi="Book Antiqua" w:cs="Arial"/>
        </w:rPr>
      </w:pPr>
      <w:r w:rsidRPr="008A1123">
        <w:rPr>
          <w:rFonts w:ascii="Book Antiqua" w:hAnsi="Book Antiqua" w:cs="Arial"/>
        </w:rPr>
        <w:t>On 14</w:t>
      </w:r>
      <w:r w:rsidRPr="008A1123">
        <w:rPr>
          <w:rFonts w:ascii="Book Antiqua" w:hAnsi="Book Antiqua" w:cs="Arial"/>
          <w:vertAlign w:val="superscript"/>
        </w:rPr>
        <w:t>th</w:t>
      </w:r>
      <w:r w:rsidRPr="008A1123">
        <w:rPr>
          <w:rFonts w:ascii="Book Antiqua" w:hAnsi="Book Antiqua" w:cs="Arial"/>
        </w:rPr>
        <w:t xml:space="preserve"> December 2017 permission to appeal was granted.  </w:t>
      </w:r>
    </w:p>
    <w:p w:rsidR="007B3A83" w:rsidRPr="008A1123" w:rsidRDefault="007B3A83" w:rsidP="007B3A83">
      <w:pPr>
        <w:spacing w:before="240"/>
        <w:jc w:val="both"/>
        <w:rPr>
          <w:rFonts w:ascii="Book Antiqua" w:hAnsi="Book Antiqua" w:cs="Arial"/>
          <w:b/>
          <w:u w:val="single"/>
        </w:rPr>
      </w:pPr>
      <w:r w:rsidRPr="008A1123">
        <w:rPr>
          <w:rFonts w:ascii="Book Antiqua" w:hAnsi="Book Antiqua" w:cs="Arial"/>
          <w:b/>
          <w:u w:val="single"/>
        </w:rPr>
        <w:t xml:space="preserve">Submissions   </w:t>
      </w:r>
    </w:p>
    <w:p w:rsidR="00F1235D" w:rsidRDefault="007B3A83" w:rsidP="00D33B16">
      <w:pPr>
        <w:numPr>
          <w:ilvl w:val="0"/>
          <w:numId w:val="3"/>
        </w:numPr>
        <w:spacing w:before="240"/>
        <w:jc w:val="both"/>
        <w:rPr>
          <w:rFonts w:ascii="Book Antiqua" w:hAnsi="Book Antiqua" w:cs="Arial"/>
        </w:rPr>
      </w:pPr>
      <w:r w:rsidRPr="008A1123">
        <w:rPr>
          <w:rFonts w:ascii="Book Antiqua" w:hAnsi="Book Antiqua" w:cs="Arial"/>
        </w:rPr>
        <w:t>At the hearing before me on 17</w:t>
      </w:r>
      <w:r w:rsidRPr="008A1123">
        <w:rPr>
          <w:rFonts w:ascii="Book Antiqua" w:hAnsi="Book Antiqua" w:cs="Arial"/>
          <w:vertAlign w:val="superscript"/>
        </w:rPr>
        <w:t>th</w:t>
      </w:r>
      <w:r w:rsidRPr="008A1123">
        <w:rPr>
          <w:rFonts w:ascii="Book Antiqua" w:hAnsi="Book Antiqua" w:cs="Arial"/>
        </w:rPr>
        <w:t xml:space="preserve"> May 2018, Mr </w:t>
      </w:r>
      <w:proofErr w:type="spellStart"/>
      <w:r w:rsidRPr="008A1123">
        <w:rPr>
          <w:rFonts w:ascii="Book Antiqua" w:hAnsi="Book Antiqua" w:cs="Arial"/>
        </w:rPr>
        <w:t>McVeety</w:t>
      </w:r>
      <w:proofErr w:type="spellEnd"/>
      <w:r w:rsidRPr="008A1123">
        <w:rPr>
          <w:rFonts w:ascii="Book Antiqua" w:hAnsi="Book Antiqua" w:cs="Arial"/>
        </w:rPr>
        <w:t xml:space="preserve">, appearing as Senior Home Office Presenting Officer on behalf of the Secretary of State, stated that the judge was wrong, as a matter of law, in two fundamental respects.  First, she referred to the fact that “the Respondent only provided the standard documentation that they rely on in all of the ETS cases”, when the supplementary bundle, referred to by the judge, did contain a specific reference also to the Appellant himself.  </w:t>
      </w:r>
    </w:p>
    <w:p w:rsidR="007B3A83" w:rsidRPr="008A1123" w:rsidRDefault="007B3A83" w:rsidP="00D33B16">
      <w:pPr>
        <w:numPr>
          <w:ilvl w:val="0"/>
          <w:numId w:val="3"/>
        </w:numPr>
        <w:spacing w:before="240"/>
        <w:jc w:val="both"/>
        <w:rPr>
          <w:rFonts w:ascii="Book Antiqua" w:hAnsi="Book Antiqua" w:cs="Arial"/>
        </w:rPr>
      </w:pPr>
      <w:r w:rsidRPr="008A1123">
        <w:rPr>
          <w:rFonts w:ascii="Book Antiqua" w:hAnsi="Book Antiqua" w:cs="Arial"/>
        </w:rPr>
        <w:t xml:space="preserve">Second, that given that specific reference was included, the judge was wrong to have then concluded that “the Respondent has not met the evidential standard”, such that it did not require thereafter for the Appellant to provide any “innocent explanation” in answer to that prima facie case presented by the Respondent.  </w:t>
      </w:r>
    </w:p>
    <w:p w:rsidR="00F1235D" w:rsidRPr="00F1235D" w:rsidRDefault="00891202" w:rsidP="00F1235D">
      <w:pPr>
        <w:numPr>
          <w:ilvl w:val="0"/>
          <w:numId w:val="3"/>
        </w:numPr>
        <w:spacing w:before="240"/>
        <w:jc w:val="both"/>
        <w:rPr>
          <w:rFonts w:ascii="Book Antiqua" w:hAnsi="Book Antiqua" w:cs="Arial"/>
        </w:rPr>
      </w:pPr>
      <w:r w:rsidRPr="008A1123">
        <w:rPr>
          <w:rFonts w:ascii="Book Antiqua" w:hAnsi="Book Antiqua" w:cs="Arial"/>
        </w:rPr>
        <w:t>For his part, Mr Brown submitted that the judge was not oblivious to the specific evidence in the general bundle because in that very same paragraph (at paragraph 22) the judge has also stated, that there was standard documentation “as well as a statement of Mr Alain Tan (senior caseworker dated 8</w:t>
      </w:r>
      <w:r w:rsidRPr="008A1123">
        <w:rPr>
          <w:rFonts w:ascii="Book Antiqua" w:hAnsi="Book Antiqua" w:cs="Arial"/>
          <w:vertAlign w:val="superscript"/>
        </w:rPr>
        <w:t>th</w:t>
      </w:r>
      <w:r w:rsidRPr="008A1123">
        <w:rPr>
          <w:rFonts w:ascii="Book Antiqua" w:hAnsi="Book Antiqua" w:cs="Arial"/>
        </w:rPr>
        <w:t xml:space="preserve"> May 2017)” and this showed that all the evidence had been taken into account.  Moreover, the Appellant in his witness statement had given a credible account (at paragraph 22) and the Appellant had also undertaken a test at Trinity College London which the judge had referred to (paragraph 18)</w:t>
      </w:r>
      <w:r w:rsidR="00E80BEF" w:rsidRPr="008A1123">
        <w:rPr>
          <w:rFonts w:ascii="Book Antiqua" w:hAnsi="Book Antiqua" w:cs="Arial"/>
        </w:rPr>
        <w:t xml:space="preserve">.  </w:t>
      </w:r>
    </w:p>
    <w:p w:rsidR="00E80BEF" w:rsidRPr="008A1123" w:rsidRDefault="00E80BEF" w:rsidP="00E80BEF">
      <w:pPr>
        <w:spacing w:before="240"/>
        <w:jc w:val="both"/>
        <w:rPr>
          <w:rFonts w:ascii="Book Antiqua" w:hAnsi="Book Antiqua" w:cs="Arial"/>
          <w:b/>
          <w:u w:val="single"/>
        </w:rPr>
      </w:pPr>
      <w:r w:rsidRPr="008A1123">
        <w:rPr>
          <w:rFonts w:ascii="Book Antiqua" w:hAnsi="Book Antiqua" w:cs="Arial"/>
          <w:b/>
          <w:u w:val="single"/>
        </w:rPr>
        <w:t xml:space="preserve">Error of Law   </w:t>
      </w:r>
    </w:p>
    <w:p w:rsidR="00F1235D" w:rsidRDefault="00E80BEF" w:rsidP="00D33B16">
      <w:pPr>
        <w:numPr>
          <w:ilvl w:val="0"/>
          <w:numId w:val="3"/>
        </w:numPr>
        <w:spacing w:before="240"/>
        <w:jc w:val="both"/>
        <w:rPr>
          <w:rFonts w:ascii="Book Antiqua" w:hAnsi="Book Antiqua" w:cs="Arial"/>
        </w:rPr>
      </w:pPr>
      <w:r w:rsidRPr="008A1123">
        <w:rPr>
          <w:rFonts w:ascii="Book Antiqua" w:hAnsi="Book Antiqua" w:cs="Arial"/>
        </w:rPr>
        <w:t xml:space="preserve">I am satisfied that the making of the decision by the judge did involve the making of an error on a point of law (see Section 12(1) of TCEA 2007) such that I should set aside the decision and remake the decision.  This is notwithstanding Judge Holt’s otherwise sensitive and comprehensive determination.  My reasons are as follows.  </w:t>
      </w:r>
    </w:p>
    <w:p w:rsidR="00F1235D" w:rsidRDefault="00E80BEF" w:rsidP="00D33B16">
      <w:pPr>
        <w:numPr>
          <w:ilvl w:val="0"/>
          <w:numId w:val="3"/>
        </w:numPr>
        <w:spacing w:before="240"/>
        <w:jc w:val="both"/>
        <w:rPr>
          <w:rFonts w:ascii="Book Antiqua" w:hAnsi="Book Antiqua" w:cs="Arial"/>
        </w:rPr>
      </w:pPr>
      <w:r w:rsidRPr="008A1123">
        <w:rPr>
          <w:rFonts w:ascii="Book Antiqua" w:hAnsi="Book Antiqua" w:cs="Arial"/>
        </w:rPr>
        <w:t>First, although it is right that the judge does say, in relation to the “standard documentation” that there was also “a statement of Mr Alain Tan</w:t>
      </w:r>
      <w:r w:rsidR="00F320DF" w:rsidRPr="008A1123">
        <w:rPr>
          <w:rFonts w:ascii="Book Antiqua" w:hAnsi="Book Antiqua" w:cs="Arial"/>
        </w:rPr>
        <w:t xml:space="preserve">” (at paragraph 22), this is nevertheless immediately followed by the sentence that, </w:t>
      </w:r>
      <w:r w:rsidR="00420F5B" w:rsidRPr="008A1123">
        <w:rPr>
          <w:rFonts w:ascii="Book Antiqua" w:hAnsi="Book Antiqua" w:cs="Arial"/>
        </w:rPr>
        <w:t xml:space="preserve">“I was not provided with any evidence specific to this Appellant and his test”.  There was evidence in the supplementary bundle that was specific to the Appellant, citing his name, and asserting that his test was invalid.  </w:t>
      </w:r>
    </w:p>
    <w:p w:rsidR="00E80BEF" w:rsidRPr="008A1123" w:rsidRDefault="00420F5B" w:rsidP="00D33B16">
      <w:pPr>
        <w:numPr>
          <w:ilvl w:val="0"/>
          <w:numId w:val="3"/>
        </w:numPr>
        <w:spacing w:before="240"/>
        <w:jc w:val="both"/>
        <w:rPr>
          <w:rFonts w:ascii="Book Antiqua" w:hAnsi="Book Antiqua" w:cs="Arial"/>
        </w:rPr>
      </w:pPr>
      <w:r w:rsidRPr="008A1123">
        <w:rPr>
          <w:rFonts w:ascii="Book Antiqua" w:hAnsi="Book Antiqua" w:cs="Arial"/>
        </w:rPr>
        <w:t xml:space="preserve">Second, and as a result of the aforesaid, it was not correct to say that “the Respondent has not met the evidential standard in relation to the allegation that the Appellant cheated …” (paragraph 22) because the specific evidence in the statement of Mr Alain Tan was such as to </w:t>
      </w:r>
      <w:r w:rsidR="00C62D9A" w:rsidRPr="008A1123">
        <w:rPr>
          <w:rFonts w:ascii="Book Antiqua" w:hAnsi="Book Antiqua" w:cs="Arial"/>
        </w:rPr>
        <w:t xml:space="preserve">satisfy the evidential standard on the part of the Respondent Secretary of State, given that it specifically referred to the name of </w:t>
      </w:r>
      <w:r w:rsidR="00635EB3" w:rsidRPr="008A1123">
        <w:rPr>
          <w:rFonts w:ascii="Book Antiqua" w:hAnsi="Book Antiqua" w:cs="Arial"/>
        </w:rPr>
        <w:t xml:space="preserve">the Appellant.  </w:t>
      </w:r>
    </w:p>
    <w:p w:rsidR="000E018D" w:rsidRDefault="000E018D" w:rsidP="00133116">
      <w:pPr>
        <w:spacing w:before="240"/>
        <w:jc w:val="both"/>
        <w:rPr>
          <w:rFonts w:ascii="Book Antiqua" w:hAnsi="Book Antiqua" w:cs="Arial"/>
          <w:b/>
          <w:u w:val="single"/>
        </w:rPr>
      </w:pPr>
    </w:p>
    <w:p w:rsidR="00635EB3" w:rsidRPr="008A1123" w:rsidRDefault="00133116" w:rsidP="00133116">
      <w:pPr>
        <w:spacing w:before="240"/>
        <w:jc w:val="both"/>
        <w:rPr>
          <w:rFonts w:ascii="Book Antiqua" w:hAnsi="Book Antiqua" w:cs="Arial"/>
          <w:b/>
          <w:u w:val="single"/>
        </w:rPr>
      </w:pPr>
      <w:bookmarkStart w:id="2" w:name="_GoBack"/>
      <w:bookmarkEnd w:id="2"/>
      <w:r w:rsidRPr="008A1123">
        <w:rPr>
          <w:rFonts w:ascii="Book Antiqua" w:hAnsi="Book Antiqua" w:cs="Arial"/>
          <w:b/>
          <w:u w:val="single"/>
        </w:rPr>
        <w:lastRenderedPageBreak/>
        <w:t xml:space="preserve">Remaking the Decision   </w:t>
      </w:r>
    </w:p>
    <w:p w:rsidR="00F1235D" w:rsidRDefault="00133116" w:rsidP="00D33B16">
      <w:pPr>
        <w:numPr>
          <w:ilvl w:val="0"/>
          <w:numId w:val="3"/>
        </w:numPr>
        <w:spacing w:before="240"/>
        <w:jc w:val="both"/>
        <w:rPr>
          <w:rFonts w:ascii="Book Antiqua" w:hAnsi="Book Antiqua" w:cs="Arial"/>
        </w:rPr>
      </w:pPr>
      <w:r w:rsidRPr="008A1123">
        <w:rPr>
          <w:rFonts w:ascii="Book Antiqua" w:hAnsi="Book Antiqua" w:cs="Arial"/>
        </w:rPr>
        <w:t>I have remade the decision on the basis of the findings of the</w:t>
      </w:r>
      <w:r w:rsidR="00645F0E" w:rsidRPr="008A1123">
        <w:rPr>
          <w:rFonts w:ascii="Book Antiqua" w:hAnsi="Book Antiqua" w:cs="Arial"/>
        </w:rPr>
        <w:t xml:space="preserve"> original judge, the evidence before her, and the submissions that I have heard today.  I am allowing this appeal for the following reasons.  </w:t>
      </w:r>
    </w:p>
    <w:p w:rsidR="00F1235D" w:rsidRDefault="00645F0E" w:rsidP="00D33B16">
      <w:pPr>
        <w:numPr>
          <w:ilvl w:val="0"/>
          <w:numId w:val="3"/>
        </w:numPr>
        <w:spacing w:before="240"/>
        <w:jc w:val="both"/>
        <w:rPr>
          <w:rFonts w:ascii="Book Antiqua" w:hAnsi="Book Antiqua" w:cs="Arial"/>
        </w:rPr>
      </w:pPr>
      <w:r w:rsidRPr="008A1123">
        <w:rPr>
          <w:rFonts w:ascii="Book Antiqua" w:hAnsi="Book Antiqua" w:cs="Arial"/>
        </w:rPr>
        <w:t>First, this is a case where the Respondent’s supplementary bundle contains a reference to a statement of Mr Alain Tan</w:t>
      </w:r>
      <w:r w:rsidR="00D7070D" w:rsidRPr="008A1123">
        <w:rPr>
          <w:rFonts w:ascii="Book Antiqua" w:hAnsi="Book Antiqua" w:cs="Arial"/>
        </w:rPr>
        <w:t>, who is a</w:t>
      </w:r>
      <w:r w:rsidR="008F6EDC" w:rsidRPr="008A1123">
        <w:rPr>
          <w:rFonts w:ascii="Book Antiqua" w:hAnsi="Book Antiqua" w:cs="Arial"/>
        </w:rPr>
        <w:t xml:space="preserve"> senior caseworker, and this statement is dated 8</w:t>
      </w:r>
      <w:r w:rsidR="008F6EDC" w:rsidRPr="008A1123">
        <w:rPr>
          <w:rFonts w:ascii="Book Antiqua" w:hAnsi="Book Antiqua" w:cs="Arial"/>
          <w:vertAlign w:val="superscript"/>
        </w:rPr>
        <w:t>th</w:t>
      </w:r>
      <w:r w:rsidR="008F6EDC" w:rsidRPr="008A1123">
        <w:rPr>
          <w:rFonts w:ascii="Book Antiqua" w:hAnsi="Book Antiqua" w:cs="Arial"/>
        </w:rPr>
        <w:t xml:space="preserve"> May 2017, and makes express reference</w:t>
      </w:r>
      <w:r w:rsidR="009D5597" w:rsidRPr="008A1123">
        <w:rPr>
          <w:rFonts w:ascii="Book Antiqua" w:hAnsi="Book Antiqua" w:cs="Arial"/>
        </w:rPr>
        <w:t xml:space="preserve"> to the Appellant.  In </w:t>
      </w:r>
      <w:r w:rsidR="000A6060" w:rsidRPr="008A1123">
        <w:rPr>
          <w:rFonts w:ascii="Book Antiqua" w:hAnsi="Book Antiqua" w:cs="Arial"/>
          <w:b/>
          <w:u w:val="single"/>
        </w:rPr>
        <w:t>Kadir</w:t>
      </w:r>
      <w:r w:rsidR="009D5597" w:rsidRPr="008A1123">
        <w:rPr>
          <w:rFonts w:ascii="Book Antiqua" w:hAnsi="Book Antiqua" w:cs="Arial"/>
        </w:rPr>
        <w:t xml:space="preserve"> it was held that the Secretary of State has to first discharge an evidential burden of proving that the Appellant was guilty of dishonesty (paragraph 67) and that this was a “comparatively modest threshold” (paragraph 68), such that I am satisfied that the Secretary of State does discharge this evidential burden, in the circumstances.  </w:t>
      </w:r>
    </w:p>
    <w:p w:rsidR="004A741D" w:rsidRPr="008A1123" w:rsidRDefault="009D5597" w:rsidP="00D33B16">
      <w:pPr>
        <w:numPr>
          <w:ilvl w:val="0"/>
          <w:numId w:val="3"/>
        </w:numPr>
        <w:spacing w:before="240"/>
        <w:jc w:val="both"/>
        <w:rPr>
          <w:rFonts w:ascii="Book Antiqua" w:hAnsi="Book Antiqua" w:cs="Arial"/>
        </w:rPr>
      </w:pPr>
      <w:r w:rsidRPr="008A1123">
        <w:rPr>
          <w:rFonts w:ascii="Book Antiqua" w:hAnsi="Book Antiqua" w:cs="Arial"/>
        </w:rPr>
        <w:t xml:space="preserve">In </w:t>
      </w:r>
      <w:r w:rsidRPr="008A1123">
        <w:rPr>
          <w:rFonts w:ascii="Book Antiqua" w:hAnsi="Book Antiqua" w:cs="Arial"/>
          <w:b/>
          <w:u w:val="single"/>
        </w:rPr>
        <w:t>Shehzad</w:t>
      </w:r>
      <w:r w:rsidRPr="008A1123">
        <w:rPr>
          <w:rFonts w:ascii="Book Antiqua" w:hAnsi="Book Antiqua" w:cs="Arial"/>
          <w:b/>
        </w:rPr>
        <w:t xml:space="preserve"> [2016] EWCA </w:t>
      </w:r>
      <w:proofErr w:type="spellStart"/>
      <w:r w:rsidRPr="008A1123">
        <w:rPr>
          <w:rFonts w:ascii="Book Antiqua" w:hAnsi="Book Antiqua" w:cs="Arial"/>
          <w:b/>
        </w:rPr>
        <w:t>Civ</w:t>
      </w:r>
      <w:proofErr w:type="spellEnd"/>
      <w:r w:rsidRPr="008A1123">
        <w:rPr>
          <w:rFonts w:ascii="Book Antiqua" w:hAnsi="Book Antiqua" w:cs="Arial"/>
          <w:b/>
        </w:rPr>
        <w:t xml:space="preserve"> 615</w:t>
      </w:r>
      <w:r w:rsidRPr="008A1123">
        <w:rPr>
          <w:rFonts w:ascii="Book Antiqua" w:hAnsi="Book Antiqua" w:cs="Arial"/>
        </w:rPr>
        <w:t xml:space="preserve"> Beatson LJ confirmed that </w:t>
      </w:r>
      <w:r w:rsidR="004A741D" w:rsidRPr="008A1123">
        <w:rPr>
          <w:rFonts w:ascii="Book Antiqua" w:hAnsi="Book Antiqua" w:cs="Arial"/>
        </w:rPr>
        <w:t xml:space="preserve">          </w:t>
      </w:r>
    </w:p>
    <w:p w:rsidR="00133116" w:rsidRPr="008A1123" w:rsidRDefault="009D5597" w:rsidP="004A741D">
      <w:pPr>
        <w:spacing w:before="240"/>
        <w:ind w:left="1134"/>
        <w:jc w:val="both"/>
        <w:rPr>
          <w:rFonts w:ascii="Book Antiqua" w:hAnsi="Book Antiqua" w:cs="Arial"/>
        </w:rPr>
      </w:pPr>
      <w:r w:rsidRPr="008A1123">
        <w:rPr>
          <w:rFonts w:ascii="Book Antiqua" w:hAnsi="Book Antiqua" w:cs="Arial"/>
        </w:rPr>
        <w:t>“</w:t>
      </w:r>
      <w:r w:rsidR="004A741D" w:rsidRPr="008A1123">
        <w:rPr>
          <w:rFonts w:ascii="Book Antiqua" w:hAnsi="Book Antiqua" w:cs="Arial"/>
        </w:rPr>
        <w:t xml:space="preserve">Where </w:t>
      </w:r>
      <w:r w:rsidRPr="008A1123">
        <w:rPr>
          <w:rFonts w:ascii="Book Antiqua" w:hAnsi="Book Antiqua" w:cs="Arial"/>
        </w:rPr>
        <w:t>the generic evidence is not accompanied by evidence showing that the individual under consideration’s test was categorised as ‘invalid’, I consider the Secretary of State faces a difficulty in respect of the evidential burden at the initial stage</w:t>
      </w:r>
      <w:r w:rsidR="004A741D" w:rsidRPr="008A1123">
        <w:rPr>
          <w:rFonts w:ascii="Book Antiqua" w:hAnsi="Book Antiqua" w:cs="Arial"/>
        </w:rPr>
        <w:t>” (paragraph 30).</w:t>
      </w:r>
      <w:r w:rsidR="00B6594C" w:rsidRPr="008A1123">
        <w:rPr>
          <w:rFonts w:ascii="Book Antiqua" w:hAnsi="Book Antiqua" w:cs="Arial"/>
        </w:rPr>
        <w:t xml:space="preserve">  </w:t>
      </w:r>
    </w:p>
    <w:p w:rsidR="00F1235D" w:rsidRDefault="00B6594C" w:rsidP="00F1235D">
      <w:pPr>
        <w:pStyle w:val="ColorfulList-Accent11"/>
        <w:numPr>
          <w:ilvl w:val="0"/>
          <w:numId w:val="3"/>
        </w:numPr>
        <w:spacing w:before="240"/>
        <w:contextualSpacing w:val="0"/>
        <w:jc w:val="both"/>
        <w:rPr>
          <w:rFonts w:ascii="Book Antiqua" w:hAnsi="Book Antiqua" w:cs="Arial"/>
        </w:rPr>
      </w:pPr>
      <w:r w:rsidRPr="00F1235D">
        <w:rPr>
          <w:rFonts w:ascii="Book Antiqua" w:hAnsi="Book Antiqua" w:cs="Arial"/>
        </w:rPr>
        <w:t xml:space="preserve">This is exactly such a case where the generic evidence is accompanied by evidence showing that the individual’s test was categorised as ‘invalid’.  </w:t>
      </w:r>
    </w:p>
    <w:p w:rsidR="00F1235D" w:rsidRPr="00F1235D" w:rsidRDefault="00B6594C"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 xml:space="preserve">Second, </w:t>
      </w:r>
      <w:r w:rsidR="009F748D" w:rsidRPr="00F1235D">
        <w:rPr>
          <w:rFonts w:ascii="Book Antiqua" w:hAnsi="Book Antiqua" w:cs="Arial"/>
        </w:rPr>
        <w:t xml:space="preserve">however, it is the Appellant then who has the evidential burden of “raising an innocent explanation” (paragraph 68 of </w:t>
      </w:r>
      <w:r w:rsidR="009F748D" w:rsidRPr="00F1235D">
        <w:rPr>
          <w:rFonts w:ascii="Book Antiqua" w:hAnsi="Book Antiqua" w:cs="Arial"/>
          <w:b/>
          <w:u w:val="single"/>
        </w:rPr>
        <w:t>Kadir</w:t>
      </w:r>
      <w:r w:rsidR="009F748D" w:rsidRPr="00F1235D">
        <w:rPr>
          <w:rFonts w:ascii="Book Antiqua" w:hAnsi="Book Antiqua" w:cs="Arial"/>
        </w:rPr>
        <w:t xml:space="preserve">) and I am satisfied that this too has been done here.  This is because </w:t>
      </w:r>
      <w:r w:rsidR="0088627D" w:rsidRPr="00F1235D">
        <w:rPr>
          <w:rFonts w:ascii="Book Antiqua" w:hAnsi="Book Antiqua" w:cs="Arial"/>
        </w:rPr>
        <w:t>Judge Holt found, not only that the Appellant spoke good English and had provided a Trinity College certificate, as well as having coped easily with the</w:t>
      </w:r>
      <w:r w:rsidR="00617B85" w:rsidRPr="00F1235D">
        <w:rPr>
          <w:rFonts w:ascii="Book Antiqua" w:hAnsi="Book Antiqua" w:cs="Arial"/>
        </w:rPr>
        <w:t xml:space="preserve"> </w:t>
      </w:r>
      <w:r w:rsidR="0088627D" w:rsidRPr="00F1235D">
        <w:rPr>
          <w:rFonts w:ascii="Book Antiqua" w:hAnsi="Book Antiqua" w:cs="Arial"/>
        </w:rPr>
        <w:t xml:space="preserve">evidence at the hearing, but he also gave “a credible account of his recollection of what happened when he attended the testing centre and took the test” which Judge Holt found to have been acceptable.  </w:t>
      </w:r>
    </w:p>
    <w:p w:rsidR="00F1235D" w:rsidRPr="00F1235D" w:rsidRDefault="0088627D"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Third, however, there is then a “legal burden”</w:t>
      </w:r>
      <w:r w:rsidR="00DE793B" w:rsidRPr="00F1235D">
        <w:rPr>
          <w:rFonts w:ascii="Book Antiqua" w:hAnsi="Book Antiqua" w:cs="Arial"/>
        </w:rPr>
        <w:t xml:space="preserve"> (paragraph 69) on the Secretary of State.  This includes an analysis of such matters as “what the person accused of has to gain from being dishonest; what he has to lose from being dishonest; what is known about his character; and the culture or environment in which he operated” (paragraph 69 of </w:t>
      </w:r>
      <w:r w:rsidR="00E055A0" w:rsidRPr="00F1235D">
        <w:rPr>
          <w:rFonts w:ascii="Book Antiqua" w:hAnsi="Book Antiqua" w:cs="Arial"/>
          <w:b/>
          <w:u w:val="single"/>
        </w:rPr>
        <w:t>Kadir</w:t>
      </w:r>
      <w:r w:rsidR="000A6060" w:rsidRPr="00F1235D">
        <w:rPr>
          <w:rFonts w:ascii="Book Antiqua" w:hAnsi="Book Antiqua" w:cs="Arial"/>
        </w:rPr>
        <w:t>).  Moreover, other factors such as, “the Tribunal’s assessment of their language proficiency is commensurate with their TOEIC scores and whether their academic achievements are such that it was unnecessary or illogical for them to have cheated” (paragraph 69)</w:t>
      </w:r>
      <w:r w:rsidR="00CC0ADC" w:rsidRPr="00F1235D">
        <w:rPr>
          <w:rFonts w:ascii="Book Antiqua" w:hAnsi="Book Antiqua" w:cs="Arial"/>
        </w:rPr>
        <w:t xml:space="preserve"> can also be taken into account.  </w:t>
      </w:r>
    </w:p>
    <w:p w:rsidR="00F1235D" w:rsidRPr="00F1235D" w:rsidRDefault="00CC0ADC"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I</w:t>
      </w:r>
      <w:r w:rsidR="007E331F" w:rsidRPr="00F1235D">
        <w:rPr>
          <w:rFonts w:ascii="Book Antiqua" w:hAnsi="Book Antiqua" w:cs="Arial"/>
        </w:rPr>
        <w:t> </w:t>
      </w:r>
      <w:r w:rsidRPr="00F1235D">
        <w:rPr>
          <w:rFonts w:ascii="Book Antiqua" w:hAnsi="Book Antiqua" w:cs="Arial"/>
        </w:rPr>
        <w:t>find that these two matters are fundamentally in favour of the Appellant.  First, the Appellant has nothing to gain from being dishonest given how well he speaks English and how well he has done in his Trinity College London tests which he passed with distinction.  Second, the evidence that the Appellant gave before the Tribunal of Judge Holt shows that it was illogical and unnecessary for him to have cheated.  He gave an a</w:t>
      </w:r>
      <w:r w:rsidR="00F1235D" w:rsidRPr="00F1235D">
        <w:rPr>
          <w:rFonts w:ascii="Book Antiqua" w:hAnsi="Book Antiqua" w:cs="Arial"/>
        </w:rPr>
        <w:t>ccount of how he went to the Da</w:t>
      </w:r>
      <w:r w:rsidRPr="00F1235D">
        <w:rPr>
          <w:rFonts w:ascii="Book Antiqua" w:hAnsi="Book Antiqua" w:cs="Arial"/>
        </w:rPr>
        <w:t xml:space="preserve">rwin Test Centre and “of what happened when he attended the testing centre and took the test” (paragraph 22).  When the test was challenged and categorised as being invalid he “denied that he had </w:t>
      </w:r>
      <w:r w:rsidR="00244394" w:rsidRPr="00F1235D">
        <w:rPr>
          <w:rFonts w:ascii="Book Antiqua" w:hAnsi="Book Antiqua" w:cs="Arial"/>
        </w:rPr>
        <w:t xml:space="preserve">done anything to </w:t>
      </w:r>
      <w:r w:rsidR="00244394" w:rsidRPr="00F1235D">
        <w:rPr>
          <w:rFonts w:ascii="Book Antiqua" w:hAnsi="Book Antiqua" w:cs="Arial"/>
        </w:rPr>
        <w:lastRenderedPageBreak/>
        <w:t xml:space="preserve">invalidate the test results and said that, after his test had been declared invalid, he had tried to make contact with the test centre, but that the centre had failed to respond” (paragraph 18).  </w:t>
      </w:r>
    </w:p>
    <w:p w:rsidR="00F1235D" w:rsidRPr="00F1235D" w:rsidRDefault="00280A4F"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 xml:space="preserve">The judge did not find any of these explanations to be lacking in credibility.  </w:t>
      </w:r>
    </w:p>
    <w:p w:rsidR="00F1235D" w:rsidRPr="00F1235D" w:rsidRDefault="00280A4F"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As against this, the statement of Alain Tan</w:t>
      </w:r>
      <w:r w:rsidR="006C6CDC" w:rsidRPr="00F1235D">
        <w:rPr>
          <w:rFonts w:ascii="Book Antiqua" w:hAnsi="Book Antiqua" w:cs="Arial"/>
        </w:rPr>
        <w:t xml:space="preserve">, although consisting of eleven paragraphs, only contains a single paragraph, namely, paragraph 6, which states that, “the test result had been cancelled by ETS on the basis its own analysis indicated that the test result had been obtained via the use of a proxy tester”.  </w:t>
      </w:r>
    </w:p>
    <w:p w:rsidR="00B6594C" w:rsidRPr="00F1235D" w:rsidRDefault="006C6CDC" w:rsidP="00F1235D">
      <w:pPr>
        <w:pStyle w:val="ColorfulList-Accent11"/>
        <w:numPr>
          <w:ilvl w:val="0"/>
          <w:numId w:val="3"/>
        </w:numPr>
        <w:spacing w:before="240"/>
        <w:contextualSpacing w:val="0"/>
        <w:jc w:val="both"/>
        <w:rPr>
          <w:rFonts w:ascii="Book Antiqua" w:hAnsi="Book Antiqua" w:cs="Calibri"/>
        </w:rPr>
      </w:pPr>
      <w:r w:rsidRPr="00F1235D">
        <w:rPr>
          <w:rFonts w:ascii="Book Antiqua" w:hAnsi="Book Antiqua" w:cs="Arial"/>
        </w:rPr>
        <w:t>The other paragraphs are indeed generic.  There is a reference (at paragraph 10) to the “ETS TOEIC test centre lookup data</w:t>
      </w:r>
      <w:r w:rsidR="00437943" w:rsidRPr="00F1235D">
        <w:rPr>
          <w:rFonts w:ascii="Book Antiqua" w:hAnsi="Book Antiqua" w:cs="Arial"/>
        </w:rPr>
        <w:t>”</w:t>
      </w:r>
      <w:r w:rsidRPr="00F1235D">
        <w:rPr>
          <w:rFonts w:ascii="Book Antiqua" w:hAnsi="Book Antiqua" w:cs="Arial"/>
        </w:rPr>
        <w:t>, and this refers to data, which is attached to the document.  This evidence has to be balanced against the preponderance of evidence that the Appellant adduced and was found credible on</w:t>
      </w:r>
      <w:r w:rsidR="00D803D7" w:rsidRPr="00F1235D">
        <w:rPr>
          <w:rFonts w:ascii="Book Antiqua" w:hAnsi="Book Antiqua" w:cs="Arial"/>
        </w:rPr>
        <w:t xml:space="preserve"> </w:t>
      </w:r>
      <w:r w:rsidRPr="00F1235D">
        <w:rPr>
          <w:rFonts w:ascii="Book Antiqua" w:hAnsi="Book Antiqua" w:cs="Calibri"/>
        </w:rPr>
        <w:t>by Judge Holt, and which I also find to be credible, for the reasons that I have set out above.  Accordingly, on the balance of probabilities test, the Appellant has discharged the burden of proof that is upon him and this appeal falls to be allowed in his favour</w:t>
      </w:r>
      <w:r w:rsidR="009C26EB" w:rsidRPr="00F1235D">
        <w:rPr>
          <w:rFonts w:ascii="Book Antiqua" w:hAnsi="Book Antiqua" w:cs="Calibri"/>
        </w:rPr>
        <w:t xml:space="preserve">.  </w:t>
      </w:r>
    </w:p>
    <w:p w:rsidR="000E34AA" w:rsidRPr="008A1123" w:rsidRDefault="000E34AA" w:rsidP="009C26EB">
      <w:pPr>
        <w:spacing w:before="240"/>
        <w:jc w:val="both"/>
        <w:rPr>
          <w:rFonts w:ascii="Book Antiqua" w:hAnsi="Book Antiqua" w:cs="Arial"/>
          <w:b/>
          <w:u w:val="single"/>
        </w:rPr>
      </w:pPr>
      <w:r w:rsidRPr="008A1123">
        <w:rPr>
          <w:rFonts w:ascii="Book Antiqua" w:hAnsi="Book Antiqua" w:cs="Arial"/>
          <w:b/>
          <w:u w:val="single"/>
        </w:rPr>
        <w:t>Notice of Decision</w:t>
      </w:r>
      <w:r w:rsidR="009C26EB" w:rsidRPr="008A1123">
        <w:rPr>
          <w:rFonts w:ascii="Book Antiqua" w:hAnsi="Book Antiqua" w:cs="Arial"/>
          <w:b/>
          <w:u w:val="single"/>
        </w:rPr>
        <w:t xml:space="preserve">           </w:t>
      </w:r>
    </w:p>
    <w:p w:rsidR="009C26EB" w:rsidRPr="008A1123" w:rsidRDefault="009C26EB" w:rsidP="009C26EB">
      <w:pPr>
        <w:numPr>
          <w:ilvl w:val="0"/>
          <w:numId w:val="3"/>
        </w:numPr>
        <w:spacing w:before="240"/>
        <w:jc w:val="both"/>
        <w:rPr>
          <w:rFonts w:ascii="Book Antiqua" w:hAnsi="Book Antiqua" w:cs="Arial"/>
        </w:rPr>
      </w:pPr>
      <w:r w:rsidRPr="008A1123">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is allowed.  </w:t>
      </w:r>
    </w:p>
    <w:p w:rsidR="000E34AA" w:rsidRPr="008A1123" w:rsidRDefault="000E34AA" w:rsidP="000E34AA">
      <w:pPr>
        <w:numPr>
          <w:ilvl w:val="0"/>
          <w:numId w:val="3"/>
        </w:numPr>
        <w:spacing w:before="240"/>
        <w:jc w:val="both"/>
        <w:rPr>
          <w:rFonts w:ascii="Book Antiqua" w:hAnsi="Book Antiqua" w:cs="Arial"/>
        </w:rPr>
      </w:pPr>
      <w:r w:rsidRPr="008A1123">
        <w:rPr>
          <w:rFonts w:ascii="Book Antiqua" w:hAnsi="Book Antiqua" w:cs="Arial"/>
        </w:rPr>
        <w:t>No anonymity direction is made.</w:t>
      </w:r>
      <w:r w:rsidR="009C26EB" w:rsidRPr="008A1123">
        <w:rPr>
          <w:rFonts w:ascii="Book Antiqua" w:hAnsi="Book Antiqua" w:cs="Arial"/>
        </w:rPr>
        <w:t xml:space="preserve"> </w:t>
      </w:r>
    </w:p>
    <w:p w:rsidR="000E34AA" w:rsidRPr="008A1123" w:rsidRDefault="000E34AA" w:rsidP="000E34AA">
      <w:pPr>
        <w:jc w:val="both"/>
        <w:rPr>
          <w:rFonts w:ascii="Book Antiqua" w:hAnsi="Book Antiqua" w:cs="Arial"/>
        </w:rPr>
      </w:pPr>
    </w:p>
    <w:p w:rsidR="00842418" w:rsidRPr="008A1123" w:rsidRDefault="00842418" w:rsidP="000369F5">
      <w:pPr>
        <w:tabs>
          <w:tab w:val="left" w:pos="2520"/>
        </w:tabs>
        <w:jc w:val="both"/>
        <w:rPr>
          <w:rFonts w:ascii="Book Antiqua" w:hAnsi="Book Antiqua" w:cs="Arial"/>
        </w:rPr>
      </w:pPr>
    </w:p>
    <w:p w:rsidR="001F2716" w:rsidRPr="008A1123" w:rsidRDefault="006E3C90" w:rsidP="000369F5">
      <w:pPr>
        <w:tabs>
          <w:tab w:val="left" w:pos="2520"/>
        </w:tabs>
        <w:jc w:val="both"/>
        <w:rPr>
          <w:rFonts w:ascii="Book Antiqua" w:hAnsi="Book Antiqua" w:cs="Arial"/>
        </w:rPr>
      </w:pPr>
      <w:r w:rsidRPr="008A1123">
        <w:rPr>
          <w:rFonts w:ascii="Book Antiqua" w:hAnsi="Book Antiqua" w:cs="Arial"/>
        </w:rPr>
        <w:t>Signed</w:t>
      </w:r>
      <w:r w:rsidRPr="008A1123">
        <w:rPr>
          <w:rFonts w:ascii="Book Antiqua" w:hAnsi="Book Antiqua" w:cs="Arial"/>
        </w:rPr>
        <w:tab/>
      </w:r>
      <w:r w:rsidRPr="008A1123">
        <w:rPr>
          <w:rFonts w:ascii="Book Antiqua" w:hAnsi="Book Antiqua" w:cs="Arial"/>
        </w:rPr>
        <w:tab/>
      </w:r>
      <w:r w:rsidRPr="008A1123">
        <w:rPr>
          <w:rFonts w:ascii="Book Antiqua" w:hAnsi="Book Antiqua" w:cs="Arial"/>
        </w:rPr>
        <w:tab/>
      </w:r>
      <w:r w:rsidRPr="008A1123">
        <w:rPr>
          <w:rFonts w:ascii="Book Antiqua" w:hAnsi="Book Antiqua" w:cs="Arial"/>
        </w:rPr>
        <w:tab/>
      </w:r>
      <w:r w:rsidRPr="008A1123">
        <w:rPr>
          <w:rFonts w:ascii="Book Antiqua" w:hAnsi="Book Antiqua" w:cs="Arial"/>
        </w:rPr>
        <w:tab/>
      </w:r>
      <w:r w:rsidRPr="008A1123">
        <w:rPr>
          <w:rFonts w:ascii="Book Antiqua" w:hAnsi="Book Antiqua" w:cs="Arial"/>
        </w:rPr>
        <w:tab/>
      </w:r>
      <w:r w:rsidRPr="008A1123">
        <w:rPr>
          <w:rFonts w:ascii="Book Antiqua" w:hAnsi="Book Antiqua" w:cs="Arial"/>
        </w:rPr>
        <w:tab/>
      </w:r>
      <w:r w:rsidR="001F2716" w:rsidRPr="008A1123">
        <w:rPr>
          <w:rFonts w:ascii="Book Antiqua" w:hAnsi="Book Antiqua" w:cs="Arial"/>
        </w:rPr>
        <w:t>Date</w:t>
      </w:r>
      <w:r w:rsidR="009C26EB" w:rsidRPr="008A1123">
        <w:rPr>
          <w:rFonts w:ascii="Book Antiqua" w:hAnsi="Book Antiqua" w:cs="Arial"/>
        </w:rPr>
        <w:t xml:space="preserve">d  </w:t>
      </w:r>
    </w:p>
    <w:p w:rsidR="001F2716" w:rsidRPr="008A1123" w:rsidRDefault="001F2716" w:rsidP="000369F5">
      <w:pPr>
        <w:tabs>
          <w:tab w:val="left" w:pos="2520"/>
        </w:tabs>
        <w:jc w:val="both"/>
        <w:rPr>
          <w:rFonts w:ascii="Book Antiqua" w:hAnsi="Book Antiqua" w:cs="Arial"/>
        </w:rPr>
      </w:pPr>
    </w:p>
    <w:p w:rsidR="000E34AA" w:rsidRPr="008A1123" w:rsidRDefault="000D4112" w:rsidP="000369F5">
      <w:pPr>
        <w:tabs>
          <w:tab w:val="left" w:pos="2520"/>
        </w:tabs>
        <w:jc w:val="both"/>
        <w:rPr>
          <w:rFonts w:ascii="Book Antiqua" w:hAnsi="Book Antiqua" w:cs="Arial"/>
        </w:rPr>
      </w:pPr>
      <w:r w:rsidRPr="008A1123">
        <w:rPr>
          <w:rFonts w:ascii="Book Antiqua" w:hAnsi="Book Antiqua" w:cs="Arial"/>
        </w:rPr>
        <w:t>Deputy Upper Tribunal</w:t>
      </w:r>
      <w:r w:rsidR="00AC5CF6" w:rsidRPr="008A1123">
        <w:rPr>
          <w:rFonts w:ascii="Book Antiqua" w:hAnsi="Book Antiqua" w:cs="Arial"/>
        </w:rPr>
        <w:t xml:space="preserve"> Judge</w:t>
      </w:r>
      <w:r w:rsidR="00B16F58" w:rsidRPr="008A1123">
        <w:rPr>
          <w:rFonts w:ascii="Book Antiqua" w:hAnsi="Book Antiqua" w:cs="Arial"/>
        </w:rPr>
        <w:t xml:space="preserve"> </w:t>
      </w:r>
      <w:proofErr w:type="spellStart"/>
      <w:r w:rsidR="004F50BF" w:rsidRPr="008A1123">
        <w:rPr>
          <w:rFonts w:ascii="Book Antiqua" w:hAnsi="Book Antiqua" w:cs="Arial"/>
        </w:rPr>
        <w:t>Juss</w:t>
      </w:r>
      <w:proofErr w:type="spellEnd"/>
      <w:r w:rsidR="00F1235D">
        <w:rPr>
          <w:rFonts w:ascii="Book Antiqua" w:hAnsi="Book Antiqua" w:cs="Arial"/>
        </w:rPr>
        <w:tab/>
      </w:r>
      <w:r w:rsidR="00F1235D">
        <w:rPr>
          <w:rFonts w:ascii="Book Antiqua" w:hAnsi="Book Antiqua" w:cs="Arial"/>
        </w:rPr>
        <w:tab/>
      </w:r>
      <w:r w:rsidR="00F1235D">
        <w:rPr>
          <w:rFonts w:ascii="Book Antiqua" w:hAnsi="Book Antiqua" w:cs="Arial"/>
        </w:rPr>
        <w:tab/>
      </w:r>
      <w:r w:rsidR="00F1235D">
        <w:rPr>
          <w:rFonts w:ascii="Book Antiqua" w:hAnsi="Book Antiqua" w:cs="Arial"/>
        </w:rPr>
        <w:tab/>
        <w:t>8</w:t>
      </w:r>
      <w:r w:rsidR="00F1235D" w:rsidRPr="00F1235D">
        <w:rPr>
          <w:rFonts w:ascii="Book Antiqua" w:hAnsi="Book Antiqua" w:cs="Arial"/>
          <w:vertAlign w:val="superscript"/>
        </w:rPr>
        <w:t>th</w:t>
      </w:r>
      <w:r w:rsidR="00F1235D">
        <w:rPr>
          <w:rFonts w:ascii="Book Antiqua" w:hAnsi="Book Antiqua" w:cs="Arial"/>
        </w:rPr>
        <w:t xml:space="preserve"> September 2018</w:t>
      </w:r>
    </w:p>
    <w:p w:rsidR="000E34AA" w:rsidRPr="008A1123" w:rsidRDefault="000E34AA" w:rsidP="000369F5">
      <w:pPr>
        <w:tabs>
          <w:tab w:val="left" w:pos="2520"/>
        </w:tabs>
        <w:jc w:val="both"/>
        <w:rPr>
          <w:rFonts w:ascii="Book Antiqua" w:hAnsi="Book Antiqua" w:cs="Arial"/>
        </w:rPr>
      </w:pPr>
    </w:p>
    <w:sectPr w:rsidR="000E34AA" w:rsidRPr="008A1123" w:rsidSect="00416E4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66E" w:rsidRDefault="0068466E">
      <w:r>
        <w:separator/>
      </w:r>
    </w:p>
  </w:endnote>
  <w:endnote w:type="continuationSeparator" w:id="0">
    <w:p w:rsidR="0068466E" w:rsidRDefault="0068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C03" w:rsidRPr="00416E4D" w:rsidRDefault="005C0C03" w:rsidP="00593795">
    <w:pPr>
      <w:pStyle w:val="Footer"/>
      <w:jc w:val="center"/>
      <w:rPr>
        <w:rFonts w:ascii="Book Antiqua" w:hAnsi="Book Antiqua" w:cs="Arial"/>
      </w:rPr>
    </w:pPr>
    <w:r w:rsidRPr="00416E4D">
      <w:rPr>
        <w:rStyle w:val="PageNumber"/>
        <w:rFonts w:ascii="Book Antiqua" w:hAnsi="Book Antiqua" w:cs="Arial"/>
      </w:rPr>
      <w:fldChar w:fldCharType="begin"/>
    </w:r>
    <w:r w:rsidRPr="00416E4D">
      <w:rPr>
        <w:rStyle w:val="PageNumber"/>
        <w:rFonts w:ascii="Book Antiqua" w:hAnsi="Book Antiqua" w:cs="Arial"/>
      </w:rPr>
      <w:instrText xml:space="preserve"> PAGE </w:instrText>
    </w:r>
    <w:r w:rsidRPr="00416E4D">
      <w:rPr>
        <w:rStyle w:val="PageNumber"/>
        <w:rFonts w:ascii="Book Antiqua" w:hAnsi="Book Antiqua" w:cs="Arial"/>
      </w:rPr>
      <w:fldChar w:fldCharType="separate"/>
    </w:r>
    <w:r w:rsidR="004D221D">
      <w:rPr>
        <w:rStyle w:val="PageNumber"/>
        <w:rFonts w:ascii="Book Antiqua" w:hAnsi="Book Antiqua" w:cs="Arial"/>
        <w:noProof/>
      </w:rPr>
      <w:t>6</w:t>
    </w:r>
    <w:r w:rsidRPr="00416E4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C03" w:rsidRPr="00F5664C" w:rsidRDefault="005C0C03"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66E" w:rsidRDefault="0068466E">
      <w:r>
        <w:separator/>
      </w:r>
    </w:p>
  </w:footnote>
  <w:footnote w:type="continuationSeparator" w:id="0">
    <w:p w:rsidR="0068466E" w:rsidRDefault="00684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C03" w:rsidRDefault="005C0C03" w:rsidP="000369F5">
    <w:pPr>
      <w:pStyle w:val="Header"/>
      <w:tabs>
        <w:tab w:val="clear" w:pos="4153"/>
        <w:tab w:val="clear" w:pos="8306"/>
        <w:tab w:val="right" w:pos="9639"/>
      </w:tabs>
      <w:jc w:val="right"/>
      <w:rPr>
        <w:rFonts w:ascii="Book Antiqua" w:hAnsi="Book Antiqua" w:cs="Arial"/>
        <w:sz w:val="16"/>
        <w:szCs w:val="16"/>
      </w:rPr>
    </w:pPr>
    <w:r w:rsidRPr="00416E4D">
      <w:rPr>
        <w:rFonts w:ascii="Book Antiqua" w:hAnsi="Book Antiqua" w:cs="Arial"/>
        <w:sz w:val="16"/>
        <w:szCs w:val="16"/>
      </w:rPr>
      <w:t>Appeal Number: HU/02582/2016</w:t>
    </w:r>
  </w:p>
  <w:p w:rsidR="00416E4D" w:rsidRPr="00416E4D" w:rsidRDefault="00416E4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C03" w:rsidRPr="00F5664C" w:rsidRDefault="005C0C0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3D"/>
    <w:rsid w:val="00000621"/>
    <w:rsid w:val="000036C2"/>
    <w:rsid w:val="00025FB1"/>
    <w:rsid w:val="00033D3D"/>
    <w:rsid w:val="000369F5"/>
    <w:rsid w:val="00060B05"/>
    <w:rsid w:val="00071A7E"/>
    <w:rsid w:val="000746C0"/>
    <w:rsid w:val="00074D1D"/>
    <w:rsid w:val="00092580"/>
    <w:rsid w:val="00096465"/>
    <w:rsid w:val="000A6060"/>
    <w:rsid w:val="000D4112"/>
    <w:rsid w:val="000D5D94"/>
    <w:rsid w:val="000E018D"/>
    <w:rsid w:val="000E34AA"/>
    <w:rsid w:val="000F063D"/>
    <w:rsid w:val="000F6101"/>
    <w:rsid w:val="001165A7"/>
    <w:rsid w:val="00133116"/>
    <w:rsid w:val="00151BB7"/>
    <w:rsid w:val="00167D3A"/>
    <w:rsid w:val="001767DC"/>
    <w:rsid w:val="001A1E2C"/>
    <w:rsid w:val="001E5987"/>
    <w:rsid w:val="001E6CAB"/>
    <w:rsid w:val="001F2716"/>
    <w:rsid w:val="0020133A"/>
    <w:rsid w:val="00207617"/>
    <w:rsid w:val="00244394"/>
    <w:rsid w:val="00250AF7"/>
    <w:rsid w:val="00280A4F"/>
    <w:rsid w:val="00283659"/>
    <w:rsid w:val="002B0852"/>
    <w:rsid w:val="002C4E73"/>
    <w:rsid w:val="002D68BF"/>
    <w:rsid w:val="002E10BD"/>
    <w:rsid w:val="00330A41"/>
    <w:rsid w:val="00336CBF"/>
    <w:rsid w:val="00341014"/>
    <w:rsid w:val="003546C8"/>
    <w:rsid w:val="003A7CF2"/>
    <w:rsid w:val="003C3633"/>
    <w:rsid w:val="003C5CE5"/>
    <w:rsid w:val="003E267B"/>
    <w:rsid w:val="003E7CD1"/>
    <w:rsid w:val="00402B9E"/>
    <w:rsid w:val="00416E4D"/>
    <w:rsid w:val="00420F5B"/>
    <w:rsid w:val="00423932"/>
    <w:rsid w:val="004249CB"/>
    <w:rsid w:val="004276AD"/>
    <w:rsid w:val="00437943"/>
    <w:rsid w:val="0044127D"/>
    <w:rsid w:val="004448DB"/>
    <w:rsid w:val="00446C9A"/>
    <w:rsid w:val="00467EA5"/>
    <w:rsid w:val="0047433D"/>
    <w:rsid w:val="00477193"/>
    <w:rsid w:val="00481EE1"/>
    <w:rsid w:val="00487747"/>
    <w:rsid w:val="004937DC"/>
    <w:rsid w:val="004945A2"/>
    <w:rsid w:val="004A1848"/>
    <w:rsid w:val="004A741D"/>
    <w:rsid w:val="004C28C9"/>
    <w:rsid w:val="004D221D"/>
    <w:rsid w:val="004D49EA"/>
    <w:rsid w:val="004F2E90"/>
    <w:rsid w:val="004F50BF"/>
    <w:rsid w:val="00507FEC"/>
    <w:rsid w:val="00510F0E"/>
    <w:rsid w:val="005479E1"/>
    <w:rsid w:val="005570FD"/>
    <w:rsid w:val="005575EA"/>
    <w:rsid w:val="00562FCE"/>
    <w:rsid w:val="00572CCD"/>
    <w:rsid w:val="0057790C"/>
    <w:rsid w:val="00593795"/>
    <w:rsid w:val="005968F3"/>
    <w:rsid w:val="005A75FF"/>
    <w:rsid w:val="005A7C8C"/>
    <w:rsid w:val="005B4408"/>
    <w:rsid w:val="005B7789"/>
    <w:rsid w:val="005C0C03"/>
    <w:rsid w:val="00600570"/>
    <w:rsid w:val="00617B85"/>
    <w:rsid w:val="00617D9E"/>
    <w:rsid w:val="006219C2"/>
    <w:rsid w:val="00635EB3"/>
    <w:rsid w:val="006371A4"/>
    <w:rsid w:val="006378B1"/>
    <w:rsid w:val="006405B2"/>
    <w:rsid w:val="00645F0E"/>
    <w:rsid w:val="006519B8"/>
    <w:rsid w:val="0065791C"/>
    <w:rsid w:val="00670D4A"/>
    <w:rsid w:val="0068466E"/>
    <w:rsid w:val="00686334"/>
    <w:rsid w:val="00690B8A"/>
    <w:rsid w:val="006A31E2"/>
    <w:rsid w:val="006B755D"/>
    <w:rsid w:val="006C6CDC"/>
    <w:rsid w:val="006D1DFA"/>
    <w:rsid w:val="006D506B"/>
    <w:rsid w:val="006E0B38"/>
    <w:rsid w:val="006E3C90"/>
    <w:rsid w:val="00704B61"/>
    <w:rsid w:val="007052B7"/>
    <w:rsid w:val="0071711C"/>
    <w:rsid w:val="00737540"/>
    <w:rsid w:val="00742A48"/>
    <w:rsid w:val="00742A8D"/>
    <w:rsid w:val="007552A9"/>
    <w:rsid w:val="00761858"/>
    <w:rsid w:val="0076728D"/>
    <w:rsid w:val="00767D59"/>
    <w:rsid w:val="00776E97"/>
    <w:rsid w:val="00780FD7"/>
    <w:rsid w:val="0078180A"/>
    <w:rsid w:val="007912AD"/>
    <w:rsid w:val="007A1F28"/>
    <w:rsid w:val="007A565A"/>
    <w:rsid w:val="007B0824"/>
    <w:rsid w:val="007B3A83"/>
    <w:rsid w:val="007E331F"/>
    <w:rsid w:val="007F0477"/>
    <w:rsid w:val="008303B8"/>
    <w:rsid w:val="00833DCE"/>
    <w:rsid w:val="00842418"/>
    <w:rsid w:val="00847C55"/>
    <w:rsid w:val="00871D34"/>
    <w:rsid w:val="0088627D"/>
    <w:rsid w:val="00887E78"/>
    <w:rsid w:val="00891202"/>
    <w:rsid w:val="008A1123"/>
    <w:rsid w:val="008A5FF8"/>
    <w:rsid w:val="008A7B22"/>
    <w:rsid w:val="008B270C"/>
    <w:rsid w:val="008B2A9A"/>
    <w:rsid w:val="008C3D3D"/>
    <w:rsid w:val="008D4131"/>
    <w:rsid w:val="008F1932"/>
    <w:rsid w:val="008F294D"/>
    <w:rsid w:val="008F5E87"/>
    <w:rsid w:val="008F6EDC"/>
    <w:rsid w:val="008F76BD"/>
    <w:rsid w:val="00917261"/>
    <w:rsid w:val="00920C76"/>
    <w:rsid w:val="00921062"/>
    <w:rsid w:val="0093083E"/>
    <w:rsid w:val="00965FCC"/>
    <w:rsid w:val="00966ECF"/>
    <w:rsid w:val="009727A3"/>
    <w:rsid w:val="00987774"/>
    <w:rsid w:val="009A11E8"/>
    <w:rsid w:val="009C26EB"/>
    <w:rsid w:val="009D5597"/>
    <w:rsid w:val="009E4E62"/>
    <w:rsid w:val="009F0DE9"/>
    <w:rsid w:val="009F5220"/>
    <w:rsid w:val="009F748D"/>
    <w:rsid w:val="009F7C4D"/>
    <w:rsid w:val="00A00716"/>
    <w:rsid w:val="00A044F3"/>
    <w:rsid w:val="00A15234"/>
    <w:rsid w:val="00A201AB"/>
    <w:rsid w:val="00A31C8B"/>
    <w:rsid w:val="00A44E24"/>
    <w:rsid w:val="00A46E49"/>
    <w:rsid w:val="00A845DC"/>
    <w:rsid w:val="00A90D11"/>
    <w:rsid w:val="00A97355"/>
    <w:rsid w:val="00A97AEE"/>
    <w:rsid w:val="00AA7977"/>
    <w:rsid w:val="00AC1AE3"/>
    <w:rsid w:val="00AC5CF6"/>
    <w:rsid w:val="00B144FA"/>
    <w:rsid w:val="00B16F58"/>
    <w:rsid w:val="00B2116E"/>
    <w:rsid w:val="00B30648"/>
    <w:rsid w:val="00B3524D"/>
    <w:rsid w:val="00B40F69"/>
    <w:rsid w:val="00B45661"/>
    <w:rsid w:val="00B46616"/>
    <w:rsid w:val="00B610E3"/>
    <w:rsid w:val="00B61205"/>
    <w:rsid w:val="00B617C4"/>
    <w:rsid w:val="00B626FA"/>
    <w:rsid w:val="00B6594C"/>
    <w:rsid w:val="00B7040A"/>
    <w:rsid w:val="00B91F79"/>
    <w:rsid w:val="00B96FA0"/>
    <w:rsid w:val="00BA4991"/>
    <w:rsid w:val="00BD4196"/>
    <w:rsid w:val="00BF20D7"/>
    <w:rsid w:val="00BF22CA"/>
    <w:rsid w:val="00C01616"/>
    <w:rsid w:val="00C26032"/>
    <w:rsid w:val="00C265B0"/>
    <w:rsid w:val="00C321B5"/>
    <w:rsid w:val="00C345E1"/>
    <w:rsid w:val="00C40EBB"/>
    <w:rsid w:val="00C62D9A"/>
    <w:rsid w:val="00C6468A"/>
    <w:rsid w:val="00C7102E"/>
    <w:rsid w:val="00C977BA"/>
    <w:rsid w:val="00CA763C"/>
    <w:rsid w:val="00CB6E35"/>
    <w:rsid w:val="00CC0ADC"/>
    <w:rsid w:val="00CE1A46"/>
    <w:rsid w:val="00CF253F"/>
    <w:rsid w:val="00CF56B4"/>
    <w:rsid w:val="00D20F09"/>
    <w:rsid w:val="00D22636"/>
    <w:rsid w:val="00D33B16"/>
    <w:rsid w:val="00D350ED"/>
    <w:rsid w:val="00D360AA"/>
    <w:rsid w:val="00D40FD9"/>
    <w:rsid w:val="00D53769"/>
    <w:rsid w:val="00D53E8D"/>
    <w:rsid w:val="00D646AC"/>
    <w:rsid w:val="00D7070D"/>
    <w:rsid w:val="00D803D7"/>
    <w:rsid w:val="00D85C13"/>
    <w:rsid w:val="00D91BE3"/>
    <w:rsid w:val="00D94AFC"/>
    <w:rsid w:val="00DA2C89"/>
    <w:rsid w:val="00DB70AE"/>
    <w:rsid w:val="00DB7231"/>
    <w:rsid w:val="00DD4ABC"/>
    <w:rsid w:val="00DD5071"/>
    <w:rsid w:val="00DD5C39"/>
    <w:rsid w:val="00DE26AF"/>
    <w:rsid w:val="00DE793B"/>
    <w:rsid w:val="00DE7DB7"/>
    <w:rsid w:val="00DF6365"/>
    <w:rsid w:val="00E00264"/>
    <w:rsid w:val="00E00A0A"/>
    <w:rsid w:val="00E055A0"/>
    <w:rsid w:val="00E07F57"/>
    <w:rsid w:val="00E13492"/>
    <w:rsid w:val="00E20872"/>
    <w:rsid w:val="00E33BC0"/>
    <w:rsid w:val="00E50BCE"/>
    <w:rsid w:val="00E51730"/>
    <w:rsid w:val="00E52EB3"/>
    <w:rsid w:val="00E61292"/>
    <w:rsid w:val="00E76309"/>
    <w:rsid w:val="00E77C4D"/>
    <w:rsid w:val="00E80BEF"/>
    <w:rsid w:val="00E81D01"/>
    <w:rsid w:val="00EC4F6B"/>
    <w:rsid w:val="00ED2D16"/>
    <w:rsid w:val="00EE45D8"/>
    <w:rsid w:val="00EF1E49"/>
    <w:rsid w:val="00F004CD"/>
    <w:rsid w:val="00F10D45"/>
    <w:rsid w:val="00F1235D"/>
    <w:rsid w:val="00F22EDA"/>
    <w:rsid w:val="00F320DF"/>
    <w:rsid w:val="00F3224D"/>
    <w:rsid w:val="00F33E0E"/>
    <w:rsid w:val="00F36B20"/>
    <w:rsid w:val="00F42469"/>
    <w:rsid w:val="00F429FC"/>
    <w:rsid w:val="00F5664C"/>
    <w:rsid w:val="00F85E3F"/>
    <w:rsid w:val="00FA0BC6"/>
    <w:rsid w:val="00FB7E80"/>
    <w:rsid w:val="00FC2E8F"/>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5C1D1F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F1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2444</Words>
  <Characters>12329</Characters>
  <Application>Microsoft Office Word</Application>
  <DocSecurity>0</DocSecurity>
  <Lines>102</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2018-10-01T09:56:00Z</dcterms:created>
  <dcterms:modified xsi:type="dcterms:W3CDTF">2018-10-01T09:56:00Z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