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BB2037" w:rsidP="00C321B5">
      <w:pPr>
        <w:jc w:val="center"/>
        <w:rPr>
          <w:rFonts w:ascii="Book Antiqua" w:hAnsi="Book Antiqua" w:cs="Arial"/>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81pt">
            <v:imagedata r:id="rId7" o:title=""/>
          </v:shape>
        </w:pict>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BB2037">
        <w:rPr>
          <w:rFonts w:ascii="Book Antiqua" w:hAnsi="Book Antiqua" w:cs="Arial"/>
          <w:b/>
        </w:rPr>
        <w:t xml:space="preserve">   </w:t>
      </w:r>
      <w:proofErr w:type="gramEnd"/>
      <w:r w:rsidR="00BB2037">
        <w:rPr>
          <w:rFonts w:ascii="Book Antiqua" w:hAnsi="Book Antiqua" w:cs="Arial"/>
          <w:b/>
        </w:rPr>
        <w:t xml:space="preserve">                     </w:t>
      </w:r>
      <w:r w:rsidR="00B3524D" w:rsidRPr="00BB2037">
        <w:rPr>
          <w:rFonts w:ascii="Book Antiqua" w:hAnsi="Book Antiqua" w:cs="Arial"/>
          <w:b/>
        </w:rPr>
        <w:t>Appeal Number</w:t>
      </w:r>
      <w:r w:rsidR="00D53769" w:rsidRPr="00BB2037">
        <w:rPr>
          <w:rFonts w:ascii="Book Antiqua" w:hAnsi="Book Antiqua" w:cs="Arial"/>
          <w:b/>
        </w:rPr>
        <w:t>:</w:t>
      </w:r>
      <w:r w:rsidR="00B3524D" w:rsidRPr="00BB2037">
        <w:rPr>
          <w:rFonts w:ascii="Book Antiqua" w:hAnsi="Book Antiqua" w:cs="Arial"/>
          <w:b/>
        </w:rPr>
        <w:t xml:space="preserve"> </w:t>
      </w:r>
      <w:r w:rsidR="000965EA" w:rsidRPr="00BB2037">
        <w:rPr>
          <w:rFonts w:ascii="Book Antiqua" w:hAnsi="Book Antiqua" w:cs="Arial"/>
          <w:b/>
          <w:caps/>
        </w:rPr>
        <w:t>HU/02824/2015</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495"/>
        <w:gridCol w:w="4513"/>
      </w:tblGrid>
      <w:tr w:rsidR="00D22636" w:rsidRPr="00B053DF" w:rsidTr="00BB2037">
        <w:tc>
          <w:tcPr>
            <w:tcW w:w="5495" w:type="dxa"/>
            <w:shd w:val="clear" w:color="auto" w:fill="auto"/>
          </w:tcPr>
          <w:p w:rsidR="00D22636" w:rsidRPr="00B053DF" w:rsidRDefault="00D22636" w:rsidP="00B053DF">
            <w:pPr>
              <w:jc w:val="both"/>
              <w:rPr>
                <w:rFonts w:ascii="Book Antiqua" w:hAnsi="Book Antiqua" w:cs="Arial"/>
                <w:b/>
              </w:rPr>
            </w:pPr>
            <w:r w:rsidRPr="00B053DF">
              <w:rPr>
                <w:rFonts w:ascii="Book Antiqua" w:hAnsi="Book Antiqua" w:cs="Arial"/>
                <w:b/>
              </w:rPr>
              <w:t xml:space="preserve">Heard at </w:t>
            </w:r>
            <w:smartTag w:uri="urn:schemas-microsoft-com:office:smarttags" w:element="place">
              <w:r w:rsidR="000965EA" w:rsidRPr="00B053DF">
                <w:rPr>
                  <w:rFonts w:ascii="Book Antiqua" w:hAnsi="Book Antiqua" w:cs="Arial"/>
                  <w:b/>
                </w:rPr>
                <w:t>Bradford</w:t>
              </w:r>
            </w:smartTag>
          </w:p>
        </w:tc>
        <w:tc>
          <w:tcPr>
            <w:tcW w:w="4513" w:type="dxa"/>
            <w:shd w:val="clear" w:color="auto" w:fill="auto"/>
          </w:tcPr>
          <w:p w:rsidR="00D22636" w:rsidRPr="00B053DF" w:rsidRDefault="008508AD" w:rsidP="00B053DF">
            <w:pPr>
              <w:jc w:val="both"/>
              <w:rPr>
                <w:rFonts w:ascii="Book Antiqua" w:hAnsi="Book Antiqua" w:cs="Arial"/>
                <w:b/>
              </w:rPr>
            </w:pPr>
            <w:r w:rsidRPr="00B053DF">
              <w:rPr>
                <w:rFonts w:ascii="Book Antiqua" w:hAnsi="Book Antiqua" w:cs="Arial"/>
                <w:b/>
              </w:rPr>
              <w:t>Decision &amp; Reasons</w:t>
            </w:r>
            <w:r w:rsidR="00283659" w:rsidRPr="00B053DF">
              <w:rPr>
                <w:rFonts w:ascii="Book Antiqua" w:hAnsi="Book Antiqua" w:cs="Arial"/>
                <w:b/>
              </w:rPr>
              <w:t xml:space="preserve"> Promulgated</w:t>
            </w:r>
          </w:p>
        </w:tc>
      </w:tr>
      <w:tr w:rsidR="00D22636" w:rsidRPr="00B053DF" w:rsidTr="00BB2037">
        <w:tc>
          <w:tcPr>
            <w:tcW w:w="5495" w:type="dxa"/>
            <w:shd w:val="clear" w:color="auto" w:fill="auto"/>
          </w:tcPr>
          <w:p w:rsidR="00D22636" w:rsidRPr="00B053DF" w:rsidRDefault="00D22636" w:rsidP="00B053DF">
            <w:pPr>
              <w:jc w:val="both"/>
              <w:rPr>
                <w:rFonts w:ascii="Book Antiqua" w:hAnsi="Book Antiqua" w:cs="Arial"/>
                <w:b/>
              </w:rPr>
            </w:pPr>
            <w:r w:rsidRPr="00B053DF">
              <w:rPr>
                <w:rFonts w:ascii="Book Antiqua" w:hAnsi="Book Antiqua" w:cs="Arial"/>
                <w:b/>
              </w:rPr>
              <w:t xml:space="preserve">On </w:t>
            </w:r>
            <w:r w:rsidR="000965EA" w:rsidRPr="00B053DF">
              <w:rPr>
                <w:rFonts w:ascii="Book Antiqua" w:hAnsi="Book Antiqua" w:cs="Arial"/>
                <w:b/>
              </w:rPr>
              <w:t>23 January 2018</w:t>
            </w:r>
          </w:p>
        </w:tc>
        <w:tc>
          <w:tcPr>
            <w:tcW w:w="4513" w:type="dxa"/>
            <w:shd w:val="clear" w:color="auto" w:fill="auto"/>
          </w:tcPr>
          <w:p w:rsidR="00D22636" w:rsidRPr="00B053DF" w:rsidRDefault="008D2396" w:rsidP="00B053DF">
            <w:pPr>
              <w:jc w:val="both"/>
              <w:rPr>
                <w:rFonts w:ascii="Book Antiqua" w:hAnsi="Book Antiqua" w:cs="Arial"/>
                <w:b/>
              </w:rPr>
            </w:pPr>
            <w:r>
              <w:rPr>
                <w:rFonts w:ascii="Book Antiqua" w:hAnsi="Book Antiqua" w:cs="Arial"/>
                <w:b/>
              </w:rPr>
              <w:t xml:space="preserve">On 7 June 2018 </w:t>
            </w:r>
          </w:p>
        </w:tc>
      </w:tr>
      <w:tr w:rsidR="00D22636" w:rsidRPr="00B053DF" w:rsidTr="00BB2037">
        <w:tc>
          <w:tcPr>
            <w:tcW w:w="5495" w:type="dxa"/>
            <w:shd w:val="clear" w:color="auto" w:fill="auto"/>
          </w:tcPr>
          <w:p w:rsidR="00D22636" w:rsidRPr="00B053DF" w:rsidRDefault="00D22636" w:rsidP="00B053DF">
            <w:pPr>
              <w:jc w:val="both"/>
              <w:rPr>
                <w:rFonts w:ascii="Book Antiqua" w:hAnsi="Book Antiqua" w:cs="Arial"/>
                <w:b/>
              </w:rPr>
            </w:pPr>
          </w:p>
        </w:tc>
        <w:tc>
          <w:tcPr>
            <w:tcW w:w="4513" w:type="dxa"/>
            <w:shd w:val="clear" w:color="auto" w:fill="auto"/>
          </w:tcPr>
          <w:p w:rsidR="00D22636" w:rsidRPr="00B053DF" w:rsidRDefault="00D22636" w:rsidP="00B053DF">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0965EA" w:rsidP="00742A8D">
      <w:pPr>
        <w:jc w:val="center"/>
        <w:rPr>
          <w:rFonts w:ascii="Book Antiqua" w:hAnsi="Book Antiqua" w:cs="Arial"/>
          <w:b/>
          <w:caps/>
        </w:rPr>
      </w:pPr>
      <w:r>
        <w:rPr>
          <w:rFonts w:ascii="Book Antiqua" w:hAnsi="Book Antiqua" w:cs="Arial"/>
          <w:b/>
          <w:caps/>
        </w:rPr>
        <w:t>bijaya kumar rai</w:t>
      </w:r>
    </w:p>
    <w:p w:rsidR="008508AD" w:rsidRPr="00BB2037" w:rsidRDefault="008508AD" w:rsidP="008508AD">
      <w:pPr>
        <w:jc w:val="center"/>
        <w:rPr>
          <w:rFonts w:ascii="Book Antiqua" w:hAnsi="Book Antiqua" w:cs="Arial"/>
          <w:caps/>
        </w:rPr>
      </w:pPr>
      <w:r w:rsidRPr="00BB2037">
        <w:rPr>
          <w:rFonts w:ascii="Book Antiqua" w:hAnsi="Book Antiqua" w:cs="Arial"/>
          <w:caps/>
        </w:rPr>
        <w:t xml:space="preserve">(ANONYMITY DIRECTION </w:t>
      </w:r>
      <w:r w:rsidR="000965EA" w:rsidRPr="00BB2037">
        <w:rPr>
          <w:rFonts w:ascii="Book Antiqua" w:hAnsi="Book Antiqua" w:cs="Arial"/>
          <w:caps/>
        </w:rPr>
        <w:t>not made</w:t>
      </w:r>
      <w:r w:rsidRPr="00BB2037">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0965EA" w:rsidP="00704B61">
      <w:pPr>
        <w:jc w:val="center"/>
        <w:rPr>
          <w:rFonts w:ascii="Book Antiqua" w:hAnsi="Book Antiqua" w:cs="Arial"/>
          <w:b/>
          <w:caps/>
        </w:rPr>
      </w:pPr>
      <w:r>
        <w:rPr>
          <w:rFonts w:ascii="Book Antiqua" w:hAnsi="Book Antiqua" w:cs="Arial"/>
          <w:b/>
          <w:caps/>
        </w:rPr>
        <w:t>entry clearance officer</w:t>
      </w:r>
      <w:r w:rsidR="009635EE">
        <w:rPr>
          <w:rFonts w:ascii="Book Antiqua" w:hAnsi="Book Antiqua" w:cs="Arial"/>
          <w:b/>
          <w:caps/>
        </w:rPr>
        <w:t xml:space="preserve"> – </w:t>
      </w:r>
      <w:smartTag w:uri="urn:schemas-microsoft-com:office:smarttags" w:element="City">
        <w:smartTag w:uri="urn:schemas-microsoft-com:office:smarttags" w:element="place">
          <w:r w:rsidR="009635EE">
            <w:rPr>
              <w:rFonts w:ascii="Book Antiqua" w:hAnsi="Book Antiqua" w:cs="Arial"/>
              <w:b/>
              <w:caps/>
            </w:rPr>
            <w:t>new delhi</w:t>
          </w:r>
        </w:smartTag>
      </w:smartTag>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0965EA">
        <w:rPr>
          <w:rFonts w:ascii="Book Antiqua" w:hAnsi="Book Antiqua" w:cs="Arial"/>
        </w:rPr>
        <w:t>Mr Chaudhry, instructed by N C Brothers &amp; Co Solicitors</w:t>
      </w:r>
    </w:p>
    <w:p w:rsidR="00DE7DB7"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0965EA">
        <w:rPr>
          <w:rFonts w:ascii="Book Antiqua" w:hAnsi="Book Antiqua" w:cs="Arial"/>
        </w:rPr>
        <w:t>Mrs Pettersen, Senior Home Office Presenting Officer</w:t>
      </w:r>
    </w:p>
    <w:p w:rsidR="000965EA" w:rsidRPr="00F5664C" w:rsidRDefault="000965EA" w:rsidP="00DE7DB7">
      <w:pPr>
        <w:tabs>
          <w:tab w:val="left" w:pos="2520"/>
        </w:tabs>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0965EA" w:rsidRPr="004D1848" w:rsidRDefault="000965EA" w:rsidP="00BB2037">
      <w:pPr>
        <w:numPr>
          <w:ilvl w:val="0"/>
          <w:numId w:val="3"/>
        </w:numPr>
        <w:spacing w:before="240"/>
        <w:jc w:val="both"/>
        <w:rPr>
          <w:rFonts w:ascii="Book Antiqua" w:hAnsi="Book Antiqua" w:cs="Arial"/>
          <w:sz w:val="22"/>
          <w:szCs w:val="22"/>
        </w:rPr>
      </w:pPr>
      <w:r w:rsidRPr="004D1848">
        <w:rPr>
          <w:rFonts w:ascii="Book Antiqua" w:hAnsi="Book Antiqua" w:cs="Arial"/>
        </w:rPr>
        <w:t xml:space="preserve">By a decision promulgated on 2 November 2017, I found that the First-tier Tribunal had erred in law such that its decision fell to be set aside.  </w:t>
      </w:r>
    </w:p>
    <w:p w:rsidR="000965EA" w:rsidRDefault="000965EA" w:rsidP="000F76DE">
      <w:pPr>
        <w:numPr>
          <w:ilvl w:val="0"/>
          <w:numId w:val="3"/>
        </w:numPr>
        <w:spacing w:before="240"/>
        <w:jc w:val="both"/>
        <w:rPr>
          <w:rFonts w:ascii="Book Antiqua" w:hAnsi="Book Antiqua" w:cs="Arial"/>
        </w:rPr>
      </w:pPr>
      <w:r>
        <w:rPr>
          <w:rFonts w:ascii="Book Antiqua" w:hAnsi="Book Antiqua" w:cs="Arial"/>
        </w:rPr>
        <w:t xml:space="preserve">Further evidence had been adduced for the resumed hearing </w:t>
      </w:r>
      <w:r w:rsidR="004D1848">
        <w:rPr>
          <w:rFonts w:ascii="Book Antiqua" w:hAnsi="Book Antiqua" w:cs="Arial"/>
        </w:rPr>
        <w:t xml:space="preserve">which took place </w:t>
      </w:r>
      <w:r>
        <w:rPr>
          <w:rFonts w:ascii="Book Antiqua" w:hAnsi="Book Antiqua" w:cs="Arial"/>
        </w:rPr>
        <w:t xml:space="preserve">at Bradford on 23 January 2018.  That evidence addresses the apparent hiatus in the provision of financial support of the appellant by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sponsor which had concerned Judge Watson in the First-tier Tribunal.  In the light of the new evidence, Mrs Pettersen, who appeared for the Secretary of State made no further submissions.</w:t>
      </w:r>
    </w:p>
    <w:p w:rsidR="000965EA" w:rsidRDefault="000965EA" w:rsidP="000F76DE">
      <w:pPr>
        <w:numPr>
          <w:ilvl w:val="0"/>
          <w:numId w:val="3"/>
        </w:numPr>
        <w:spacing w:before="240"/>
        <w:jc w:val="both"/>
        <w:rPr>
          <w:rFonts w:ascii="Book Antiqua" w:hAnsi="Book Antiqua" w:cs="Arial"/>
        </w:rPr>
      </w:pPr>
      <w:r>
        <w:rPr>
          <w:rFonts w:ascii="Book Antiqua" w:hAnsi="Book Antiqua" w:cs="Arial"/>
        </w:rPr>
        <w:lastRenderedPageBreak/>
        <w:t>I reserved my decision.</w:t>
      </w:r>
      <w:bookmarkStart w:id="0" w:name="_GoBack"/>
      <w:bookmarkEnd w:id="0"/>
    </w:p>
    <w:p w:rsidR="000965EA" w:rsidRPr="000965EA" w:rsidRDefault="000965EA" w:rsidP="000F76DE">
      <w:pPr>
        <w:numPr>
          <w:ilvl w:val="0"/>
          <w:numId w:val="3"/>
        </w:numPr>
        <w:spacing w:before="240"/>
        <w:jc w:val="both"/>
        <w:rPr>
          <w:rFonts w:ascii="Book Antiqua" w:hAnsi="Book Antiqua" w:cs="Arial"/>
          <w:b/>
          <w:u w:val="single"/>
        </w:rPr>
      </w:pPr>
      <w:r>
        <w:rPr>
          <w:rFonts w:ascii="Book Antiqua" w:hAnsi="Book Antiqua" w:cs="Arial"/>
        </w:rPr>
        <w:t xml:space="preserve">As I noted in my error of law decision, it is necessary for the Tribunal to </w:t>
      </w:r>
      <w:proofErr w:type="gramStart"/>
      <w:r>
        <w:rPr>
          <w:rFonts w:ascii="Book Antiqua" w:hAnsi="Book Antiqua" w:cs="Arial"/>
        </w:rPr>
        <w:t>take into account</w:t>
      </w:r>
      <w:proofErr w:type="gramEnd"/>
      <w:r>
        <w:rPr>
          <w:rFonts w:ascii="Book Antiqua" w:hAnsi="Book Antiqua" w:cs="Arial"/>
        </w:rPr>
        <w:t xml:space="preserve"> case law which follows on from </w:t>
      </w:r>
      <w:r w:rsidRPr="009635EE">
        <w:rPr>
          <w:rFonts w:ascii="Book Antiqua" w:hAnsi="Book Antiqua" w:cs="Arial"/>
          <w:i/>
        </w:rPr>
        <w:t>Kugathas</w:t>
      </w:r>
      <w:r>
        <w:rPr>
          <w:rFonts w:ascii="Book Antiqua" w:hAnsi="Book Antiqua" w:cs="Arial"/>
        </w:rPr>
        <w:t xml:space="preserve">, in particular </w:t>
      </w:r>
      <w:r w:rsidRPr="009635EE">
        <w:rPr>
          <w:rFonts w:ascii="Book Antiqua" w:hAnsi="Book Antiqua" w:cs="Arial"/>
          <w:i/>
        </w:rPr>
        <w:t>Ghising</w:t>
      </w:r>
      <w:r>
        <w:rPr>
          <w:rFonts w:ascii="Book Antiqua" w:hAnsi="Book Antiqua" w:cs="Arial"/>
        </w:rPr>
        <w:t xml:space="preserve"> and </w:t>
      </w:r>
      <w:r w:rsidRPr="009635EE">
        <w:rPr>
          <w:rFonts w:ascii="Book Antiqua" w:hAnsi="Book Antiqua" w:cs="Arial"/>
          <w:i/>
        </w:rPr>
        <w:t>Gurung</w:t>
      </w:r>
      <w:r>
        <w:rPr>
          <w:rFonts w:ascii="Book Antiqua" w:hAnsi="Book Antiqua" w:cs="Arial"/>
        </w:rPr>
        <w:t xml:space="preserve"> (see error of law decision).  Having regard to those authorities and to the evidence now before me and having regard also to the fact that Mrs Pettersen accepted the evidence which has been adduced in the most recent bundle of documents by the appellant, I find that the Upper Tribunal should remake the decision by allowing the appeal on Article 8 ECHR grounds.  I am satisfied that the extent and duration of dependency (including financial dependency) </w:t>
      </w:r>
      <w:r w:rsidR="004D1848">
        <w:rPr>
          <w:rFonts w:ascii="Book Antiqua" w:hAnsi="Book Antiqua" w:cs="Arial"/>
        </w:rPr>
        <w:t>of the appellant on</w:t>
      </w:r>
      <w:r>
        <w:rPr>
          <w:rFonts w:ascii="Book Antiqua" w:hAnsi="Book Antiqua" w:cs="Arial"/>
        </w:rPr>
        <w:t xml:space="preserve"> the </w:t>
      </w:r>
      <w:r w:rsidRPr="000965EA">
        <w:rPr>
          <w:rFonts w:ascii="Book Antiqua" w:hAnsi="Book Antiqua" w:cs="Arial"/>
        </w:rPr>
        <w:t>United Kingdom</w:t>
      </w:r>
      <w:r>
        <w:rPr>
          <w:rFonts w:ascii="Book Antiqua" w:hAnsi="Book Antiqua" w:cs="Arial"/>
        </w:rPr>
        <w:t xml:space="preserve"> sponsor </w:t>
      </w:r>
      <w:r w:rsidR="004D1848">
        <w:rPr>
          <w:rFonts w:ascii="Book Antiqua" w:hAnsi="Book Antiqua" w:cs="Arial"/>
        </w:rPr>
        <w:t xml:space="preserve">considered together with </w:t>
      </w:r>
      <w:r>
        <w:rPr>
          <w:rFonts w:ascii="Book Antiqua" w:hAnsi="Book Antiqua" w:cs="Arial"/>
        </w:rPr>
        <w:t xml:space="preserve">the remaining evidence </w:t>
      </w:r>
      <w:r w:rsidR="004D1848">
        <w:rPr>
          <w:rFonts w:ascii="Book Antiqua" w:hAnsi="Book Antiqua" w:cs="Arial"/>
        </w:rPr>
        <w:t>indicating</w:t>
      </w:r>
      <w:r>
        <w:rPr>
          <w:rFonts w:ascii="Book Antiqua" w:hAnsi="Book Antiqua" w:cs="Arial"/>
        </w:rPr>
        <w:t xml:space="preserve"> the existence of family life which has suffered interference </w:t>
      </w:r>
      <w:r w:rsidR="004D1848">
        <w:rPr>
          <w:rFonts w:ascii="Book Antiqua" w:hAnsi="Book Antiqua" w:cs="Arial"/>
        </w:rPr>
        <w:t>because</w:t>
      </w:r>
      <w:r>
        <w:rPr>
          <w:rFonts w:ascii="Book Antiqua" w:hAnsi="Book Antiqua" w:cs="Arial"/>
        </w:rPr>
        <w:t xml:space="preserve"> the United Kingdom sponsor has travelled to this country without the appellant (see </w:t>
      </w:r>
      <w:r w:rsidRPr="009635EE">
        <w:rPr>
          <w:rFonts w:ascii="Book Antiqua" w:hAnsi="Book Antiqua" w:cs="Arial"/>
          <w:i/>
        </w:rPr>
        <w:t>UG (Nepal)</w:t>
      </w:r>
      <w:r w:rsidR="004D1848">
        <w:rPr>
          <w:rFonts w:ascii="Book Antiqua" w:hAnsi="Book Antiqua" w:cs="Arial"/>
        </w:rPr>
        <w:t xml:space="preserve"> [2012] EWCA </w:t>
      </w:r>
      <w:proofErr w:type="spellStart"/>
      <w:r w:rsidR="004D1848">
        <w:rPr>
          <w:rFonts w:ascii="Book Antiqua" w:hAnsi="Book Antiqua" w:cs="Arial"/>
        </w:rPr>
        <w:t>Civ</w:t>
      </w:r>
      <w:proofErr w:type="spellEnd"/>
      <w:r w:rsidR="004D1848">
        <w:rPr>
          <w:rFonts w:ascii="Book Antiqua" w:hAnsi="Book Antiqua" w:cs="Arial"/>
        </w:rPr>
        <w:t xml:space="preserve"> 58) leads me to</w:t>
      </w:r>
      <w:r>
        <w:rPr>
          <w:rFonts w:ascii="Book Antiqua" w:hAnsi="Book Antiqua" w:cs="Arial"/>
        </w:rPr>
        <w:t xml:space="preserve"> </w:t>
      </w:r>
      <w:r w:rsidR="004D1848">
        <w:rPr>
          <w:rFonts w:ascii="Book Antiqua" w:hAnsi="Book Antiqua" w:cs="Arial"/>
        </w:rPr>
        <w:t xml:space="preserve">conclude that the ECO’s decision constitutes </w:t>
      </w:r>
      <w:r>
        <w:rPr>
          <w:rFonts w:ascii="Book Antiqua" w:hAnsi="Book Antiqua" w:cs="Arial"/>
        </w:rPr>
        <w:t xml:space="preserve">a disproportionate breach of the appellant’s </w:t>
      </w:r>
      <w:r w:rsidR="004D1848">
        <w:rPr>
          <w:rFonts w:ascii="Book Antiqua" w:hAnsi="Book Antiqua" w:cs="Arial"/>
        </w:rPr>
        <w:t xml:space="preserve">right to a </w:t>
      </w:r>
      <w:r>
        <w:rPr>
          <w:rFonts w:ascii="Book Antiqua" w:hAnsi="Book Antiqua" w:cs="Arial"/>
        </w:rPr>
        <w:t>family and pr</w:t>
      </w:r>
      <w:r w:rsidR="004D1848">
        <w:rPr>
          <w:rFonts w:ascii="Book Antiqua" w:hAnsi="Book Antiqua" w:cs="Arial"/>
        </w:rPr>
        <w:t xml:space="preserve">ivate life. I </w:t>
      </w:r>
      <w:r>
        <w:rPr>
          <w:rFonts w:ascii="Book Antiqua" w:hAnsi="Book Antiqua" w:cs="Arial"/>
        </w:rPr>
        <w:t>allow the appeal accordingly.</w:t>
      </w:r>
    </w:p>
    <w:p w:rsidR="000965EA" w:rsidRPr="000965EA" w:rsidRDefault="008508AD" w:rsidP="009635EE">
      <w:pPr>
        <w:spacing w:before="240"/>
        <w:jc w:val="both"/>
        <w:rPr>
          <w:rFonts w:ascii="Book Antiqua" w:hAnsi="Book Antiqua" w:cs="Arial"/>
        </w:rPr>
      </w:pPr>
      <w:r w:rsidRPr="008508AD">
        <w:rPr>
          <w:rFonts w:ascii="Book Antiqua" w:hAnsi="Book Antiqua" w:cs="Arial"/>
          <w:b/>
          <w:u w:val="single"/>
        </w:rPr>
        <w:t>Notice of Decision</w:t>
      </w:r>
    </w:p>
    <w:p w:rsidR="009635EE" w:rsidRDefault="008508AD" w:rsidP="009635EE">
      <w:pPr>
        <w:numPr>
          <w:ilvl w:val="0"/>
          <w:numId w:val="3"/>
        </w:numPr>
        <w:spacing w:before="240"/>
        <w:jc w:val="both"/>
        <w:rPr>
          <w:rFonts w:ascii="Book Antiqua" w:hAnsi="Book Antiqua" w:cs="Arial"/>
        </w:rPr>
      </w:pPr>
      <w:r w:rsidRPr="008508AD">
        <w:rPr>
          <w:rFonts w:ascii="Book Antiqua" w:hAnsi="Book Antiqua" w:cs="Arial"/>
        </w:rPr>
        <w:t>The appeal</w:t>
      </w:r>
      <w:r w:rsidR="000965EA">
        <w:rPr>
          <w:rFonts w:ascii="Book Antiqua" w:hAnsi="Book Antiqua" w:cs="Arial"/>
        </w:rPr>
        <w:t xml:space="preserve"> of the appellant against the </w:t>
      </w:r>
      <w:r w:rsidR="000965EA" w:rsidRPr="000965EA">
        <w:rPr>
          <w:rFonts w:ascii="Book Antiqua" w:hAnsi="Book Antiqua" w:cs="Arial"/>
        </w:rPr>
        <w:t>Entry Clearance Officer</w:t>
      </w:r>
      <w:r w:rsidR="000965EA">
        <w:rPr>
          <w:rFonts w:ascii="Book Antiqua" w:hAnsi="Book Antiqua" w:cs="Arial"/>
        </w:rPr>
        <w:t>’s decision dated 6 July 2015 is allowed on human rights grounds (Article 8 ECHR)</w:t>
      </w:r>
      <w:r w:rsidR="009635EE">
        <w:rPr>
          <w:rFonts w:ascii="Book Antiqua" w:hAnsi="Book Antiqua" w:cs="Arial"/>
        </w:rPr>
        <w:t>.</w:t>
      </w:r>
    </w:p>
    <w:p w:rsidR="008508AD" w:rsidRPr="008508AD" w:rsidRDefault="008508AD" w:rsidP="009635EE">
      <w:pPr>
        <w:numPr>
          <w:ilvl w:val="0"/>
          <w:numId w:val="3"/>
        </w:numPr>
        <w:spacing w:before="240"/>
        <w:jc w:val="both"/>
        <w:rPr>
          <w:rFonts w:ascii="Book Antiqua" w:hAnsi="Book Antiqua" w:cs="Arial"/>
        </w:rPr>
      </w:pPr>
      <w:r w:rsidRPr="008508AD">
        <w:rPr>
          <w:rFonts w:ascii="Book Antiqua" w:hAnsi="Book Antiqua" w:cs="Arial"/>
        </w:rPr>
        <w:t>No anonymity direction is made.</w:t>
      </w:r>
    </w:p>
    <w:p w:rsidR="008508AD" w:rsidRPr="008508AD" w:rsidRDefault="008508AD" w:rsidP="008508AD">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4D1848">
        <w:rPr>
          <w:rFonts w:ascii="Book Antiqua" w:hAnsi="Book Antiqua" w:cs="Arial"/>
        </w:rPr>
        <w:t>20 APRIL 2018</w:t>
      </w:r>
    </w:p>
    <w:p w:rsidR="00F60D99" w:rsidRPr="00F5664C" w:rsidRDefault="00F60D99"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BB2037">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3DF" w:rsidRDefault="00B053DF">
      <w:r>
        <w:separator/>
      </w:r>
    </w:p>
  </w:endnote>
  <w:endnote w:type="continuationSeparator" w:id="0">
    <w:p w:rsidR="00B053DF" w:rsidRDefault="00B0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4C3026" w:rsidRDefault="00ED338F" w:rsidP="00593795">
    <w:pPr>
      <w:pStyle w:val="Footer"/>
      <w:jc w:val="center"/>
      <w:rPr>
        <w:rFonts w:ascii="Book Antiqua" w:hAnsi="Book Antiqua" w:cs="Arial"/>
      </w:rPr>
    </w:pPr>
    <w:r w:rsidRPr="004C3026">
      <w:rPr>
        <w:rStyle w:val="PageNumber"/>
        <w:rFonts w:ascii="Book Antiqua" w:hAnsi="Book Antiqua" w:cs="Arial"/>
      </w:rPr>
      <w:fldChar w:fldCharType="begin"/>
    </w:r>
    <w:r w:rsidRPr="004C3026">
      <w:rPr>
        <w:rStyle w:val="PageNumber"/>
        <w:rFonts w:ascii="Book Antiqua" w:hAnsi="Book Antiqua" w:cs="Arial"/>
      </w:rPr>
      <w:instrText xml:space="preserve"> PAGE </w:instrText>
    </w:r>
    <w:r w:rsidRPr="004C3026">
      <w:rPr>
        <w:rStyle w:val="PageNumber"/>
        <w:rFonts w:ascii="Book Antiqua" w:hAnsi="Book Antiqua" w:cs="Arial"/>
      </w:rPr>
      <w:fldChar w:fldCharType="separate"/>
    </w:r>
    <w:r w:rsidR="009601D6">
      <w:rPr>
        <w:rStyle w:val="PageNumber"/>
        <w:rFonts w:ascii="Book Antiqua" w:hAnsi="Book Antiqua" w:cs="Arial"/>
        <w:noProof/>
      </w:rPr>
      <w:t>2</w:t>
    </w:r>
    <w:r w:rsidRPr="004C3026">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3DF" w:rsidRDefault="00B053DF">
      <w:r>
        <w:separator/>
      </w:r>
    </w:p>
  </w:footnote>
  <w:footnote w:type="continuationSeparator" w:id="0">
    <w:p w:rsidR="00B053DF" w:rsidRDefault="00B05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9635EE">
      <w:rPr>
        <w:rFonts w:ascii="Book Antiqua" w:hAnsi="Book Antiqua" w:cs="Arial"/>
        <w:sz w:val="16"/>
        <w:szCs w:val="16"/>
      </w:rPr>
      <w:t xml:space="preserve"> HU/02824/2015</w:t>
    </w:r>
    <w:r w:rsidRPr="00F5664C">
      <w:rPr>
        <w:rFonts w:ascii="Book Antiqua" w:hAnsi="Book Antiqua" w:cs="Arial"/>
        <w:sz w:val="16"/>
        <w:szCs w:val="16"/>
      </w:rPr>
      <w:t xml:space="preserve"> </w:t>
    </w:r>
  </w:p>
  <w:p w:rsidR="004C3026" w:rsidRPr="00F5664C" w:rsidRDefault="004C3026"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B40218E"/>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05E6"/>
    <w:rsid w:val="00000621"/>
    <w:rsid w:val="00001A2D"/>
    <w:rsid w:val="000036C2"/>
    <w:rsid w:val="000141A2"/>
    <w:rsid w:val="000168E1"/>
    <w:rsid w:val="00027641"/>
    <w:rsid w:val="00033D3D"/>
    <w:rsid w:val="000369F5"/>
    <w:rsid w:val="00060ED5"/>
    <w:rsid w:val="00071602"/>
    <w:rsid w:val="00071A7E"/>
    <w:rsid w:val="000746C0"/>
    <w:rsid w:val="00074D1D"/>
    <w:rsid w:val="00092580"/>
    <w:rsid w:val="000965EA"/>
    <w:rsid w:val="000D5D94"/>
    <w:rsid w:val="000E0923"/>
    <w:rsid w:val="000F76DE"/>
    <w:rsid w:val="001165A7"/>
    <w:rsid w:val="00130ABD"/>
    <w:rsid w:val="00151BB7"/>
    <w:rsid w:val="00155BA9"/>
    <w:rsid w:val="0016457F"/>
    <w:rsid w:val="00167D3A"/>
    <w:rsid w:val="001723AE"/>
    <w:rsid w:val="00183D32"/>
    <w:rsid w:val="001A1E2C"/>
    <w:rsid w:val="001F2716"/>
    <w:rsid w:val="0020133A"/>
    <w:rsid w:val="00207617"/>
    <w:rsid w:val="00264A24"/>
    <w:rsid w:val="00275F0C"/>
    <w:rsid w:val="00283659"/>
    <w:rsid w:val="002C4E73"/>
    <w:rsid w:val="002D68BF"/>
    <w:rsid w:val="002E0CA8"/>
    <w:rsid w:val="00336CBF"/>
    <w:rsid w:val="003546C8"/>
    <w:rsid w:val="003763A9"/>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7193"/>
    <w:rsid w:val="004A1848"/>
    <w:rsid w:val="004A1F1B"/>
    <w:rsid w:val="004C3026"/>
    <w:rsid w:val="004D1848"/>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65791C"/>
    <w:rsid w:val="00666416"/>
    <w:rsid w:val="00690B8A"/>
    <w:rsid w:val="00693AEE"/>
    <w:rsid w:val="006D1DFA"/>
    <w:rsid w:val="006D506B"/>
    <w:rsid w:val="006E3C90"/>
    <w:rsid w:val="006E57E2"/>
    <w:rsid w:val="006F7C89"/>
    <w:rsid w:val="00704B61"/>
    <w:rsid w:val="00741598"/>
    <w:rsid w:val="00742A8D"/>
    <w:rsid w:val="007552A9"/>
    <w:rsid w:val="00761858"/>
    <w:rsid w:val="00767D59"/>
    <w:rsid w:val="00776E97"/>
    <w:rsid w:val="00780FD7"/>
    <w:rsid w:val="007912AD"/>
    <w:rsid w:val="007A1F28"/>
    <w:rsid w:val="007A393E"/>
    <w:rsid w:val="007A6132"/>
    <w:rsid w:val="007B0824"/>
    <w:rsid w:val="007E01DA"/>
    <w:rsid w:val="008116D9"/>
    <w:rsid w:val="008303B8"/>
    <w:rsid w:val="00833DCE"/>
    <w:rsid w:val="00842418"/>
    <w:rsid w:val="008508AD"/>
    <w:rsid w:val="008639DC"/>
    <w:rsid w:val="00871D34"/>
    <w:rsid w:val="00872944"/>
    <w:rsid w:val="00877022"/>
    <w:rsid w:val="00897D75"/>
    <w:rsid w:val="008B270C"/>
    <w:rsid w:val="008C3D3D"/>
    <w:rsid w:val="008D2396"/>
    <w:rsid w:val="008D4131"/>
    <w:rsid w:val="008E29BA"/>
    <w:rsid w:val="008F1932"/>
    <w:rsid w:val="008F294D"/>
    <w:rsid w:val="00903777"/>
    <w:rsid w:val="00921062"/>
    <w:rsid w:val="0093083E"/>
    <w:rsid w:val="00931958"/>
    <w:rsid w:val="00940FE3"/>
    <w:rsid w:val="009601D6"/>
    <w:rsid w:val="009635EE"/>
    <w:rsid w:val="00966ECF"/>
    <w:rsid w:val="009710ED"/>
    <w:rsid w:val="009727A3"/>
    <w:rsid w:val="00987774"/>
    <w:rsid w:val="009A0FDC"/>
    <w:rsid w:val="009A11E8"/>
    <w:rsid w:val="009E4E62"/>
    <w:rsid w:val="009F5220"/>
    <w:rsid w:val="009F7C4D"/>
    <w:rsid w:val="00A15234"/>
    <w:rsid w:val="00A15560"/>
    <w:rsid w:val="00A16AE1"/>
    <w:rsid w:val="00A201AB"/>
    <w:rsid w:val="00A31C8B"/>
    <w:rsid w:val="00A845DC"/>
    <w:rsid w:val="00A97AEE"/>
    <w:rsid w:val="00AC5CF6"/>
    <w:rsid w:val="00B00CC0"/>
    <w:rsid w:val="00B053DF"/>
    <w:rsid w:val="00B106DA"/>
    <w:rsid w:val="00B144FA"/>
    <w:rsid w:val="00B16F58"/>
    <w:rsid w:val="00B30648"/>
    <w:rsid w:val="00B3524D"/>
    <w:rsid w:val="00B40F69"/>
    <w:rsid w:val="00B46616"/>
    <w:rsid w:val="00B5006F"/>
    <w:rsid w:val="00B54950"/>
    <w:rsid w:val="00B610E3"/>
    <w:rsid w:val="00B61205"/>
    <w:rsid w:val="00B617C4"/>
    <w:rsid w:val="00B626FA"/>
    <w:rsid w:val="00B7040A"/>
    <w:rsid w:val="00B96FA0"/>
    <w:rsid w:val="00BA1D45"/>
    <w:rsid w:val="00BB2037"/>
    <w:rsid w:val="00BD4196"/>
    <w:rsid w:val="00BF22CA"/>
    <w:rsid w:val="00C26032"/>
    <w:rsid w:val="00C265B0"/>
    <w:rsid w:val="00C321B5"/>
    <w:rsid w:val="00C345E1"/>
    <w:rsid w:val="00C977BA"/>
    <w:rsid w:val="00CB6E35"/>
    <w:rsid w:val="00CC05E6"/>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B70AE"/>
    <w:rsid w:val="00DB7231"/>
    <w:rsid w:val="00DD5071"/>
    <w:rsid w:val="00DD5C39"/>
    <w:rsid w:val="00DE26AF"/>
    <w:rsid w:val="00DE7DB7"/>
    <w:rsid w:val="00E00A0A"/>
    <w:rsid w:val="00E07F57"/>
    <w:rsid w:val="00E50BCE"/>
    <w:rsid w:val="00E55A6F"/>
    <w:rsid w:val="00E61292"/>
    <w:rsid w:val="00E76309"/>
    <w:rsid w:val="00E77C4D"/>
    <w:rsid w:val="00E81D01"/>
    <w:rsid w:val="00EB1147"/>
    <w:rsid w:val="00EC1F8A"/>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hapeDefaults>
    <o:shapedefaults v:ext="edit" spidmax="5121"/>
    <o:shapelayout v:ext="edit">
      <o:idmap v:ext="edit" data="1"/>
    </o:shapelayout>
  </w:shapeDefaults>
  <w:decimalSymbol w:val="."/>
  <w:listSeparator w:val=","/>
  <w14:docId w14:val="12B605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2018-07-02T11:38:00Z</dcterms:created>
  <dcterms:modified xsi:type="dcterms:W3CDTF">2018-07-02T11:38:00Z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