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27705" w:rsidRDefault="00285DCB" w:rsidP="00C321B5">
      <w:pPr>
        <w:jc w:val="center"/>
        <w:rPr>
          <w:rFonts w:ascii="Book Antiqua" w:hAnsi="Book Antiqua" w:cs="Arial"/>
          <w:sz w:val="16"/>
          <w:szCs w:val="16"/>
        </w:rPr>
      </w:pPr>
      <w:r w:rsidRPr="00227705">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227705" w:rsidRPr="00227705" w:rsidRDefault="00227705"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B631AF" w:rsidRPr="00736900" w:rsidRDefault="00C321B5" w:rsidP="00736900">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bookmarkStart w:id="0" w:name="_GoBack"/>
      <w:r w:rsidR="00274A62">
        <w:rPr>
          <w:rFonts w:ascii="Book Antiqua" w:hAnsi="Book Antiqua" w:cs="Arial"/>
          <w:b/>
          <w:caps/>
        </w:rPr>
        <w:t>HU</w:t>
      </w:r>
      <w:r w:rsidR="001B67F3" w:rsidRPr="00490CFA">
        <w:rPr>
          <w:rFonts w:ascii="Book Antiqua" w:hAnsi="Book Antiqua" w:cs="Arial"/>
          <w:b/>
          <w:caps/>
        </w:rPr>
        <w:t>/</w:t>
      </w:r>
      <w:r w:rsidR="00F96435">
        <w:rPr>
          <w:rFonts w:ascii="Book Antiqua" w:hAnsi="Book Antiqua" w:cs="Arial"/>
          <w:b/>
          <w:caps/>
        </w:rPr>
        <w:t>03183</w:t>
      </w:r>
      <w:r w:rsidR="00FB050B" w:rsidRPr="00490CFA">
        <w:rPr>
          <w:rFonts w:ascii="Book Antiqua" w:hAnsi="Book Antiqua" w:cs="Arial"/>
          <w:b/>
          <w:caps/>
        </w:rPr>
        <w:t>/</w:t>
      </w:r>
      <w:r w:rsidR="0035753A">
        <w:rPr>
          <w:rFonts w:ascii="Book Antiqua" w:hAnsi="Book Antiqua" w:cs="Arial"/>
          <w:b/>
          <w:caps/>
        </w:rPr>
        <w:t>201</w:t>
      </w:r>
      <w:r w:rsidR="00F96435">
        <w:rPr>
          <w:rFonts w:ascii="Book Antiqua" w:hAnsi="Book Antiqua" w:cs="Arial"/>
          <w:b/>
          <w:caps/>
        </w:rPr>
        <w:t>7</w:t>
      </w:r>
      <w:bookmarkEnd w:id="0"/>
    </w:p>
    <w:p w:rsidR="00C345E1" w:rsidRPr="00F5664C" w:rsidRDefault="00C345E1" w:rsidP="00C345E1">
      <w:pPr>
        <w:jc w:val="center"/>
        <w:rPr>
          <w:rFonts w:ascii="Book Antiqua" w:hAnsi="Book Antiqua" w:cs="Arial"/>
        </w:rPr>
      </w:pPr>
    </w:p>
    <w:p w:rsidR="00227705" w:rsidRDefault="00227705"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4"/>
        <w:gridCol w:w="508"/>
        <w:gridCol w:w="3886"/>
      </w:tblGrid>
      <w:tr w:rsidR="00D22636" w:rsidRPr="00337EBB" w:rsidTr="00285DCB">
        <w:tc>
          <w:tcPr>
            <w:tcW w:w="535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010E2">
              <w:rPr>
                <w:rFonts w:ascii="Book Antiqua" w:hAnsi="Book Antiqua" w:cs="Arial"/>
                <w:b/>
              </w:rPr>
              <w:t>Manchester</w:t>
            </w:r>
            <w:r w:rsidR="001B67F3" w:rsidRPr="00337EBB">
              <w:rPr>
                <w:rFonts w:ascii="Book Antiqua" w:hAnsi="Book Antiqua" w:cs="Arial"/>
                <w:b/>
              </w:rPr>
              <w:t xml:space="preserve"> </w:t>
            </w:r>
          </w:p>
        </w:tc>
        <w:tc>
          <w:tcPr>
            <w:tcW w:w="4475"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285DCB">
        <w:tc>
          <w:tcPr>
            <w:tcW w:w="535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274A62">
              <w:rPr>
                <w:rFonts w:ascii="Book Antiqua" w:hAnsi="Book Antiqua" w:cs="Arial"/>
                <w:b/>
              </w:rPr>
              <w:t xml:space="preserve">May </w:t>
            </w:r>
            <w:r w:rsidR="00F96435">
              <w:rPr>
                <w:rFonts w:ascii="Book Antiqua" w:hAnsi="Book Antiqua" w:cs="Arial"/>
                <w:b/>
              </w:rPr>
              <w:t>18</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475" w:type="dxa"/>
            <w:gridSpan w:val="2"/>
            <w:shd w:val="clear" w:color="auto" w:fill="auto"/>
          </w:tcPr>
          <w:p w:rsidR="00D22636" w:rsidRPr="00337EBB" w:rsidRDefault="00285DCB" w:rsidP="00337EBB">
            <w:pPr>
              <w:jc w:val="both"/>
              <w:rPr>
                <w:rFonts w:ascii="Book Antiqua" w:hAnsi="Book Antiqua" w:cs="Arial"/>
                <w:b/>
              </w:rPr>
            </w:pPr>
            <w:r>
              <w:rPr>
                <w:rFonts w:ascii="Book Antiqua" w:hAnsi="Book Antiqua" w:cs="Arial"/>
                <w:b/>
              </w:rPr>
              <w:t xml:space="preserve">On May 23, 2018 </w:t>
            </w:r>
          </w:p>
        </w:tc>
      </w:tr>
      <w:tr w:rsidR="00285DCB" w:rsidRPr="00337EBB" w:rsidTr="00337EBB">
        <w:trPr>
          <w:gridAfter w:val="1"/>
          <w:wAfter w:w="3960" w:type="dxa"/>
        </w:trPr>
        <w:tc>
          <w:tcPr>
            <w:tcW w:w="5868" w:type="dxa"/>
            <w:gridSpan w:val="2"/>
            <w:shd w:val="clear" w:color="auto" w:fill="auto"/>
          </w:tcPr>
          <w:p w:rsidR="00285DCB" w:rsidRPr="00337EBB" w:rsidRDefault="00285DCB"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227705" w:rsidRDefault="00227705"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B631AF" w:rsidRDefault="001B0477" w:rsidP="00A15234">
      <w:pPr>
        <w:jc w:val="center"/>
        <w:rPr>
          <w:rFonts w:ascii="Book Antiqua" w:hAnsi="Book Antiqua" w:cs="Arial"/>
          <w:b/>
        </w:rPr>
      </w:pPr>
      <w:r>
        <w:rPr>
          <w:rFonts w:ascii="Book Antiqua" w:hAnsi="Book Antiqua" w:cs="Arial"/>
          <w:b/>
        </w:rPr>
        <w:t>[</w:t>
      </w:r>
      <w:r w:rsidR="00F96435">
        <w:rPr>
          <w:rFonts w:ascii="Book Antiqua" w:hAnsi="Book Antiqua" w:cs="Arial"/>
          <w:b/>
        </w:rPr>
        <w:t>F</w:t>
      </w:r>
      <w:r>
        <w:rPr>
          <w:rFonts w:ascii="Book Antiqua" w:hAnsi="Book Antiqua" w:cs="Arial"/>
          <w:b/>
        </w:rPr>
        <w:t xml:space="preserve"> </w:t>
      </w:r>
      <w:r w:rsidR="00F96435">
        <w:rPr>
          <w:rFonts w:ascii="Book Antiqua" w:hAnsi="Book Antiqua" w:cs="Arial"/>
          <w:b/>
        </w:rPr>
        <w:t>E</w:t>
      </w:r>
      <w:r>
        <w:rPr>
          <w:rFonts w:ascii="Book Antiqua" w:hAnsi="Book Antiqua" w:cs="Arial"/>
          <w:b/>
        </w:rPr>
        <w:t>]</w:t>
      </w:r>
    </w:p>
    <w:p w:rsidR="00B631AF" w:rsidRPr="001B0477" w:rsidRDefault="00B631AF" w:rsidP="00A15234">
      <w:pPr>
        <w:jc w:val="center"/>
        <w:rPr>
          <w:rFonts w:ascii="Book Antiqua" w:hAnsi="Book Antiqua" w:cs="Arial"/>
          <w:b/>
          <w:strike/>
          <w:sz w:val="22"/>
        </w:rPr>
      </w:pPr>
      <w:r w:rsidRPr="001B0477">
        <w:rPr>
          <w:rFonts w:ascii="Book Antiqua" w:hAnsi="Book Antiqua" w:cs="Arial"/>
          <w:b/>
          <w:strike/>
          <w:sz w:val="22"/>
        </w:rPr>
        <w:t>(</w:t>
      </w:r>
      <w:r w:rsidR="00274A62" w:rsidRPr="001B0477">
        <w:rPr>
          <w:rFonts w:ascii="Book Antiqua" w:hAnsi="Book Antiqua" w:cs="Arial"/>
          <w:b/>
          <w:strike/>
          <w:sz w:val="22"/>
        </w:rPr>
        <w:t xml:space="preserve">NO </w:t>
      </w:r>
      <w:r w:rsidRPr="001B0477">
        <w:rPr>
          <w:rFonts w:ascii="Book Antiqua" w:hAnsi="Book Antiqua" w:cs="Arial"/>
          <w:b/>
          <w:strike/>
          <w:sz w:val="22"/>
        </w:rPr>
        <w:t>ANONYMITY DIRECTION MADE)</w:t>
      </w: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F4BA6" w:rsidRPr="00F5664C" w:rsidRDefault="00B631AF" w:rsidP="00FF4BA6">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274A62">
        <w:rPr>
          <w:rFonts w:ascii="Book Antiqua" w:hAnsi="Book Antiqua" w:cs="Arial"/>
        </w:rPr>
        <w:t xml:space="preserve">Mr </w:t>
      </w:r>
      <w:r w:rsidR="00F96435">
        <w:rPr>
          <w:rFonts w:ascii="Book Antiqua" w:hAnsi="Book Antiqua" w:cs="Arial"/>
        </w:rPr>
        <w:t>Aslam,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C666C">
        <w:rPr>
          <w:rFonts w:ascii="Book Antiqua" w:hAnsi="Book Antiqua" w:cs="Arial"/>
        </w:rPr>
        <w:t xml:space="preserve">Mr </w:t>
      </w:r>
      <w:r w:rsidR="00F96435">
        <w:rPr>
          <w:rFonts w:ascii="Book Antiqua" w:hAnsi="Book Antiqua" w:cs="Arial"/>
        </w:rPr>
        <w:t>Bates</w:t>
      </w:r>
      <w:r w:rsidR="005C666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31AF" w:rsidRDefault="00D010E2" w:rsidP="00911478">
      <w:pPr>
        <w:numPr>
          <w:ilvl w:val="0"/>
          <w:numId w:val="3"/>
        </w:numPr>
        <w:spacing w:before="240"/>
        <w:jc w:val="both"/>
        <w:rPr>
          <w:rFonts w:ascii="Book Antiqua" w:hAnsi="Book Antiqua" w:cs="Arial"/>
        </w:rPr>
      </w:pPr>
      <w:r>
        <w:rPr>
          <w:rFonts w:ascii="Book Antiqua" w:hAnsi="Book Antiqua" w:cs="Arial"/>
        </w:rPr>
        <w:t xml:space="preserve">I </w:t>
      </w:r>
      <w:r w:rsidR="00274A62">
        <w:rPr>
          <w:rFonts w:ascii="Book Antiqua" w:hAnsi="Book Antiqua" w:cs="Arial"/>
        </w:rPr>
        <w:t xml:space="preserve">do not make an anonymity order in this appeal. </w:t>
      </w:r>
    </w:p>
    <w:p w:rsidR="001311AC" w:rsidRDefault="00DF612A" w:rsidP="007238CC">
      <w:pPr>
        <w:numPr>
          <w:ilvl w:val="0"/>
          <w:numId w:val="3"/>
        </w:numPr>
        <w:spacing w:before="240"/>
        <w:jc w:val="both"/>
        <w:rPr>
          <w:rFonts w:ascii="Book Antiqua" w:hAnsi="Book Antiqua" w:cs="Arial"/>
        </w:rPr>
      </w:pPr>
      <w:r w:rsidRPr="00F96435">
        <w:rPr>
          <w:rFonts w:ascii="Book Antiqua" w:hAnsi="Book Antiqua" w:cs="Arial"/>
        </w:rPr>
        <w:t xml:space="preserve">The appellant had made an application </w:t>
      </w:r>
      <w:r w:rsidR="00F96435">
        <w:rPr>
          <w:rFonts w:ascii="Book Antiqua" w:hAnsi="Book Antiqua" w:cs="Arial"/>
        </w:rPr>
        <w:t xml:space="preserve">under Appendix FM of the Immigration Rules </w:t>
      </w:r>
      <w:r w:rsidRPr="00F96435">
        <w:rPr>
          <w:rFonts w:ascii="Book Antiqua" w:hAnsi="Book Antiqua" w:cs="Arial"/>
        </w:rPr>
        <w:t>for entry clearance</w:t>
      </w:r>
      <w:r w:rsidR="00F96435">
        <w:rPr>
          <w:rFonts w:ascii="Book Antiqua" w:hAnsi="Book Antiqua" w:cs="Arial"/>
        </w:rPr>
        <w:t xml:space="preserve"> as the spouse of a person present and settled in the United Kingdom. </w:t>
      </w:r>
    </w:p>
    <w:p w:rsidR="00F96435" w:rsidRDefault="00F96435" w:rsidP="007238CC">
      <w:pPr>
        <w:numPr>
          <w:ilvl w:val="0"/>
          <w:numId w:val="3"/>
        </w:numPr>
        <w:spacing w:before="240"/>
        <w:jc w:val="both"/>
        <w:rPr>
          <w:rFonts w:ascii="Book Antiqua" w:hAnsi="Book Antiqua" w:cs="Arial"/>
        </w:rPr>
      </w:pPr>
      <w:r>
        <w:rPr>
          <w:rFonts w:ascii="Book Antiqua" w:hAnsi="Book Antiqua" w:cs="Arial"/>
        </w:rPr>
        <w:lastRenderedPageBreak/>
        <w:t>The respondent refused the application on December 7, 2016 on the basis he was not satisfied the appellant and sponsor were in a genuine and subsisting relationship or that they intended to live together permanently in the United Kingdom.</w:t>
      </w:r>
    </w:p>
    <w:p w:rsidR="00F96435" w:rsidRDefault="00F96435" w:rsidP="007238CC">
      <w:pPr>
        <w:numPr>
          <w:ilvl w:val="0"/>
          <w:numId w:val="3"/>
        </w:numPr>
        <w:spacing w:before="240"/>
        <w:jc w:val="both"/>
        <w:rPr>
          <w:rFonts w:ascii="Book Antiqua" w:hAnsi="Book Antiqua" w:cs="Arial"/>
        </w:rPr>
      </w:pPr>
      <w:r>
        <w:rPr>
          <w:rFonts w:ascii="Book Antiqua" w:hAnsi="Book Antiqua" w:cs="Arial"/>
        </w:rPr>
        <w:t>The appellant appealed that decision under section 82 of the Nationality, Immigration and Asylum Act 2002 on February 16, 2017. The respondent reviewed the grounds of appeal but upheld his decision on November 14, 2017.</w:t>
      </w:r>
    </w:p>
    <w:p w:rsidR="00F96435" w:rsidRDefault="00F96435" w:rsidP="007238CC">
      <w:pPr>
        <w:numPr>
          <w:ilvl w:val="0"/>
          <w:numId w:val="3"/>
        </w:numPr>
        <w:spacing w:before="240"/>
        <w:jc w:val="both"/>
        <w:rPr>
          <w:rFonts w:ascii="Book Antiqua" w:hAnsi="Book Antiqua" w:cs="Arial"/>
        </w:rPr>
      </w:pPr>
      <w:r>
        <w:rPr>
          <w:rFonts w:ascii="Book Antiqua" w:hAnsi="Book Antiqua" w:cs="Arial"/>
        </w:rPr>
        <w:t>The appeal went before Judge of the First-Tier Tribunal Turnock (hereinafter called the Judge) on January 11, 2018 and in a decision promulgated on January to 31</w:t>
      </w:r>
      <w:r w:rsidRPr="00F96435">
        <w:rPr>
          <w:rFonts w:ascii="Book Antiqua" w:hAnsi="Book Antiqua" w:cs="Arial"/>
          <w:vertAlign w:val="superscript"/>
        </w:rPr>
        <w:t>st</w:t>
      </w:r>
      <w:r>
        <w:rPr>
          <w:rFonts w:ascii="Book Antiqua" w:hAnsi="Book Antiqua" w:cs="Arial"/>
        </w:rPr>
        <w:t xml:space="preserve"> 2018 the Judge dismissed the appeal finding that although there was evidence of a genuine and subsisting relationship the fact the sponsor had not disclosed to the appellant his sexuality, raised questions about whether the parties would intend to live together permanently in the United Kingdom.</w:t>
      </w:r>
    </w:p>
    <w:p w:rsidR="00F96435" w:rsidRDefault="00F96435" w:rsidP="007238CC">
      <w:pPr>
        <w:numPr>
          <w:ilvl w:val="0"/>
          <w:numId w:val="3"/>
        </w:numPr>
        <w:spacing w:before="240"/>
        <w:jc w:val="both"/>
        <w:rPr>
          <w:rFonts w:ascii="Book Antiqua" w:hAnsi="Book Antiqua" w:cs="Arial"/>
        </w:rPr>
      </w:pPr>
      <w:r>
        <w:rPr>
          <w:rFonts w:ascii="Book Antiqua" w:hAnsi="Book Antiqua" w:cs="Arial"/>
        </w:rPr>
        <w:t xml:space="preserve">The grounds of appeal were lodged on February 8, 2018 and permission to appeal was granted by Judge of the First-tier Tribunal </w:t>
      </w:r>
      <w:proofErr w:type="spellStart"/>
      <w:r w:rsidR="00853D03">
        <w:rPr>
          <w:rFonts w:ascii="Book Antiqua" w:hAnsi="Book Antiqua" w:cs="Arial"/>
        </w:rPr>
        <w:t>Chohan</w:t>
      </w:r>
      <w:proofErr w:type="spellEnd"/>
      <w:r w:rsidR="00853D03">
        <w:rPr>
          <w:rFonts w:ascii="Book Antiqua" w:hAnsi="Book Antiqua" w:cs="Arial"/>
        </w:rPr>
        <w:t xml:space="preserve"> </w:t>
      </w:r>
      <w:r>
        <w:rPr>
          <w:rFonts w:ascii="Book Antiqua" w:hAnsi="Book Antiqua" w:cs="Arial"/>
        </w:rPr>
        <w:t xml:space="preserve">on March 9, 2018. In giving permission the Judge </w:t>
      </w:r>
      <w:proofErr w:type="spellStart"/>
      <w:r>
        <w:rPr>
          <w:rFonts w:ascii="Book Antiqua" w:hAnsi="Book Antiqua" w:cs="Arial"/>
        </w:rPr>
        <w:t>Chohan</w:t>
      </w:r>
      <w:proofErr w:type="spellEnd"/>
      <w:r>
        <w:rPr>
          <w:rFonts w:ascii="Book Antiqua" w:hAnsi="Book Antiqua" w:cs="Arial"/>
        </w:rPr>
        <w:t xml:space="preserve"> found it arguable that the Judge had given contradictory and inadequate reasons for the findings made.</w:t>
      </w:r>
    </w:p>
    <w:p w:rsidR="00853D03" w:rsidRPr="00853D03" w:rsidRDefault="00853D03" w:rsidP="00853D03">
      <w:pPr>
        <w:spacing w:before="240"/>
        <w:ind w:left="567"/>
        <w:jc w:val="both"/>
        <w:rPr>
          <w:rFonts w:ascii="Book Antiqua" w:hAnsi="Book Antiqua" w:cs="Arial"/>
          <w:b/>
          <w:u w:val="single"/>
        </w:rPr>
      </w:pPr>
      <w:r>
        <w:rPr>
          <w:rFonts w:ascii="Book Antiqua" w:hAnsi="Book Antiqua" w:cs="Arial"/>
          <w:b/>
          <w:u w:val="single"/>
        </w:rPr>
        <w:t>SUBMISSIONS</w:t>
      </w:r>
    </w:p>
    <w:p w:rsidR="00F96435" w:rsidRDefault="001B34F7" w:rsidP="007238CC">
      <w:pPr>
        <w:numPr>
          <w:ilvl w:val="0"/>
          <w:numId w:val="3"/>
        </w:numPr>
        <w:spacing w:before="240"/>
        <w:jc w:val="both"/>
        <w:rPr>
          <w:rFonts w:ascii="Book Antiqua" w:hAnsi="Book Antiqua" w:cs="Arial"/>
        </w:rPr>
      </w:pPr>
      <w:r>
        <w:rPr>
          <w:rFonts w:ascii="Book Antiqua" w:hAnsi="Book Antiqua" w:cs="Arial"/>
        </w:rPr>
        <w:t xml:space="preserve">Mrs Aslam relied on the grounds of appeal and submitted that the Judge had erred by imposing his own views on what should and should not be disclosed in a marriage. The fact the sponsor had previously been a homosexual was not something that he had to disclose to the appellant and the Judge himself had </w:t>
      </w:r>
      <w:r w:rsidR="00853D03">
        <w:rPr>
          <w:rFonts w:ascii="Book Antiqua" w:hAnsi="Book Antiqua" w:cs="Arial"/>
        </w:rPr>
        <w:t>made a finding</w:t>
      </w:r>
      <w:r>
        <w:rPr>
          <w:rFonts w:ascii="Book Antiqua" w:hAnsi="Book Antiqua" w:cs="Arial"/>
        </w:rPr>
        <w:t xml:space="preserve"> being a bisexual did not prevent the parties having a genuine and subsisting relationship.</w:t>
      </w:r>
    </w:p>
    <w:p w:rsidR="001B34F7" w:rsidRDefault="001B34F7" w:rsidP="007238CC">
      <w:pPr>
        <w:numPr>
          <w:ilvl w:val="0"/>
          <w:numId w:val="3"/>
        </w:numPr>
        <w:spacing w:before="240"/>
        <w:jc w:val="both"/>
        <w:rPr>
          <w:rFonts w:ascii="Book Antiqua" w:hAnsi="Book Antiqua" w:cs="Arial"/>
        </w:rPr>
      </w:pPr>
      <w:r>
        <w:rPr>
          <w:rFonts w:ascii="Book Antiqua" w:hAnsi="Book Antiqua" w:cs="Arial"/>
        </w:rPr>
        <w:t xml:space="preserve">Mr Bates submitted that the Judge was entitled to make the finding that he had done because the marriage, according to the sponsor, had been entered into on the basis that both parties were heterosexual and the fact the sponsor </w:t>
      </w:r>
      <w:r w:rsidR="00853D03">
        <w:rPr>
          <w:rFonts w:ascii="Book Antiqua" w:hAnsi="Book Antiqua" w:cs="Arial"/>
        </w:rPr>
        <w:t xml:space="preserve">admitted </w:t>
      </w:r>
      <w:r>
        <w:rPr>
          <w:rFonts w:ascii="Book Antiqua" w:hAnsi="Book Antiqua" w:cs="Arial"/>
        </w:rPr>
        <w:t>at the original hearing he had not discussed the fact he was bisexual was something the Judge could take into account when considering “intention to live permanently together in the United Kingdom”.</w:t>
      </w:r>
    </w:p>
    <w:p w:rsidR="00CC0538" w:rsidRPr="00CC0538" w:rsidRDefault="00CC0538" w:rsidP="00CC0538">
      <w:pPr>
        <w:spacing w:before="240"/>
        <w:ind w:left="567"/>
        <w:jc w:val="both"/>
        <w:rPr>
          <w:rFonts w:ascii="Book Antiqua" w:hAnsi="Book Antiqua" w:cs="Arial"/>
          <w:b/>
          <w:u w:val="single"/>
        </w:rPr>
      </w:pPr>
      <w:r>
        <w:rPr>
          <w:rFonts w:ascii="Book Antiqua" w:hAnsi="Book Antiqua" w:cs="Arial"/>
          <w:b/>
          <w:u w:val="single"/>
        </w:rPr>
        <w:t>FINDINGS ON ERROR IN LAW</w:t>
      </w:r>
    </w:p>
    <w:p w:rsidR="001B34F7" w:rsidRDefault="001B34F7" w:rsidP="007238CC">
      <w:pPr>
        <w:numPr>
          <w:ilvl w:val="0"/>
          <w:numId w:val="3"/>
        </w:numPr>
        <w:spacing w:before="240"/>
        <w:jc w:val="both"/>
        <w:rPr>
          <w:rFonts w:ascii="Book Antiqua" w:hAnsi="Book Antiqua" w:cs="Arial"/>
        </w:rPr>
      </w:pPr>
      <w:r>
        <w:rPr>
          <w:rFonts w:ascii="Book Antiqua" w:hAnsi="Book Antiqua" w:cs="Arial"/>
        </w:rPr>
        <w:t>The sponsor had come to the United Kingdom and had claimed asylum in 2003 based on the fact he was a homosexual and that if he was returned to his country of origin, Cameroon, he would face persecution.</w:t>
      </w:r>
    </w:p>
    <w:p w:rsidR="00853D03" w:rsidRDefault="001B34F7" w:rsidP="007238CC">
      <w:pPr>
        <w:numPr>
          <w:ilvl w:val="0"/>
          <w:numId w:val="3"/>
        </w:numPr>
        <w:spacing w:before="240"/>
        <w:jc w:val="both"/>
        <w:rPr>
          <w:rFonts w:ascii="Book Antiqua" w:hAnsi="Book Antiqua" w:cs="Arial"/>
        </w:rPr>
      </w:pPr>
      <w:r>
        <w:rPr>
          <w:rFonts w:ascii="Book Antiqua" w:hAnsi="Book Antiqua" w:cs="Arial"/>
        </w:rPr>
        <w:t xml:space="preserve">The </w:t>
      </w:r>
      <w:r w:rsidR="00853D03">
        <w:rPr>
          <w:rFonts w:ascii="Book Antiqua" w:hAnsi="Book Antiqua" w:cs="Arial"/>
        </w:rPr>
        <w:t xml:space="preserve">respondent raised sexuality for </w:t>
      </w:r>
      <w:r>
        <w:rPr>
          <w:rFonts w:ascii="Book Antiqua" w:hAnsi="Book Antiqua" w:cs="Arial"/>
        </w:rPr>
        <w:t xml:space="preserve">the first time at the original hearing. Mrs Aslam was given the opportunity to apply for an adjournment but after discussing the matter with the sponsor she indicated that she was content for the proceedings to continue. </w:t>
      </w:r>
    </w:p>
    <w:p w:rsidR="00853D03" w:rsidRDefault="001B34F7" w:rsidP="007238CC">
      <w:pPr>
        <w:numPr>
          <w:ilvl w:val="0"/>
          <w:numId w:val="3"/>
        </w:numPr>
        <w:spacing w:before="240"/>
        <w:jc w:val="both"/>
        <w:rPr>
          <w:rFonts w:ascii="Book Antiqua" w:hAnsi="Book Antiqua" w:cs="Arial"/>
        </w:rPr>
      </w:pPr>
      <w:r>
        <w:rPr>
          <w:rFonts w:ascii="Book Antiqua" w:hAnsi="Book Antiqua" w:cs="Arial"/>
        </w:rPr>
        <w:t xml:space="preserve">During re-examination the sponsor confirmed </w:t>
      </w:r>
      <w:r w:rsidR="00853D03">
        <w:rPr>
          <w:rFonts w:ascii="Book Antiqua" w:hAnsi="Book Antiqua" w:cs="Arial"/>
        </w:rPr>
        <w:t xml:space="preserve">to Mrs Aslam </w:t>
      </w:r>
      <w:r>
        <w:rPr>
          <w:rFonts w:ascii="Book Antiqua" w:hAnsi="Book Antiqua" w:cs="Arial"/>
        </w:rPr>
        <w:t xml:space="preserve">that the appellant knew nothing of his sexuality and he had not disclosed this to her because he loved her and </w:t>
      </w:r>
      <w:r>
        <w:rPr>
          <w:rFonts w:ascii="Book Antiqua" w:hAnsi="Book Antiqua" w:cs="Arial"/>
        </w:rPr>
        <w:lastRenderedPageBreak/>
        <w:t>would like to raise a family with her. He did not believe the fact he was attracted to men would be a problem.</w:t>
      </w:r>
      <w:r w:rsidR="00CC0538">
        <w:rPr>
          <w:rFonts w:ascii="Book Antiqua" w:hAnsi="Book Antiqua" w:cs="Arial"/>
        </w:rPr>
        <w:t xml:space="preserve"> </w:t>
      </w:r>
    </w:p>
    <w:p w:rsidR="001B34F7" w:rsidRDefault="00CC0538" w:rsidP="007238CC">
      <w:pPr>
        <w:numPr>
          <w:ilvl w:val="0"/>
          <w:numId w:val="3"/>
        </w:numPr>
        <w:spacing w:before="240"/>
        <w:jc w:val="both"/>
        <w:rPr>
          <w:rFonts w:ascii="Book Antiqua" w:hAnsi="Book Antiqua" w:cs="Arial"/>
        </w:rPr>
      </w:pPr>
      <w:r>
        <w:rPr>
          <w:rFonts w:ascii="Book Antiqua" w:hAnsi="Book Antiqua" w:cs="Arial"/>
        </w:rPr>
        <w:t>Having heard this evidence, and in the absence of any statement from the appellant as to her view</w:t>
      </w:r>
      <w:r w:rsidR="00853D03">
        <w:rPr>
          <w:rFonts w:ascii="Book Antiqua" w:hAnsi="Book Antiqua" w:cs="Arial"/>
        </w:rPr>
        <w:t xml:space="preserve"> on the issue</w:t>
      </w:r>
      <w:r>
        <w:rPr>
          <w:rFonts w:ascii="Book Antiqua" w:hAnsi="Book Antiqua" w:cs="Arial"/>
        </w:rPr>
        <w:t xml:space="preserve">, the Judge concluded at paragraph 36 of his decision that he was not satisfied that this was a genuine and subsisting marriage or that it was </w:t>
      </w:r>
      <w:r w:rsidR="00853D03">
        <w:rPr>
          <w:rFonts w:ascii="Book Antiqua" w:hAnsi="Book Antiqua" w:cs="Arial"/>
        </w:rPr>
        <w:t xml:space="preserve">the appellant’s </w:t>
      </w:r>
      <w:r>
        <w:rPr>
          <w:rFonts w:ascii="Book Antiqua" w:hAnsi="Book Antiqua" w:cs="Arial"/>
        </w:rPr>
        <w:t>intention to permanently reside in the United Kingdom</w:t>
      </w:r>
      <w:r w:rsidR="00853D03">
        <w:rPr>
          <w:rFonts w:ascii="Book Antiqua" w:hAnsi="Book Antiqua" w:cs="Arial"/>
        </w:rPr>
        <w:t>.</w:t>
      </w:r>
    </w:p>
    <w:p w:rsidR="00CC0538" w:rsidRDefault="00CC0538" w:rsidP="007238CC">
      <w:pPr>
        <w:numPr>
          <w:ilvl w:val="0"/>
          <w:numId w:val="3"/>
        </w:numPr>
        <w:spacing w:before="240"/>
        <w:jc w:val="both"/>
        <w:rPr>
          <w:rFonts w:ascii="Book Antiqua" w:hAnsi="Book Antiqua" w:cs="Arial"/>
        </w:rPr>
      </w:pPr>
      <w:r>
        <w:rPr>
          <w:rFonts w:ascii="Book Antiqua" w:hAnsi="Book Antiqua" w:cs="Arial"/>
        </w:rPr>
        <w:t xml:space="preserve">Mrs Aslam has submitted that the Judge was wrong to make the finding he did in paragraph 36 of his decision. I indicated during the hearing that the problem the appellant faced was that her representative on the day chose to proceed with the hearing without </w:t>
      </w:r>
      <w:r w:rsidR="00853D03">
        <w:rPr>
          <w:rFonts w:ascii="Book Antiqua" w:hAnsi="Book Antiqua" w:cs="Arial"/>
        </w:rPr>
        <w:t xml:space="preserve">taking any instructions from her about whether </w:t>
      </w:r>
      <w:r>
        <w:rPr>
          <w:rFonts w:ascii="Book Antiqua" w:hAnsi="Book Antiqua" w:cs="Arial"/>
        </w:rPr>
        <w:t xml:space="preserve">such a disclosure would make </w:t>
      </w:r>
      <w:r w:rsidR="00853D03">
        <w:rPr>
          <w:rFonts w:ascii="Book Antiqua" w:hAnsi="Book Antiqua" w:cs="Arial"/>
        </w:rPr>
        <w:t xml:space="preserve">a </w:t>
      </w:r>
      <w:r>
        <w:rPr>
          <w:rFonts w:ascii="Book Antiqua" w:hAnsi="Book Antiqua" w:cs="Arial"/>
        </w:rPr>
        <w:t xml:space="preserve">difference to her intention to live in the United Kingdom. </w:t>
      </w:r>
    </w:p>
    <w:p w:rsidR="00853D03" w:rsidRDefault="00CC0538" w:rsidP="007238CC">
      <w:pPr>
        <w:numPr>
          <w:ilvl w:val="0"/>
          <w:numId w:val="3"/>
        </w:numPr>
        <w:spacing w:before="240"/>
        <w:jc w:val="both"/>
        <w:rPr>
          <w:rFonts w:ascii="Book Antiqua" w:hAnsi="Book Antiqua" w:cs="Arial"/>
        </w:rPr>
      </w:pPr>
      <w:r>
        <w:rPr>
          <w:rFonts w:ascii="Book Antiqua" w:hAnsi="Book Antiqua" w:cs="Arial"/>
        </w:rPr>
        <w:t>The Judge did not make a finding that being bisexual was a barrier to a genuine and subsisting relationship. The sponsor’s evidence was that he continued to be bisexual and the Judge was entitled to consider the</w:t>
      </w:r>
      <w:r w:rsidR="00853D03">
        <w:rPr>
          <w:rFonts w:ascii="Book Antiqua" w:hAnsi="Book Antiqua" w:cs="Arial"/>
        </w:rPr>
        <w:t>ir</w:t>
      </w:r>
      <w:r>
        <w:rPr>
          <w:rFonts w:ascii="Book Antiqua" w:hAnsi="Book Antiqua" w:cs="Arial"/>
        </w:rPr>
        <w:t xml:space="preserve"> relationship in light of the fact there had been no disclosure to his wife of this</w:t>
      </w:r>
      <w:r w:rsidR="00853D03">
        <w:rPr>
          <w:rFonts w:ascii="Book Antiqua" w:hAnsi="Book Antiqua" w:cs="Arial"/>
        </w:rPr>
        <w:t xml:space="preserve"> issue</w:t>
      </w:r>
      <w:r>
        <w:rPr>
          <w:rFonts w:ascii="Book Antiqua" w:hAnsi="Book Antiqua" w:cs="Arial"/>
        </w:rPr>
        <w:t xml:space="preserve">. </w:t>
      </w:r>
    </w:p>
    <w:p w:rsidR="00CC0538" w:rsidRDefault="00CC0538" w:rsidP="007238CC">
      <w:pPr>
        <w:numPr>
          <w:ilvl w:val="0"/>
          <w:numId w:val="3"/>
        </w:numPr>
        <w:spacing w:before="240"/>
        <w:jc w:val="both"/>
        <w:rPr>
          <w:rFonts w:ascii="Book Antiqua" w:hAnsi="Book Antiqua" w:cs="Arial"/>
        </w:rPr>
      </w:pPr>
      <w:r>
        <w:rPr>
          <w:rFonts w:ascii="Book Antiqua" w:hAnsi="Book Antiqua" w:cs="Arial"/>
        </w:rPr>
        <w:t xml:space="preserve">If the sponsor had stated at the hearing that he </w:t>
      </w:r>
      <w:r w:rsidR="00853D03">
        <w:rPr>
          <w:rFonts w:ascii="Book Antiqua" w:hAnsi="Book Antiqua" w:cs="Arial"/>
        </w:rPr>
        <w:t xml:space="preserve">was </w:t>
      </w:r>
      <w:r>
        <w:rPr>
          <w:rFonts w:ascii="Book Antiqua" w:hAnsi="Book Antiqua" w:cs="Arial"/>
        </w:rPr>
        <w:t xml:space="preserve">bisexual and the appellant was fully aware of his sexuality and that they had married </w:t>
      </w:r>
      <w:r w:rsidR="00853D03">
        <w:rPr>
          <w:rFonts w:ascii="Book Antiqua" w:hAnsi="Book Antiqua" w:cs="Arial"/>
        </w:rPr>
        <w:t xml:space="preserve">with this knowledge </w:t>
      </w:r>
      <w:r>
        <w:rPr>
          <w:rFonts w:ascii="Book Antiqua" w:hAnsi="Book Antiqua" w:cs="Arial"/>
        </w:rPr>
        <w:t xml:space="preserve">then as the Judge stated this relationship could </w:t>
      </w:r>
      <w:r w:rsidR="00853D03">
        <w:rPr>
          <w:rFonts w:ascii="Book Antiqua" w:hAnsi="Book Antiqua" w:cs="Arial"/>
        </w:rPr>
        <w:t xml:space="preserve">still </w:t>
      </w:r>
      <w:r>
        <w:rPr>
          <w:rFonts w:ascii="Book Antiqua" w:hAnsi="Book Antiqua" w:cs="Arial"/>
        </w:rPr>
        <w:t>be genuine and subsisting.</w:t>
      </w:r>
    </w:p>
    <w:p w:rsidR="00853D03" w:rsidRDefault="00CC0538" w:rsidP="007238CC">
      <w:pPr>
        <w:numPr>
          <w:ilvl w:val="0"/>
          <w:numId w:val="3"/>
        </w:numPr>
        <w:spacing w:before="240"/>
        <w:jc w:val="both"/>
        <w:rPr>
          <w:rFonts w:ascii="Book Antiqua" w:hAnsi="Book Antiqua" w:cs="Arial"/>
        </w:rPr>
      </w:pPr>
      <w:r>
        <w:rPr>
          <w:rFonts w:ascii="Book Antiqua" w:hAnsi="Book Antiqua" w:cs="Arial"/>
        </w:rPr>
        <w:t xml:space="preserve">I have considered the decision of </w:t>
      </w:r>
      <w:proofErr w:type="spellStart"/>
      <w:r>
        <w:rPr>
          <w:rFonts w:ascii="Book Antiqua" w:hAnsi="Book Antiqua" w:cs="Arial"/>
          <w:u w:val="single"/>
        </w:rPr>
        <w:t>Goudey</w:t>
      </w:r>
      <w:proofErr w:type="spellEnd"/>
      <w:r>
        <w:rPr>
          <w:rFonts w:ascii="Book Antiqua" w:hAnsi="Book Antiqua" w:cs="Arial"/>
          <w:u w:val="single"/>
        </w:rPr>
        <w:t xml:space="preserve"> (subsisting marriage-evidence) Sudan</w:t>
      </w:r>
      <w:r>
        <w:rPr>
          <w:rFonts w:ascii="Book Antiqua" w:hAnsi="Book Antiqua" w:cs="Arial"/>
        </w:rPr>
        <w:t xml:space="preserve"> [2012] UKUT 00041 (IAC)</w:t>
      </w:r>
      <w:r w:rsidR="009A3695">
        <w:rPr>
          <w:rFonts w:ascii="Book Antiqua" w:hAnsi="Book Antiqua" w:cs="Arial"/>
        </w:rPr>
        <w:t xml:space="preserve"> but find that this case does not assist me because the facts of this current case differ considerably. </w:t>
      </w:r>
    </w:p>
    <w:p w:rsidR="00853D03" w:rsidRDefault="00853D03" w:rsidP="007238CC">
      <w:pPr>
        <w:numPr>
          <w:ilvl w:val="0"/>
          <w:numId w:val="3"/>
        </w:numPr>
        <w:spacing w:before="240"/>
        <w:jc w:val="both"/>
        <w:rPr>
          <w:rFonts w:ascii="Book Antiqua" w:hAnsi="Book Antiqua" w:cs="Arial"/>
        </w:rPr>
      </w:pPr>
      <w:r>
        <w:rPr>
          <w:rFonts w:ascii="Book Antiqua" w:hAnsi="Book Antiqua" w:cs="Arial"/>
        </w:rPr>
        <w:t xml:space="preserve">The </w:t>
      </w:r>
      <w:proofErr w:type="spellStart"/>
      <w:r w:rsidRPr="00853D03">
        <w:rPr>
          <w:rFonts w:ascii="Book Antiqua" w:hAnsi="Book Antiqua" w:cs="Arial"/>
          <w:u w:val="single"/>
        </w:rPr>
        <w:t>Goudey</w:t>
      </w:r>
      <w:proofErr w:type="spellEnd"/>
      <w:r>
        <w:rPr>
          <w:rFonts w:ascii="Book Antiqua" w:hAnsi="Book Antiqua" w:cs="Arial"/>
        </w:rPr>
        <w:t xml:space="preserve"> </w:t>
      </w:r>
      <w:r w:rsidR="009A3695">
        <w:rPr>
          <w:rFonts w:ascii="Book Antiqua" w:hAnsi="Book Antiqua" w:cs="Arial"/>
        </w:rPr>
        <w:t>case considered what was needed to show a subsisting relationship. Where evidence of contact was provided then in the absence of countervailing factors an appeal should be allowed</w:t>
      </w:r>
      <w:r>
        <w:rPr>
          <w:rFonts w:ascii="Book Antiqua" w:hAnsi="Book Antiqua" w:cs="Arial"/>
        </w:rPr>
        <w:t xml:space="preserve">. </w:t>
      </w:r>
    </w:p>
    <w:p w:rsidR="00CC0538" w:rsidRDefault="00853D03" w:rsidP="007238CC">
      <w:pPr>
        <w:numPr>
          <w:ilvl w:val="0"/>
          <w:numId w:val="3"/>
        </w:numPr>
        <w:spacing w:before="240"/>
        <w:jc w:val="both"/>
        <w:rPr>
          <w:rFonts w:ascii="Book Antiqua" w:hAnsi="Book Antiqua" w:cs="Arial"/>
        </w:rPr>
      </w:pPr>
      <w:r>
        <w:rPr>
          <w:rFonts w:ascii="Book Antiqua" w:hAnsi="Book Antiqua" w:cs="Arial"/>
        </w:rPr>
        <w:t xml:space="preserve">However, the Judge had to consider, in the absence of any evidence from the appellant, whether the </w:t>
      </w:r>
      <w:r w:rsidR="009A3695">
        <w:rPr>
          <w:rFonts w:ascii="Book Antiqua" w:hAnsi="Book Antiqua" w:cs="Arial"/>
        </w:rPr>
        <w:t xml:space="preserve">sponsor’s </w:t>
      </w:r>
      <w:r>
        <w:rPr>
          <w:rFonts w:ascii="Book Antiqua" w:hAnsi="Book Antiqua" w:cs="Arial"/>
        </w:rPr>
        <w:t xml:space="preserve">non-disclosed </w:t>
      </w:r>
      <w:r w:rsidR="009A3695">
        <w:rPr>
          <w:rFonts w:ascii="Book Antiqua" w:hAnsi="Book Antiqua" w:cs="Arial"/>
        </w:rPr>
        <w:t xml:space="preserve">sexuality </w:t>
      </w:r>
      <w:r>
        <w:rPr>
          <w:rFonts w:ascii="Book Antiqua" w:hAnsi="Book Antiqua" w:cs="Arial"/>
        </w:rPr>
        <w:t xml:space="preserve">would </w:t>
      </w:r>
      <w:r w:rsidR="009A3695">
        <w:rPr>
          <w:rFonts w:ascii="Book Antiqua" w:hAnsi="Book Antiqua" w:cs="Arial"/>
        </w:rPr>
        <w:t>impact on both the</w:t>
      </w:r>
      <w:r>
        <w:rPr>
          <w:rFonts w:ascii="Book Antiqua" w:hAnsi="Book Antiqua" w:cs="Arial"/>
        </w:rPr>
        <w:t>ir</w:t>
      </w:r>
      <w:r w:rsidR="009A3695">
        <w:rPr>
          <w:rFonts w:ascii="Book Antiqua" w:hAnsi="Book Antiqua" w:cs="Arial"/>
        </w:rPr>
        <w:t xml:space="preserve"> relationship and intention to reside together.</w:t>
      </w:r>
    </w:p>
    <w:p w:rsidR="00CC0538" w:rsidRDefault="00CC0538" w:rsidP="007238CC">
      <w:pPr>
        <w:numPr>
          <w:ilvl w:val="0"/>
          <w:numId w:val="3"/>
        </w:numPr>
        <w:spacing w:before="240"/>
        <w:jc w:val="both"/>
        <w:rPr>
          <w:rFonts w:ascii="Book Antiqua" w:hAnsi="Book Antiqua" w:cs="Arial"/>
        </w:rPr>
      </w:pPr>
      <w:r>
        <w:rPr>
          <w:rFonts w:ascii="Book Antiqua" w:hAnsi="Book Antiqua" w:cs="Arial"/>
        </w:rPr>
        <w:t xml:space="preserve">In dismissing the appellant’s </w:t>
      </w:r>
      <w:proofErr w:type="gramStart"/>
      <w:r>
        <w:rPr>
          <w:rFonts w:ascii="Book Antiqua" w:hAnsi="Book Antiqua" w:cs="Arial"/>
        </w:rPr>
        <w:t>appeal</w:t>
      </w:r>
      <w:proofErr w:type="gramEnd"/>
      <w:r>
        <w:rPr>
          <w:rFonts w:ascii="Book Antiqua" w:hAnsi="Book Antiqua" w:cs="Arial"/>
        </w:rPr>
        <w:t xml:space="preserve"> the Judge </w:t>
      </w:r>
      <w:r w:rsidR="00853D03">
        <w:rPr>
          <w:rFonts w:ascii="Book Antiqua" w:hAnsi="Book Antiqua" w:cs="Arial"/>
        </w:rPr>
        <w:t xml:space="preserve">did </w:t>
      </w:r>
      <w:r>
        <w:rPr>
          <w:rFonts w:ascii="Book Antiqua" w:hAnsi="Book Antiqua" w:cs="Arial"/>
        </w:rPr>
        <w:t xml:space="preserve">not </w:t>
      </w:r>
      <w:r w:rsidR="00853D03">
        <w:rPr>
          <w:rFonts w:ascii="Book Antiqua" w:hAnsi="Book Antiqua" w:cs="Arial"/>
        </w:rPr>
        <w:t xml:space="preserve">state </w:t>
      </w:r>
      <w:r>
        <w:rPr>
          <w:rFonts w:ascii="Book Antiqua" w:hAnsi="Book Antiqua" w:cs="Arial"/>
        </w:rPr>
        <w:t xml:space="preserve">the parties could not be in a genuine and subsisting relationship but he </w:t>
      </w:r>
      <w:r w:rsidR="00853D03">
        <w:rPr>
          <w:rFonts w:ascii="Book Antiqua" w:hAnsi="Book Antiqua" w:cs="Arial"/>
        </w:rPr>
        <w:t xml:space="preserve">concluded the non-disclosure </w:t>
      </w:r>
      <w:r>
        <w:rPr>
          <w:rFonts w:ascii="Book Antiqua" w:hAnsi="Book Antiqua" w:cs="Arial"/>
        </w:rPr>
        <w:t>could materially affect the appellant’s decision to permanently live with the appellant. The Judge was unaware of the appellant’s view because her representative took a decision to proceed without instructions on that point.</w:t>
      </w:r>
    </w:p>
    <w:p w:rsidR="009A3695" w:rsidRDefault="009A3695" w:rsidP="007238CC">
      <w:pPr>
        <w:numPr>
          <w:ilvl w:val="0"/>
          <w:numId w:val="3"/>
        </w:numPr>
        <w:spacing w:before="240"/>
        <w:jc w:val="both"/>
        <w:rPr>
          <w:rFonts w:ascii="Book Antiqua" w:hAnsi="Book Antiqua" w:cs="Arial"/>
        </w:rPr>
      </w:pPr>
      <w:r>
        <w:rPr>
          <w:rFonts w:ascii="Book Antiqua" w:hAnsi="Book Antiqua" w:cs="Arial"/>
        </w:rPr>
        <w:t>I find that there is no material error because the Judge considered all the evidence and in the absence of any evidence from the appellant as to her view about this disclosure the Judge was entitled to conclude the Immigration Rules were not met.</w:t>
      </w:r>
    </w:p>
    <w:p w:rsidR="00CC0538" w:rsidRPr="00F96435" w:rsidRDefault="00CC0538" w:rsidP="007238CC">
      <w:pPr>
        <w:numPr>
          <w:ilvl w:val="0"/>
          <w:numId w:val="3"/>
        </w:numPr>
        <w:spacing w:before="240"/>
        <w:jc w:val="both"/>
        <w:rPr>
          <w:rFonts w:ascii="Book Antiqua" w:hAnsi="Book Antiqua" w:cs="Arial"/>
        </w:rPr>
      </w:pPr>
      <w:r>
        <w:rPr>
          <w:rFonts w:ascii="Book Antiqua" w:hAnsi="Book Antiqua" w:cs="Arial"/>
        </w:rPr>
        <w:t xml:space="preserve">This decision does not prevent a future application being made but clearly any application would </w:t>
      </w:r>
      <w:r w:rsidR="00853D03">
        <w:rPr>
          <w:rFonts w:ascii="Book Antiqua" w:hAnsi="Book Antiqua" w:cs="Arial"/>
        </w:rPr>
        <w:t>have</w:t>
      </w:r>
      <w:r>
        <w:rPr>
          <w:rFonts w:ascii="Book Antiqua" w:hAnsi="Book Antiqua" w:cs="Arial"/>
        </w:rPr>
        <w:t xml:space="preserve"> to address the issues that arose during the original hearing and the appellant </w:t>
      </w:r>
      <w:r w:rsidR="00853D03">
        <w:rPr>
          <w:rFonts w:ascii="Book Antiqua" w:hAnsi="Book Antiqua" w:cs="Arial"/>
        </w:rPr>
        <w:t xml:space="preserve">would have </w:t>
      </w:r>
      <w:r>
        <w:rPr>
          <w:rFonts w:ascii="Book Antiqua" w:hAnsi="Book Antiqua" w:cs="Arial"/>
        </w:rPr>
        <w:t>to satisfy the respondent that she did intend</w:t>
      </w:r>
      <w:r w:rsidR="00853D03">
        <w:rPr>
          <w:rFonts w:ascii="Book Antiqua" w:hAnsi="Book Antiqua" w:cs="Arial"/>
        </w:rPr>
        <w:t>ed</w:t>
      </w:r>
      <w:r>
        <w:rPr>
          <w:rFonts w:ascii="Book Antiqua" w:hAnsi="Book Antiqua" w:cs="Arial"/>
        </w:rPr>
        <w:t xml:space="preserve"> to </w:t>
      </w:r>
      <w:r>
        <w:rPr>
          <w:rFonts w:ascii="Book Antiqua" w:hAnsi="Book Antiqua" w:cs="Arial"/>
        </w:rPr>
        <w:lastRenderedPageBreak/>
        <w:t>permanently reside with the sponsor and that their relationship was genuine and subsisting.</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551B31" w:rsidRDefault="009C37C7" w:rsidP="00911478">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w:t>
      </w:r>
      <w:r w:rsidR="009A3695">
        <w:rPr>
          <w:rFonts w:ascii="Book Antiqua" w:hAnsi="Book Antiqua" w:cs="Arial"/>
        </w:rPr>
        <w:t xml:space="preserve">not </w:t>
      </w:r>
      <w:r>
        <w:rPr>
          <w:rFonts w:ascii="Book Antiqua" w:hAnsi="Book Antiqua" w:cs="Arial"/>
        </w:rPr>
        <w:t xml:space="preserve">involve the making of an error on a point of law.  </w:t>
      </w:r>
    </w:p>
    <w:p w:rsidR="00483687" w:rsidRPr="00853D03" w:rsidRDefault="00483687" w:rsidP="00853D03">
      <w:pPr>
        <w:numPr>
          <w:ilvl w:val="0"/>
          <w:numId w:val="3"/>
        </w:numPr>
        <w:spacing w:before="240"/>
        <w:jc w:val="both"/>
        <w:rPr>
          <w:rFonts w:ascii="Book Antiqua" w:hAnsi="Book Antiqua" w:cs="Arial"/>
        </w:rPr>
      </w:pPr>
      <w:r>
        <w:rPr>
          <w:rFonts w:ascii="Book Antiqua" w:hAnsi="Book Antiqua" w:cs="Arial"/>
        </w:rPr>
        <w:t xml:space="preserve">I </w:t>
      </w:r>
      <w:r w:rsidR="00853D03">
        <w:rPr>
          <w:rFonts w:ascii="Book Antiqua" w:hAnsi="Book Antiqua" w:cs="Arial"/>
        </w:rPr>
        <w:t>uphold the decision.</w:t>
      </w:r>
    </w:p>
    <w:p w:rsidR="00864126" w:rsidRDefault="00864126" w:rsidP="000369F5">
      <w:pPr>
        <w:tabs>
          <w:tab w:val="left" w:pos="2520"/>
        </w:tabs>
        <w:jc w:val="both"/>
        <w:rPr>
          <w:rFonts w:ascii="Book Antiqua" w:hAnsi="Book Antiqua" w:cs="Arial"/>
        </w:rPr>
      </w:pPr>
    </w:p>
    <w:p w:rsidR="001B0477" w:rsidRDefault="001B0477"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311AC">
        <w:rPr>
          <w:rFonts w:ascii="Book Antiqua" w:hAnsi="Book Antiqua" w:cs="Arial"/>
        </w:rPr>
        <w:t xml:space="preserve"> May </w:t>
      </w:r>
      <w:r w:rsidR="00853D03">
        <w:rPr>
          <w:rFonts w:ascii="Book Antiqua" w:hAnsi="Book Antiqua" w:cs="Arial"/>
        </w:rPr>
        <w:t>18</w:t>
      </w:r>
      <w:r w:rsidR="001311AC">
        <w:rPr>
          <w:rFonts w:ascii="Book Antiqua" w:hAnsi="Book Antiqua" w:cs="Arial"/>
        </w:rPr>
        <w:t>, 2018</w:t>
      </w:r>
    </w:p>
    <w:p w:rsidR="00864126" w:rsidRDefault="00864126" w:rsidP="00864126">
      <w:pPr>
        <w:tabs>
          <w:tab w:val="left" w:pos="2520"/>
        </w:tabs>
        <w:jc w:val="both"/>
        <w:rPr>
          <w:rFonts w:ascii="Book Antiqua" w:hAnsi="Book Antiqua" w:cs="Arial"/>
        </w:rPr>
      </w:pPr>
    </w:p>
    <w:p w:rsidR="00F90160" w:rsidRDefault="00285DCB"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2D5431"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853D03" w:rsidRDefault="00853D03" w:rsidP="001558E1">
      <w:pPr>
        <w:tabs>
          <w:tab w:val="left" w:pos="2520"/>
        </w:tabs>
        <w:jc w:val="both"/>
        <w:rPr>
          <w:rFonts w:ascii="Book Antiqua" w:hAnsi="Book Antiqua" w:cs="Arial"/>
        </w:rPr>
      </w:pPr>
    </w:p>
    <w:p w:rsidR="00227705" w:rsidRDefault="00227705" w:rsidP="001558E1">
      <w:pPr>
        <w:tabs>
          <w:tab w:val="left" w:pos="2520"/>
        </w:tabs>
        <w:jc w:val="both"/>
        <w:rPr>
          <w:rFonts w:ascii="Book Antiqua" w:hAnsi="Book Antiqua" w:cs="Arial"/>
        </w:rPr>
      </w:pPr>
    </w:p>
    <w:p w:rsidR="00227705" w:rsidRDefault="00227705" w:rsidP="001558E1">
      <w:pPr>
        <w:tabs>
          <w:tab w:val="left" w:pos="2520"/>
        </w:tabs>
        <w:jc w:val="both"/>
        <w:rPr>
          <w:rFonts w:ascii="Book Antiqua" w:hAnsi="Book Antiqua" w:cs="Arial"/>
        </w:rPr>
      </w:pPr>
    </w:p>
    <w:p w:rsidR="00853D03" w:rsidRDefault="00853D03" w:rsidP="001558E1">
      <w:pPr>
        <w:tabs>
          <w:tab w:val="left" w:pos="2520"/>
        </w:tabs>
        <w:jc w:val="both"/>
        <w:rPr>
          <w:rFonts w:ascii="Book Antiqua" w:hAnsi="Book Antiqua" w:cs="Arial"/>
          <w:u w:val="single"/>
        </w:rPr>
      </w:pPr>
      <w:r>
        <w:rPr>
          <w:rFonts w:ascii="Book Antiqua" w:hAnsi="Book Antiqua" w:cs="Arial"/>
          <w:u w:val="single"/>
        </w:rPr>
        <w:t>TO THE RESPONDENT</w:t>
      </w:r>
    </w:p>
    <w:p w:rsidR="00853D03" w:rsidRDefault="00853D03" w:rsidP="001558E1">
      <w:pPr>
        <w:tabs>
          <w:tab w:val="left" w:pos="2520"/>
        </w:tabs>
        <w:jc w:val="both"/>
        <w:rPr>
          <w:rFonts w:ascii="Book Antiqua" w:hAnsi="Book Antiqua" w:cs="Arial"/>
        </w:rPr>
      </w:pPr>
      <w:r>
        <w:rPr>
          <w:rFonts w:ascii="Book Antiqua" w:hAnsi="Book Antiqua" w:cs="Arial"/>
          <w:u w:val="single"/>
        </w:rPr>
        <w:t>FEE AWARD</w:t>
      </w:r>
    </w:p>
    <w:p w:rsidR="00853D03" w:rsidRDefault="00853D03" w:rsidP="001558E1">
      <w:pPr>
        <w:tabs>
          <w:tab w:val="left" w:pos="2520"/>
        </w:tabs>
        <w:jc w:val="both"/>
        <w:rPr>
          <w:rFonts w:ascii="Book Antiqua" w:hAnsi="Book Antiqua" w:cs="Arial"/>
        </w:rPr>
      </w:pPr>
    </w:p>
    <w:p w:rsidR="00853D03" w:rsidRDefault="00853D03" w:rsidP="001558E1">
      <w:pPr>
        <w:tabs>
          <w:tab w:val="left" w:pos="2520"/>
        </w:tabs>
        <w:jc w:val="both"/>
        <w:rPr>
          <w:rFonts w:ascii="Book Antiqua" w:hAnsi="Book Antiqua" w:cs="Arial"/>
        </w:rPr>
      </w:pPr>
      <w:r>
        <w:rPr>
          <w:rFonts w:ascii="Book Antiqua" w:hAnsi="Book Antiqua" w:cs="Arial"/>
        </w:rPr>
        <w:t xml:space="preserve">I do not make a fee award because I have dismissed the appeal. </w:t>
      </w:r>
    </w:p>
    <w:p w:rsidR="00853D03" w:rsidRDefault="00853D03" w:rsidP="001558E1">
      <w:pPr>
        <w:tabs>
          <w:tab w:val="left" w:pos="2520"/>
        </w:tabs>
        <w:jc w:val="both"/>
        <w:rPr>
          <w:rFonts w:ascii="Book Antiqua" w:hAnsi="Book Antiqua" w:cs="Arial"/>
        </w:rPr>
      </w:pPr>
    </w:p>
    <w:p w:rsidR="00853D03" w:rsidRDefault="00853D03" w:rsidP="001558E1">
      <w:pPr>
        <w:tabs>
          <w:tab w:val="left" w:pos="2520"/>
        </w:tabs>
        <w:jc w:val="both"/>
        <w:rPr>
          <w:rFonts w:ascii="Book Antiqua" w:hAnsi="Book Antiqua" w:cs="Arial"/>
        </w:rPr>
      </w:pPr>
    </w:p>
    <w:p w:rsidR="00853D03" w:rsidRPr="00F5664C" w:rsidRDefault="00853D03" w:rsidP="00853D03">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May 18, 2018</w:t>
      </w:r>
    </w:p>
    <w:p w:rsidR="00853D03" w:rsidRDefault="00853D03" w:rsidP="00853D03">
      <w:pPr>
        <w:tabs>
          <w:tab w:val="left" w:pos="2520"/>
        </w:tabs>
        <w:jc w:val="both"/>
        <w:rPr>
          <w:rFonts w:ascii="Book Antiqua" w:hAnsi="Book Antiqua" w:cs="Arial"/>
        </w:rPr>
      </w:pPr>
    </w:p>
    <w:p w:rsidR="00853D03" w:rsidRDefault="00285DCB" w:rsidP="00853D03">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53D03" w:rsidRPr="00853D03" w:rsidRDefault="00853D03" w:rsidP="00853D03">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853D03" w:rsidRPr="00853D0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8CC" w:rsidRDefault="007238CC">
      <w:r>
        <w:separator/>
      </w:r>
    </w:p>
  </w:endnote>
  <w:endnote w:type="continuationSeparator" w:id="0">
    <w:p w:rsidR="007238CC" w:rsidRDefault="0072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A4E4E">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8CC" w:rsidRDefault="007238CC">
      <w:r>
        <w:separator/>
      </w:r>
    </w:p>
  </w:footnote>
  <w:footnote w:type="continuationSeparator" w:id="0">
    <w:p w:rsidR="007238CC" w:rsidRDefault="0072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D97AF0" w:rsidRDefault="005C666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F612A">
      <w:rPr>
        <w:rFonts w:ascii="Book Antiqua" w:hAnsi="Book Antiqua" w:cs="Arial"/>
        <w:sz w:val="16"/>
        <w:szCs w:val="16"/>
      </w:rPr>
      <w:t>HU</w:t>
    </w:r>
    <w:r w:rsidRPr="00D97AF0">
      <w:rPr>
        <w:rFonts w:ascii="Book Antiqua" w:hAnsi="Book Antiqua" w:cs="Arial"/>
        <w:sz w:val="16"/>
        <w:szCs w:val="16"/>
      </w:rPr>
      <w:t>/</w:t>
    </w:r>
    <w:r w:rsidR="00B143AC">
      <w:rPr>
        <w:rFonts w:ascii="Book Antiqua" w:hAnsi="Book Antiqua" w:cs="Arial"/>
        <w:sz w:val="16"/>
        <w:szCs w:val="16"/>
      </w:rPr>
      <w:t>03183</w:t>
    </w:r>
    <w:r>
      <w:rPr>
        <w:rFonts w:ascii="Book Antiqua" w:hAnsi="Book Antiqua" w:cs="Arial"/>
        <w:sz w:val="16"/>
        <w:szCs w:val="16"/>
      </w:rPr>
      <w:t>/201</w:t>
    </w:r>
    <w:r w:rsidR="00030475">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B4761AB-DF1A-40D0-AF8E-579968E67444}"/>
    <w:docVar w:name="dgnword-eventsink" w:val="2981849210208"/>
  </w:docVars>
  <w:rsids>
    <w:rsidRoot w:val="00A25C94"/>
    <w:rsid w:val="00000412"/>
    <w:rsid w:val="00000621"/>
    <w:rsid w:val="000036C2"/>
    <w:rsid w:val="0000577C"/>
    <w:rsid w:val="0000778D"/>
    <w:rsid w:val="00030475"/>
    <w:rsid w:val="00033D3D"/>
    <w:rsid w:val="000369F5"/>
    <w:rsid w:val="00051910"/>
    <w:rsid w:val="00060A81"/>
    <w:rsid w:val="00071A7E"/>
    <w:rsid w:val="000746C0"/>
    <w:rsid w:val="00074D1D"/>
    <w:rsid w:val="00087037"/>
    <w:rsid w:val="00087B4B"/>
    <w:rsid w:val="00092580"/>
    <w:rsid w:val="00095513"/>
    <w:rsid w:val="000A32A2"/>
    <w:rsid w:val="000D257C"/>
    <w:rsid w:val="000D5D94"/>
    <w:rsid w:val="000E483B"/>
    <w:rsid w:val="00106A5E"/>
    <w:rsid w:val="001165A7"/>
    <w:rsid w:val="001311AC"/>
    <w:rsid w:val="0014289A"/>
    <w:rsid w:val="00151BB7"/>
    <w:rsid w:val="001526DB"/>
    <w:rsid w:val="001558E1"/>
    <w:rsid w:val="001655EA"/>
    <w:rsid w:val="00167D3A"/>
    <w:rsid w:val="00186F53"/>
    <w:rsid w:val="00197BB7"/>
    <w:rsid w:val="001A1E2C"/>
    <w:rsid w:val="001A2421"/>
    <w:rsid w:val="001B0477"/>
    <w:rsid w:val="001B34F7"/>
    <w:rsid w:val="001B67F3"/>
    <w:rsid w:val="001C1452"/>
    <w:rsid w:val="001E12F7"/>
    <w:rsid w:val="001F2716"/>
    <w:rsid w:val="001F4596"/>
    <w:rsid w:val="001F4C3C"/>
    <w:rsid w:val="0020133A"/>
    <w:rsid w:val="002015AA"/>
    <w:rsid w:val="00201C81"/>
    <w:rsid w:val="00207617"/>
    <w:rsid w:val="00227705"/>
    <w:rsid w:val="00254D56"/>
    <w:rsid w:val="0027148D"/>
    <w:rsid w:val="00274A62"/>
    <w:rsid w:val="00283659"/>
    <w:rsid w:val="00284E94"/>
    <w:rsid w:val="00285DCB"/>
    <w:rsid w:val="002865D5"/>
    <w:rsid w:val="00291D5E"/>
    <w:rsid w:val="002A16FD"/>
    <w:rsid w:val="002A1EC1"/>
    <w:rsid w:val="002A2720"/>
    <w:rsid w:val="002A2AFF"/>
    <w:rsid w:val="002A5F30"/>
    <w:rsid w:val="002B3060"/>
    <w:rsid w:val="002B46AE"/>
    <w:rsid w:val="002C4E73"/>
    <w:rsid w:val="002D5431"/>
    <w:rsid w:val="002D68BF"/>
    <w:rsid w:val="002F05A0"/>
    <w:rsid w:val="00305FBC"/>
    <w:rsid w:val="0033030E"/>
    <w:rsid w:val="00334945"/>
    <w:rsid w:val="0033509F"/>
    <w:rsid w:val="00336CBF"/>
    <w:rsid w:val="00337EBB"/>
    <w:rsid w:val="00343030"/>
    <w:rsid w:val="0034604E"/>
    <w:rsid w:val="003546C8"/>
    <w:rsid w:val="0035753A"/>
    <w:rsid w:val="00364F67"/>
    <w:rsid w:val="003756EF"/>
    <w:rsid w:val="00376F8F"/>
    <w:rsid w:val="00392D87"/>
    <w:rsid w:val="003A5739"/>
    <w:rsid w:val="003A7CF2"/>
    <w:rsid w:val="003B669C"/>
    <w:rsid w:val="003B7242"/>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5231"/>
    <w:rsid w:val="0047406C"/>
    <w:rsid w:val="00477193"/>
    <w:rsid w:val="00483687"/>
    <w:rsid w:val="004852B5"/>
    <w:rsid w:val="0048547A"/>
    <w:rsid w:val="00490CFA"/>
    <w:rsid w:val="004A0EB5"/>
    <w:rsid w:val="004A1848"/>
    <w:rsid w:val="004B7003"/>
    <w:rsid w:val="004B7270"/>
    <w:rsid w:val="004D0B09"/>
    <w:rsid w:val="004D25FF"/>
    <w:rsid w:val="004D65C0"/>
    <w:rsid w:val="004F2B90"/>
    <w:rsid w:val="004F5B34"/>
    <w:rsid w:val="00502F93"/>
    <w:rsid w:val="00507FEC"/>
    <w:rsid w:val="00510F0E"/>
    <w:rsid w:val="005121D1"/>
    <w:rsid w:val="00516E48"/>
    <w:rsid w:val="005414DE"/>
    <w:rsid w:val="00541C31"/>
    <w:rsid w:val="00541D19"/>
    <w:rsid w:val="005479E1"/>
    <w:rsid w:val="00551B31"/>
    <w:rsid w:val="005570FD"/>
    <w:rsid w:val="005575EA"/>
    <w:rsid w:val="005640E3"/>
    <w:rsid w:val="00564626"/>
    <w:rsid w:val="00564C2A"/>
    <w:rsid w:val="00573DD5"/>
    <w:rsid w:val="0057790C"/>
    <w:rsid w:val="00593795"/>
    <w:rsid w:val="00593C19"/>
    <w:rsid w:val="005952A8"/>
    <w:rsid w:val="00597BA8"/>
    <w:rsid w:val="005A28B9"/>
    <w:rsid w:val="005A75FF"/>
    <w:rsid w:val="005B4942"/>
    <w:rsid w:val="005B7789"/>
    <w:rsid w:val="005C3A83"/>
    <w:rsid w:val="005C666C"/>
    <w:rsid w:val="00601895"/>
    <w:rsid w:val="006059EF"/>
    <w:rsid w:val="00622725"/>
    <w:rsid w:val="00640E14"/>
    <w:rsid w:val="00641A27"/>
    <w:rsid w:val="0064774D"/>
    <w:rsid w:val="0065791C"/>
    <w:rsid w:val="00660394"/>
    <w:rsid w:val="006679AF"/>
    <w:rsid w:val="00677176"/>
    <w:rsid w:val="00690A43"/>
    <w:rsid w:val="00690B8A"/>
    <w:rsid w:val="006A206A"/>
    <w:rsid w:val="006A5EDB"/>
    <w:rsid w:val="006D1DFA"/>
    <w:rsid w:val="006D506B"/>
    <w:rsid w:val="006D5949"/>
    <w:rsid w:val="006D6384"/>
    <w:rsid w:val="006D79F6"/>
    <w:rsid w:val="006E3C90"/>
    <w:rsid w:val="006E40CB"/>
    <w:rsid w:val="006E6873"/>
    <w:rsid w:val="006F08DA"/>
    <w:rsid w:val="00704B61"/>
    <w:rsid w:val="00705827"/>
    <w:rsid w:val="007164CA"/>
    <w:rsid w:val="00722B7F"/>
    <w:rsid w:val="007238CC"/>
    <w:rsid w:val="00732E1B"/>
    <w:rsid w:val="00736900"/>
    <w:rsid w:val="00736EFD"/>
    <w:rsid w:val="007418C8"/>
    <w:rsid w:val="00742A8D"/>
    <w:rsid w:val="00744B61"/>
    <w:rsid w:val="00747412"/>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D39B9"/>
    <w:rsid w:val="0081272A"/>
    <w:rsid w:val="008136B5"/>
    <w:rsid w:val="008303B8"/>
    <w:rsid w:val="00833DCE"/>
    <w:rsid w:val="00836A93"/>
    <w:rsid w:val="00841581"/>
    <w:rsid w:val="00842418"/>
    <w:rsid w:val="00853D03"/>
    <w:rsid w:val="00864126"/>
    <w:rsid w:val="0086492E"/>
    <w:rsid w:val="0087166E"/>
    <w:rsid w:val="00871D34"/>
    <w:rsid w:val="00894F69"/>
    <w:rsid w:val="008A5F40"/>
    <w:rsid w:val="008B270C"/>
    <w:rsid w:val="008C3D3D"/>
    <w:rsid w:val="008D4131"/>
    <w:rsid w:val="008E65DE"/>
    <w:rsid w:val="008F1932"/>
    <w:rsid w:val="008F294D"/>
    <w:rsid w:val="00911478"/>
    <w:rsid w:val="00916A58"/>
    <w:rsid w:val="00921062"/>
    <w:rsid w:val="0093083E"/>
    <w:rsid w:val="009451FF"/>
    <w:rsid w:val="009503A2"/>
    <w:rsid w:val="009553DD"/>
    <w:rsid w:val="00955B0E"/>
    <w:rsid w:val="00966B05"/>
    <w:rsid w:val="00966ECF"/>
    <w:rsid w:val="009727A3"/>
    <w:rsid w:val="00974D37"/>
    <w:rsid w:val="009820F9"/>
    <w:rsid w:val="00987774"/>
    <w:rsid w:val="009936D5"/>
    <w:rsid w:val="009A11E8"/>
    <w:rsid w:val="009A3695"/>
    <w:rsid w:val="009A43A1"/>
    <w:rsid w:val="009C2F51"/>
    <w:rsid w:val="009C37C7"/>
    <w:rsid w:val="009C5D3A"/>
    <w:rsid w:val="009D1549"/>
    <w:rsid w:val="009E4E62"/>
    <w:rsid w:val="009F5220"/>
    <w:rsid w:val="009F7C4D"/>
    <w:rsid w:val="00A01A21"/>
    <w:rsid w:val="00A15234"/>
    <w:rsid w:val="00A17E24"/>
    <w:rsid w:val="00A201AB"/>
    <w:rsid w:val="00A25C94"/>
    <w:rsid w:val="00A31C8B"/>
    <w:rsid w:val="00A51000"/>
    <w:rsid w:val="00A54733"/>
    <w:rsid w:val="00A8150E"/>
    <w:rsid w:val="00A842B8"/>
    <w:rsid w:val="00A845DC"/>
    <w:rsid w:val="00A97AEE"/>
    <w:rsid w:val="00AA4472"/>
    <w:rsid w:val="00AA4E4E"/>
    <w:rsid w:val="00AB3C99"/>
    <w:rsid w:val="00AB4CC5"/>
    <w:rsid w:val="00AC5CF6"/>
    <w:rsid w:val="00AC7862"/>
    <w:rsid w:val="00AD217D"/>
    <w:rsid w:val="00B143AC"/>
    <w:rsid w:val="00B144FA"/>
    <w:rsid w:val="00B16F58"/>
    <w:rsid w:val="00B21A7C"/>
    <w:rsid w:val="00B225A0"/>
    <w:rsid w:val="00B30648"/>
    <w:rsid w:val="00B322F4"/>
    <w:rsid w:val="00B3524D"/>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6C2C"/>
    <w:rsid w:val="00B76EBC"/>
    <w:rsid w:val="00B808A4"/>
    <w:rsid w:val="00B947BF"/>
    <w:rsid w:val="00B96FA0"/>
    <w:rsid w:val="00BA35A4"/>
    <w:rsid w:val="00BA39E9"/>
    <w:rsid w:val="00BB2AA8"/>
    <w:rsid w:val="00BB2C7C"/>
    <w:rsid w:val="00BC0238"/>
    <w:rsid w:val="00BC68C0"/>
    <w:rsid w:val="00BD3817"/>
    <w:rsid w:val="00BD4196"/>
    <w:rsid w:val="00BD651E"/>
    <w:rsid w:val="00BE2210"/>
    <w:rsid w:val="00BE4FE1"/>
    <w:rsid w:val="00BE57DB"/>
    <w:rsid w:val="00BF22CA"/>
    <w:rsid w:val="00C139A6"/>
    <w:rsid w:val="00C26032"/>
    <w:rsid w:val="00C265B0"/>
    <w:rsid w:val="00C321B5"/>
    <w:rsid w:val="00C345E1"/>
    <w:rsid w:val="00C37D67"/>
    <w:rsid w:val="00C42C62"/>
    <w:rsid w:val="00C5263A"/>
    <w:rsid w:val="00C54587"/>
    <w:rsid w:val="00C5652A"/>
    <w:rsid w:val="00C672E4"/>
    <w:rsid w:val="00C74D85"/>
    <w:rsid w:val="00C80361"/>
    <w:rsid w:val="00C8281B"/>
    <w:rsid w:val="00C9551E"/>
    <w:rsid w:val="00C977BA"/>
    <w:rsid w:val="00CA5339"/>
    <w:rsid w:val="00CB6E35"/>
    <w:rsid w:val="00CC0538"/>
    <w:rsid w:val="00CD4902"/>
    <w:rsid w:val="00CD4A69"/>
    <w:rsid w:val="00CD761B"/>
    <w:rsid w:val="00CE1A46"/>
    <w:rsid w:val="00CF253F"/>
    <w:rsid w:val="00CF4FCD"/>
    <w:rsid w:val="00CF56B4"/>
    <w:rsid w:val="00CF7E22"/>
    <w:rsid w:val="00D010E2"/>
    <w:rsid w:val="00D20F09"/>
    <w:rsid w:val="00D22636"/>
    <w:rsid w:val="00D24AD7"/>
    <w:rsid w:val="00D27EC6"/>
    <w:rsid w:val="00D40FD9"/>
    <w:rsid w:val="00D42256"/>
    <w:rsid w:val="00D44088"/>
    <w:rsid w:val="00D53769"/>
    <w:rsid w:val="00D637C9"/>
    <w:rsid w:val="00D67604"/>
    <w:rsid w:val="00D73572"/>
    <w:rsid w:val="00D74CFD"/>
    <w:rsid w:val="00D85C13"/>
    <w:rsid w:val="00D91BE3"/>
    <w:rsid w:val="00D94AFC"/>
    <w:rsid w:val="00D97AF0"/>
    <w:rsid w:val="00DA3B27"/>
    <w:rsid w:val="00DB70AE"/>
    <w:rsid w:val="00DB7231"/>
    <w:rsid w:val="00DC7975"/>
    <w:rsid w:val="00DD07FC"/>
    <w:rsid w:val="00DD5071"/>
    <w:rsid w:val="00DD5C39"/>
    <w:rsid w:val="00DE26AF"/>
    <w:rsid w:val="00DE714E"/>
    <w:rsid w:val="00DE7DB7"/>
    <w:rsid w:val="00DF612A"/>
    <w:rsid w:val="00E00A0A"/>
    <w:rsid w:val="00E07601"/>
    <w:rsid w:val="00E07F57"/>
    <w:rsid w:val="00E352ED"/>
    <w:rsid w:val="00E4586A"/>
    <w:rsid w:val="00E50456"/>
    <w:rsid w:val="00E50BCE"/>
    <w:rsid w:val="00E61292"/>
    <w:rsid w:val="00E649A1"/>
    <w:rsid w:val="00E76309"/>
    <w:rsid w:val="00E77C4D"/>
    <w:rsid w:val="00E81D01"/>
    <w:rsid w:val="00E82D7A"/>
    <w:rsid w:val="00E90C08"/>
    <w:rsid w:val="00EA0F11"/>
    <w:rsid w:val="00EA4F85"/>
    <w:rsid w:val="00EB62BE"/>
    <w:rsid w:val="00EC7BD3"/>
    <w:rsid w:val="00ED48D9"/>
    <w:rsid w:val="00EE1BF0"/>
    <w:rsid w:val="00EE3508"/>
    <w:rsid w:val="00EE45D8"/>
    <w:rsid w:val="00EF63DD"/>
    <w:rsid w:val="00F004CD"/>
    <w:rsid w:val="00F12507"/>
    <w:rsid w:val="00F22EDA"/>
    <w:rsid w:val="00F26555"/>
    <w:rsid w:val="00F3224D"/>
    <w:rsid w:val="00F33E0E"/>
    <w:rsid w:val="00F3723B"/>
    <w:rsid w:val="00F42F8D"/>
    <w:rsid w:val="00F472AE"/>
    <w:rsid w:val="00F5664C"/>
    <w:rsid w:val="00F64613"/>
    <w:rsid w:val="00F72B81"/>
    <w:rsid w:val="00F77A3E"/>
    <w:rsid w:val="00F77EEB"/>
    <w:rsid w:val="00F86626"/>
    <w:rsid w:val="00F90160"/>
    <w:rsid w:val="00F9182B"/>
    <w:rsid w:val="00F94876"/>
    <w:rsid w:val="00F96435"/>
    <w:rsid w:val="00FA069B"/>
    <w:rsid w:val="00FA49A9"/>
    <w:rsid w:val="00FB050B"/>
    <w:rsid w:val="00FB7E80"/>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EAD13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 w:type="character" w:styleId="CommentReference">
    <w:name w:val="annotation reference"/>
    <w:rsid w:val="00853D03"/>
    <w:rPr>
      <w:sz w:val="16"/>
      <w:szCs w:val="16"/>
    </w:rPr>
  </w:style>
  <w:style w:type="paragraph" w:styleId="CommentText">
    <w:name w:val="annotation text"/>
    <w:basedOn w:val="Normal"/>
    <w:link w:val="CommentTextChar"/>
    <w:rsid w:val="00853D03"/>
    <w:rPr>
      <w:sz w:val="20"/>
      <w:szCs w:val="20"/>
    </w:rPr>
  </w:style>
  <w:style w:type="character" w:customStyle="1" w:styleId="CommentTextChar">
    <w:name w:val="Comment Text Char"/>
    <w:basedOn w:val="DefaultParagraphFont"/>
    <w:link w:val="CommentText"/>
    <w:rsid w:val="00853D03"/>
  </w:style>
  <w:style w:type="paragraph" w:styleId="CommentSubject">
    <w:name w:val="annotation subject"/>
    <w:basedOn w:val="CommentText"/>
    <w:next w:val="CommentText"/>
    <w:link w:val="CommentSubjectChar"/>
    <w:rsid w:val="00853D03"/>
    <w:rPr>
      <w:b/>
      <w:bCs/>
    </w:rPr>
  </w:style>
  <w:style w:type="character" w:customStyle="1" w:styleId="CommentSubjectChar">
    <w:name w:val="Comment Subject Char"/>
    <w:link w:val="CommentSubject"/>
    <w:rsid w:val="00853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5648</Characters>
  <Application>Microsoft Office Word</Application>
  <DocSecurity>0</DocSecurity>
  <Lines>47</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2018-06-13T15:25:00Z</dcterms:created>
  <dcterms:modified xsi:type="dcterms:W3CDTF">2018-06-13T15:25:00Z</dcterms:modified>
</cp:coreProperties>
</file>