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00DA" w:rsidRPr="007D161A" w:rsidRDefault="00706EF9" w:rsidP="002623D4">
      <w:pPr>
        <w:jc w:val="center"/>
        <w:rPr>
          <w:rFonts w:ascii="Book Antiqua" w:eastAsia="Book Antiqua" w:hAnsi="Book Antiqua" w:cs="Book Antiqua"/>
          <w:smallCaps/>
          <w:color w:val="000000"/>
          <w:sz w:val="16"/>
          <w:szCs w:val="16"/>
        </w:rPr>
      </w:pPr>
      <w:r w:rsidRPr="007D161A">
        <w:rPr>
          <w:noProof/>
          <w:sz w:val="16"/>
          <w:szCs w:val="16"/>
        </w:rPr>
        <w:drawing>
          <wp:inline distT="0" distB="0" distL="0" distR="0" wp14:anchorId="0FCAC59A" wp14:editId="710B4B88">
            <wp:extent cx="1044575" cy="90868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044575" cy="908685"/>
                    </a:xfrm>
                    <a:prstGeom prst="rect">
                      <a:avLst/>
                    </a:prstGeom>
                    <a:ln/>
                  </pic:spPr>
                </pic:pic>
              </a:graphicData>
            </a:graphic>
          </wp:inline>
        </w:drawing>
      </w:r>
    </w:p>
    <w:p w:rsidR="000700DA" w:rsidRPr="007D161A" w:rsidRDefault="000700DA">
      <w:pPr>
        <w:rPr>
          <w:rFonts w:ascii="Book Antiqua" w:eastAsia="Book Antiqua" w:hAnsi="Book Antiqua" w:cs="Book Antiqua"/>
          <w:color w:val="000000"/>
          <w:sz w:val="16"/>
          <w:szCs w:val="16"/>
        </w:rPr>
      </w:pPr>
    </w:p>
    <w:p w:rsidR="000700DA" w:rsidRDefault="00706EF9">
      <w:pPr>
        <w:tabs>
          <w:tab w:val="right" w:pos="9720"/>
        </w:tabs>
        <w:ind w:right="-82"/>
        <w:rPr>
          <w:rFonts w:ascii="Book Antiqua" w:eastAsia="Book Antiqua" w:hAnsi="Book Antiqua" w:cs="Book Antiqua"/>
          <w:b/>
          <w:color w:val="000000"/>
        </w:rPr>
      </w:pPr>
      <w:r>
        <w:rPr>
          <w:rFonts w:ascii="Book Antiqua" w:eastAsia="Book Antiqua" w:hAnsi="Book Antiqua" w:cs="Book Antiqua"/>
          <w:b/>
          <w:color w:val="000000"/>
        </w:rPr>
        <w:t>Upper Tribunal</w:t>
      </w:r>
    </w:p>
    <w:p w:rsidR="000700DA" w:rsidRDefault="00706EF9">
      <w:pPr>
        <w:tabs>
          <w:tab w:val="right" w:pos="9720"/>
        </w:tabs>
        <w:ind w:right="-82"/>
        <w:rPr>
          <w:rFonts w:ascii="Book Antiqua" w:eastAsia="Book Antiqua" w:hAnsi="Book Antiqua" w:cs="Book Antiqua"/>
          <w:smallCaps/>
          <w:color w:val="000000"/>
        </w:rPr>
      </w:pPr>
      <w:r>
        <w:rPr>
          <w:rFonts w:ascii="Book Antiqua" w:eastAsia="Book Antiqua" w:hAnsi="Book Antiqua" w:cs="Book Antiqua"/>
          <w:b/>
          <w:color w:val="000000"/>
        </w:rPr>
        <w:t>(Immigration and Asylum Chamber)</w:t>
      </w:r>
      <w:r>
        <w:rPr>
          <w:rFonts w:ascii="Book Antiqua" w:eastAsia="Book Antiqua" w:hAnsi="Book Antiqua" w:cs="Book Antiqua"/>
          <w:b/>
          <w:color w:val="000000"/>
        </w:rPr>
        <w:tab/>
      </w:r>
      <w:r>
        <w:rPr>
          <w:rFonts w:ascii="Book Antiqua" w:eastAsia="Book Antiqua" w:hAnsi="Book Antiqua" w:cs="Book Antiqua"/>
          <w:color w:val="000000"/>
        </w:rPr>
        <w:t xml:space="preserve">Appeal Number: </w:t>
      </w:r>
      <w:bookmarkStart w:id="0" w:name="_Hlk513817895"/>
      <w:r w:rsidR="00C8719E">
        <w:rPr>
          <w:rFonts w:ascii="Book Antiqua" w:eastAsia="Book Antiqua" w:hAnsi="Book Antiqua" w:cs="Book Antiqua"/>
          <w:color w:val="000000"/>
        </w:rPr>
        <w:t>HU</w:t>
      </w:r>
      <w:r>
        <w:rPr>
          <w:rFonts w:ascii="Book Antiqua" w:eastAsia="Book Antiqua" w:hAnsi="Book Antiqua" w:cs="Book Antiqua"/>
          <w:smallCaps/>
          <w:color w:val="000000"/>
        </w:rPr>
        <w:t>/</w:t>
      </w:r>
      <w:r w:rsidR="00A12932">
        <w:rPr>
          <w:rFonts w:ascii="Book Antiqua" w:eastAsia="Book Antiqua" w:hAnsi="Book Antiqua" w:cs="Book Antiqua"/>
          <w:smallCaps/>
          <w:color w:val="000000"/>
        </w:rPr>
        <w:t>03359</w:t>
      </w:r>
      <w:r>
        <w:rPr>
          <w:rFonts w:ascii="Book Antiqua" w:eastAsia="Book Antiqua" w:hAnsi="Book Antiqua" w:cs="Book Antiqua"/>
          <w:smallCaps/>
          <w:color w:val="000000"/>
        </w:rPr>
        <w:t>/201</w:t>
      </w:r>
      <w:r w:rsidR="001243F4">
        <w:rPr>
          <w:rFonts w:ascii="Book Antiqua" w:eastAsia="Book Antiqua" w:hAnsi="Book Antiqua" w:cs="Book Antiqua"/>
          <w:smallCaps/>
          <w:color w:val="000000"/>
        </w:rPr>
        <w:t>5</w:t>
      </w:r>
    </w:p>
    <w:p w:rsidR="001243F4" w:rsidRDefault="001243F4">
      <w:pPr>
        <w:tabs>
          <w:tab w:val="right" w:pos="9720"/>
        </w:tabs>
        <w:ind w:right="-82"/>
        <w:rPr>
          <w:rFonts w:ascii="Book Antiqua" w:eastAsia="Book Antiqua" w:hAnsi="Book Antiqua" w:cs="Book Antiqua"/>
          <w:smallCaps/>
          <w:color w:val="000000"/>
        </w:rPr>
      </w:pPr>
      <w:r>
        <w:rPr>
          <w:rFonts w:ascii="Book Antiqua" w:eastAsia="Book Antiqua" w:hAnsi="Book Antiqua" w:cs="Book Antiqua"/>
          <w:color w:val="000000"/>
        </w:rPr>
        <w:tab/>
      </w:r>
      <w:bookmarkStart w:id="1" w:name="_GoBack"/>
      <w:r>
        <w:rPr>
          <w:rFonts w:ascii="Book Antiqua" w:eastAsia="Book Antiqua" w:hAnsi="Book Antiqua" w:cs="Book Antiqua"/>
          <w:color w:val="000000"/>
        </w:rPr>
        <w:t>HU</w:t>
      </w:r>
      <w:r>
        <w:rPr>
          <w:rFonts w:ascii="Book Antiqua" w:eastAsia="Book Antiqua" w:hAnsi="Book Antiqua" w:cs="Book Antiqua"/>
          <w:smallCaps/>
          <w:color w:val="000000"/>
        </w:rPr>
        <w:t>/03361/2015</w:t>
      </w:r>
      <w:bookmarkEnd w:id="1"/>
    </w:p>
    <w:bookmarkEnd w:id="0"/>
    <w:p w:rsidR="000700DA" w:rsidRDefault="000700DA">
      <w:pPr>
        <w:jc w:val="center"/>
        <w:rPr>
          <w:rFonts w:ascii="Book Antiqua" w:eastAsia="Book Antiqua" w:hAnsi="Book Antiqua" w:cs="Book Antiqua"/>
          <w:color w:val="000000"/>
        </w:rPr>
      </w:pPr>
    </w:p>
    <w:p w:rsidR="000700DA" w:rsidRDefault="000700DA">
      <w:pPr>
        <w:jc w:val="center"/>
        <w:rPr>
          <w:rFonts w:ascii="Book Antiqua" w:eastAsia="Book Antiqua" w:hAnsi="Book Antiqua" w:cs="Book Antiqua"/>
          <w:color w:val="000000"/>
        </w:rPr>
      </w:pPr>
    </w:p>
    <w:p w:rsidR="000700DA" w:rsidRDefault="00706EF9">
      <w:pPr>
        <w:jc w:val="center"/>
        <w:rPr>
          <w:rFonts w:ascii="Book Antiqua" w:eastAsia="Book Antiqua" w:hAnsi="Book Antiqua" w:cs="Book Antiqua"/>
          <w:b/>
          <w:color w:val="000000"/>
          <w:u w:val="single"/>
        </w:rPr>
      </w:pPr>
      <w:r>
        <w:rPr>
          <w:rFonts w:ascii="Book Antiqua" w:eastAsia="Book Antiqua" w:hAnsi="Book Antiqua" w:cs="Book Antiqua"/>
          <w:b/>
          <w:color w:val="000000"/>
          <w:u w:val="single"/>
        </w:rPr>
        <w:t>THE IMMIGRATION ACTS</w:t>
      </w:r>
    </w:p>
    <w:p w:rsidR="000700DA" w:rsidRDefault="000700DA">
      <w:pPr>
        <w:jc w:val="center"/>
        <w:rPr>
          <w:rFonts w:ascii="Book Antiqua" w:eastAsia="Book Antiqua" w:hAnsi="Book Antiqua" w:cs="Book Antiqua"/>
          <w:b/>
          <w:u w:val="single"/>
        </w:rPr>
      </w:pPr>
    </w:p>
    <w:p w:rsidR="000700DA" w:rsidRDefault="000700DA">
      <w:pPr>
        <w:jc w:val="center"/>
        <w:rPr>
          <w:rFonts w:ascii="Book Antiqua" w:eastAsia="Book Antiqua" w:hAnsi="Book Antiqua" w:cs="Book Antiqua"/>
          <w:b/>
          <w:u w:val="single"/>
        </w:rPr>
      </w:pPr>
    </w:p>
    <w:tbl>
      <w:tblPr>
        <w:tblStyle w:val="a"/>
        <w:tblW w:w="10008" w:type="dxa"/>
        <w:tblLayout w:type="fixed"/>
        <w:tblLook w:val="0000" w:firstRow="0" w:lastRow="0" w:firstColumn="0" w:lastColumn="0" w:noHBand="0" w:noVBand="0"/>
      </w:tblPr>
      <w:tblGrid>
        <w:gridCol w:w="6048"/>
        <w:gridCol w:w="3960"/>
      </w:tblGrid>
      <w:tr w:rsidR="000700DA">
        <w:tc>
          <w:tcPr>
            <w:tcW w:w="6048" w:type="dxa"/>
            <w:shd w:val="clear" w:color="auto" w:fill="auto"/>
          </w:tcPr>
          <w:p w:rsidR="000700DA" w:rsidRDefault="00706EF9">
            <w:pPr>
              <w:jc w:val="both"/>
              <w:rPr>
                <w:rFonts w:ascii="Book Antiqua" w:eastAsia="Book Antiqua" w:hAnsi="Book Antiqua" w:cs="Book Antiqua"/>
                <w:b/>
              </w:rPr>
            </w:pPr>
            <w:r>
              <w:rPr>
                <w:rFonts w:ascii="Book Antiqua" w:eastAsia="Book Antiqua" w:hAnsi="Book Antiqua" w:cs="Book Antiqua"/>
                <w:b/>
              </w:rPr>
              <w:t>Heard at Field House</w:t>
            </w:r>
          </w:p>
        </w:tc>
        <w:tc>
          <w:tcPr>
            <w:tcW w:w="3960" w:type="dxa"/>
            <w:shd w:val="clear" w:color="auto" w:fill="auto"/>
          </w:tcPr>
          <w:p w:rsidR="000700DA" w:rsidRDefault="00706EF9">
            <w:pPr>
              <w:jc w:val="both"/>
              <w:rPr>
                <w:rFonts w:ascii="Book Antiqua" w:eastAsia="Book Antiqua" w:hAnsi="Book Antiqua" w:cs="Book Antiqua"/>
                <w:b/>
                <w:color w:val="000000"/>
              </w:rPr>
            </w:pPr>
            <w:r>
              <w:rPr>
                <w:rFonts w:ascii="Book Antiqua" w:eastAsia="Book Antiqua" w:hAnsi="Book Antiqua" w:cs="Book Antiqua"/>
                <w:b/>
                <w:color w:val="000000"/>
              </w:rPr>
              <w:t>Promulgated</w:t>
            </w:r>
          </w:p>
        </w:tc>
      </w:tr>
      <w:tr w:rsidR="000700DA">
        <w:tc>
          <w:tcPr>
            <w:tcW w:w="6048" w:type="dxa"/>
            <w:shd w:val="clear" w:color="auto" w:fill="auto"/>
          </w:tcPr>
          <w:p w:rsidR="000700DA" w:rsidRDefault="00706EF9">
            <w:pPr>
              <w:jc w:val="both"/>
              <w:rPr>
                <w:rFonts w:ascii="Book Antiqua" w:eastAsia="Book Antiqua" w:hAnsi="Book Antiqua" w:cs="Book Antiqua"/>
                <w:b/>
              </w:rPr>
            </w:pPr>
            <w:r>
              <w:rPr>
                <w:rFonts w:ascii="Book Antiqua" w:eastAsia="Book Antiqua" w:hAnsi="Book Antiqua" w:cs="Book Antiqua"/>
                <w:b/>
              </w:rPr>
              <w:t xml:space="preserve">On </w:t>
            </w:r>
            <w:r w:rsidR="00A46F26">
              <w:rPr>
                <w:rFonts w:ascii="Book Antiqua" w:eastAsia="Book Antiqua" w:hAnsi="Book Antiqua" w:cs="Book Antiqua"/>
                <w:b/>
              </w:rPr>
              <w:t>16 May</w:t>
            </w:r>
            <w:r>
              <w:rPr>
                <w:rFonts w:ascii="Book Antiqua" w:eastAsia="Book Antiqua" w:hAnsi="Book Antiqua" w:cs="Book Antiqua"/>
                <w:b/>
              </w:rPr>
              <w:t xml:space="preserve"> 201</w:t>
            </w:r>
            <w:r w:rsidR="002623D4">
              <w:rPr>
                <w:rFonts w:ascii="Book Antiqua" w:eastAsia="Book Antiqua" w:hAnsi="Book Antiqua" w:cs="Book Antiqua"/>
                <w:b/>
              </w:rPr>
              <w:t>8</w:t>
            </w:r>
          </w:p>
        </w:tc>
        <w:tc>
          <w:tcPr>
            <w:tcW w:w="3960" w:type="dxa"/>
            <w:shd w:val="clear" w:color="auto" w:fill="auto"/>
          </w:tcPr>
          <w:p w:rsidR="000700DA" w:rsidRDefault="00001739">
            <w:pPr>
              <w:jc w:val="both"/>
              <w:rPr>
                <w:rFonts w:ascii="Book Antiqua" w:eastAsia="Book Antiqua" w:hAnsi="Book Antiqua" w:cs="Book Antiqua"/>
                <w:b/>
              </w:rPr>
            </w:pPr>
            <w:r>
              <w:rPr>
                <w:rFonts w:ascii="Book Antiqua" w:eastAsia="Book Antiqua" w:hAnsi="Book Antiqua" w:cs="Book Antiqua"/>
                <w:b/>
              </w:rPr>
              <w:t>On 21 May 2018</w:t>
            </w:r>
          </w:p>
        </w:tc>
      </w:tr>
      <w:tr w:rsidR="000700DA">
        <w:tc>
          <w:tcPr>
            <w:tcW w:w="6048" w:type="dxa"/>
            <w:shd w:val="clear" w:color="auto" w:fill="auto"/>
          </w:tcPr>
          <w:p w:rsidR="000700DA" w:rsidRDefault="000700DA">
            <w:pPr>
              <w:jc w:val="both"/>
              <w:rPr>
                <w:rFonts w:ascii="Book Antiqua" w:eastAsia="Book Antiqua" w:hAnsi="Book Antiqua" w:cs="Book Antiqua"/>
                <w:b/>
              </w:rPr>
            </w:pPr>
          </w:p>
        </w:tc>
        <w:tc>
          <w:tcPr>
            <w:tcW w:w="3960" w:type="dxa"/>
            <w:shd w:val="clear" w:color="auto" w:fill="auto"/>
          </w:tcPr>
          <w:p w:rsidR="000700DA" w:rsidRDefault="000700DA">
            <w:pPr>
              <w:jc w:val="both"/>
              <w:rPr>
                <w:rFonts w:ascii="Book Antiqua" w:eastAsia="Book Antiqua" w:hAnsi="Book Antiqua" w:cs="Book Antiqua"/>
                <w:b/>
              </w:rPr>
            </w:pPr>
          </w:p>
        </w:tc>
      </w:tr>
    </w:tbl>
    <w:p w:rsidR="000700DA" w:rsidRDefault="000700DA">
      <w:pPr>
        <w:jc w:val="center"/>
        <w:rPr>
          <w:rFonts w:ascii="Book Antiqua" w:eastAsia="Book Antiqua" w:hAnsi="Book Antiqua" w:cs="Book Antiqua"/>
        </w:rPr>
      </w:pPr>
    </w:p>
    <w:p w:rsidR="000700DA" w:rsidRDefault="00706EF9">
      <w:pPr>
        <w:jc w:val="center"/>
        <w:rPr>
          <w:rFonts w:ascii="Book Antiqua" w:eastAsia="Book Antiqua" w:hAnsi="Book Antiqua" w:cs="Book Antiqua"/>
          <w:b/>
        </w:rPr>
      </w:pPr>
      <w:r>
        <w:rPr>
          <w:rFonts w:ascii="Book Antiqua" w:eastAsia="Book Antiqua" w:hAnsi="Book Antiqua" w:cs="Book Antiqua"/>
          <w:b/>
        </w:rPr>
        <w:t>Before</w:t>
      </w:r>
    </w:p>
    <w:p w:rsidR="000700DA" w:rsidRDefault="000700DA">
      <w:pPr>
        <w:jc w:val="center"/>
        <w:rPr>
          <w:rFonts w:ascii="Book Antiqua" w:eastAsia="Book Antiqua" w:hAnsi="Book Antiqua" w:cs="Book Antiqua"/>
          <w:b/>
        </w:rPr>
      </w:pPr>
    </w:p>
    <w:p w:rsidR="000700DA" w:rsidRDefault="00706EF9">
      <w:pPr>
        <w:jc w:val="center"/>
        <w:rPr>
          <w:rFonts w:ascii="Book Antiqua" w:eastAsia="Book Antiqua" w:hAnsi="Book Antiqua" w:cs="Book Antiqua"/>
          <w:b/>
          <w:color w:val="000000"/>
        </w:rPr>
      </w:pPr>
      <w:r>
        <w:rPr>
          <w:rFonts w:ascii="Book Antiqua" w:eastAsia="Book Antiqua" w:hAnsi="Book Antiqua" w:cs="Book Antiqua"/>
          <w:b/>
          <w:color w:val="000000"/>
        </w:rPr>
        <w:t>UPPER TRIBUNAL JUDGE KOPIECZEK</w:t>
      </w:r>
    </w:p>
    <w:p w:rsidR="000700DA" w:rsidRDefault="000700DA">
      <w:pPr>
        <w:jc w:val="center"/>
        <w:rPr>
          <w:rFonts w:ascii="Book Antiqua" w:eastAsia="Book Antiqua" w:hAnsi="Book Antiqua" w:cs="Book Antiqua"/>
          <w:b/>
        </w:rPr>
      </w:pPr>
    </w:p>
    <w:p w:rsidR="007D161A" w:rsidRDefault="007D161A">
      <w:pPr>
        <w:jc w:val="center"/>
        <w:rPr>
          <w:rFonts w:ascii="Book Antiqua" w:eastAsia="Book Antiqua" w:hAnsi="Book Antiqua" w:cs="Book Antiqua"/>
          <w:b/>
        </w:rPr>
      </w:pPr>
    </w:p>
    <w:p w:rsidR="000700DA" w:rsidRDefault="00706EF9">
      <w:pPr>
        <w:jc w:val="center"/>
        <w:rPr>
          <w:rFonts w:ascii="Book Antiqua" w:eastAsia="Book Antiqua" w:hAnsi="Book Antiqua" w:cs="Book Antiqua"/>
          <w:b/>
        </w:rPr>
      </w:pPr>
      <w:r>
        <w:rPr>
          <w:rFonts w:ascii="Book Antiqua" w:eastAsia="Book Antiqua" w:hAnsi="Book Antiqua" w:cs="Book Antiqua"/>
          <w:b/>
        </w:rPr>
        <w:t>Between</w:t>
      </w:r>
    </w:p>
    <w:p w:rsidR="0062166F" w:rsidRDefault="0062166F">
      <w:pPr>
        <w:jc w:val="center"/>
        <w:rPr>
          <w:rFonts w:ascii="Book Antiqua" w:eastAsia="Book Antiqua" w:hAnsi="Book Antiqua" w:cs="Book Antiqua"/>
          <w:b/>
        </w:rPr>
      </w:pPr>
    </w:p>
    <w:p w:rsidR="000700DA" w:rsidRDefault="0062166F">
      <w:pPr>
        <w:jc w:val="center"/>
        <w:rPr>
          <w:rFonts w:ascii="Book Antiqua" w:eastAsia="Book Antiqua" w:hAnsi="Book Antiqua" w:cs="Book Antiqua"/>
          <w:b/>
        </w:rPr>
      </w:pPr>
      <w:r>
        <w:rPr>
          <w:rFonts w:ascii="Book Antiqua" w:eastAsia="Book Antiqua" w:hAnsi="Book Antiqua" w:cs="Book Antiqua"/>
          <w:b/>
        </w:rPr>
        <w:t>ENTRY CLEARANCE OFFICER</w:t>
      </w:r>
    </w:p>
    <w:p w:rsidR="000700DA" w:rsidRDefault="00706EF9">
      <w:pPr>
        <w:jc w:val="right"/>
        <w:rPr>
          <w:rFonts w:ascii="Book Antiqua" w:eastAsia="Book Antiqua" w:hAnsi="Book Antiqua" w:cs="Book Antiqua"/>
          <w:u w:val="single"/>
        </w:rPr>
      </w:pPr>
      <w:r>
        <w:rPr>
          <w:rFonts w:ascii="Book Antiqua" w:eastAsia="Book Antiqua" w:hAnsi="Book Antiqua" w:cs="Book Antiqua"/>
          <w:u w:val="single"/>
        </w:rPr>
        <w:t>Appellant</w:t>
      </w:r>
    </w:p>
    <w:p w:rsidR="000700DA" w:rsidRDefault="00706EF9">
      <w:pPr>
        <w:jc w:val="center"/>
        <w:rPr>
          <w:rFonts w:ascii="Book Antiqua" w:eastAsia="Book Antiqua" w:hAnsi="Book Antiqua" w:cs="Book Antiqua"/>
          <w:b/>
        </w:rPr>
      </w:pPr>
      <w:r>
        <w:rPr>
          <w:rFonts w:ascii="Book Antiqua" w:eastAsia="Book Antiqua" w:hAnsi="Book Antiqua" w:cs="Book Antiqua"/>
          <w:b/>
        </w:rPr>
        <w:t>and</w:t>
      </w:r>
    </w:p>
    <w:p w:rsidR="000700DA" w:rsidRDefault="000700DA">
      <w:pPr>
        <w:jc w:val="center"/>
        <w:rPr>
          <w:rFonts w:ascii="Book Antiqua" w:eastAsia="Book Antiqua" w:hAnsi="Book Antiqua" w:cs="Book Antiqua"/>
          <w:b/>
        </w:rPr>
      </w:pPr>
    </w:p>
    <w:p w:rsidR="0062166F" w:rsidRDefault="0062166F" w:rsidP="0062166F">
      <w:pPr>
        <w:jc w:val="center"/>
        <w:rPr>
          <w:rFonts w:ascii="Book Antiqua" w:eastAsia="Book Antiqua" w:hAnsi="Book Antiqua" w:cs="Book Antiqua"/>
          <w:b/>
          <w:smallCaps/>
        </w:rPr>
      </w:pPr>
      <w:bookmarkStart w:id="2" w:name="gjdgxs" w:colFirst="0" w:colLast="0"/>
      <w:bookmarkEnd w:id="2"/>
      <w:r>
        <w:rPr>
          <w:rFonts w:ascii="Book Antiqua" w:eastAsia="Book Antiqua" w:hAnsi="Book Antiqua" w:cs="Book Antiqua"/>
          <w:b/>
          <w:smallCaps/>
        </w:rPr>
        <w:t>BINDU MALL</w:t>
      </w:r>
    </w:p>
    <w:p w:rsidR="000700DA" w:rsidRPr="0062166F" w:rsidRDefault="0062166F" w:rsidP="0062166F">
      <w:pPr>
        <w:jc w:val="center"/>
        <w:rPr>
          <w:rFonts w:ascii="Book Antiqua" w:eastAsia="Book Antiqua" w:hAnsi="Book Antiqua" w:cs="Book Antiqua"/>
          <w:b/>
          <w:smallCaps/>
        </w:rPr>
      </w:pPr>
      <w:r>
        <w:rPr>
          <w:rFonts w:ascii="Book Antiqua" w:eastAsia="Book Antiqua" w:hAnsi="Book Antiqua" w:cs="Book Antiqua"/>
          <w:b/>
          <w:smallCaps/>
        </w:rPr>
        <w:t>DIPENDRA MALL</w:t>
      </w:r>
    </w:p>
    <w:p w:rsidR="000700DA" w:rsidRDefault="00706EF9">
      <w:pPr>
        <w:jc w:val="right"/>
        <w:rPr>
          <w:rFonts w:ascii="Book Antiqua" w:eastAsia="Book Antiqua" w:hAnsi="Book Antiqua" w:cs="Book Antiqua"/>
          <w:u w:val="single"/>
        </w:rPr>
      </w:pPr>
      <w:r>
        <w:rPr>
          <w:rFonts w:ascii="Book Antiqua" w:eastAsia="Book Antiqua" w:hAnsi="Book Antiqua" w:cs="Book Antiqua"/>
          <w:u w:val="single"/>
        </w:rPr>
        <w:t>Respondent</w:t>
      </w:r>
      <w:r w:rsidR="0062166F">
        <w:rPr>
          <w:rFonts w:ascii="Book Antiqua" w:eastAsia="Book Antiqua" w:hAnsi="Book Antiqua" w:cs="Book Antiqua"/>
          <w:u w:val="single"/>
        </w:rPr>
        <w:t>s</w:t>
      </w:r>
    </w:p>
    <w:p w:rsidR="000700DA" w:rsidRDefault="000700DA">
      <w:pPr>
        <w:rPr>
          <w:rFonts w:ascii="Book Antiqua" w:eastAsia="Book Antiqua" w:hAnsi="Book Antiqua" w:cs="Book Antiqua"/>
          <w:u w:val="single"/>
        </w:rPr>
      </w:pPr>
    </w:p>
    <w:p w:rsidR="000700DA" w:rsidRDefault="000700DA">
      <w:pPr>
        <w:rPr>
          <w:rFonts w:ascii="Book Antiqua" w:eastAsia="Book Antiqua" w:hAnsi="Book Antiqua" w:cs="Book Antiqua"/>
          <w:u w:val="single"/>
        </w:rPr>
      </w:pPr>
    </w:p>
    <w:p w:rsidR="000700DA" w:rsidRDefault="00706EF9">
      <w:pPr>
        <w:rPr>
          <w:rFonts w:ascii="Book Antiqua" w:eastAsia="Book Antiqua" w:hAnsi="Book Antiqua" w:cs="Book Antiqua"/>
        </w:rPr>
      </w:pPr>
      <w:r>
        <w:rPr>
          <w:rFonts w:ascii="Book Antiqua" w:eastAsia="Book Antiqua" w:hAnsi="Book Antiqua" w:cs="Book Antiqua"/>
          <w:b/>
          <w:u w:val="single"/>
        </w:rPr>
        <w:t>Representation</w:t>
      </w:r>
      <w:r>
        <w:rPr>
          <w:rFonts w:ascii="Book Antiqua" w:eastAsia="Book Antiqua" w:hAnsi="Book Antiqua" w:cs="Book Antiqua"/>
          <w:b/>
        </w:rPr>
        <w:t>:</w:t>
      </w:r>
    </w:p>
    <w:p w:rsidR="000700DA" w:rsidRDefault="00706EF9">
      <w:pPr>
        <w:tabs>
          <w:tab w:val="left" w:pos="2520"/>
        </w:tabs>
        <w:rPr>
          <w:rFonts w:ascii="Book Antiqua" w:eastAsia="Book Antiqua" w:hAnsi="Book Antiqua" w:cs="Book Antiqua"/>
        </w:rPr>
      </w:pPr>
      <w:r>
        <w:rPr>
          <w:rFonts w:ascii="Book Antiqua" w:eastAsia="Book Antiqua" w:hAnsi="Book Antiqua" w:cs="Book Antiqua"/>
        </w:rPr>
        <w:t>For the Appellant:</w:t>
      </w:r>
      <w:r w:rsidR="0062166F">
        <w:rPr>
          <w:rFonts w:ascii="Book Antiqua" w:eastAsia="Book Antiqua" w:hAnsi="Book Antiqua" w:cs="Book Antiqua"/>
        </w:rPr>
        <w:t xml:space="preserve"> </w:t>
      </w:r>
      <w:r w:rsidR="004B17FF">
        <w:rPr>
          <w:rFonts w:ascii="Book Antiqua" w:eastAsia="Book Antiqua" w:hAnsi="Book Antiqua" w:cs="Book Antiqua"/>
        </w:rPr>
        <w:t>M</w:t>
      </w:r>
      <w:r w:rsidR="00C472ED">
        <w:rPr>
          <w:rFonts w:ascii="Book Antiqua" w:eastAsia="Book Antiqua" w:hAnsi="Book Antiqua" w:cs="Book Antiqua"/>
        </w:rPr>
        <w:t xml:space="preserve">r M. </w:t>
      </w:r>
      <w:r w:rsidR="00DE3AF6">
        <w:rPr>
          <w:rFonts w:ascii="Book Antiqua" w:hAnsi="Book Antiqua" w:cs="Arial"/>
        </w:rPr>
        <w:t>Diwnyez</w:t>
      </w:r>
      <w:r w:rsidR="00C27859">
        <w:rPr>
          <w:rFonts w:ascii="Book Antiqua" w:eastAsia="Book Antiqua" w:hAnsi="Book Antiqua" w:cs="Book Antiqua"/>
        </w:rPr>
        <w:t xml:space="preserve">, </w:t>
      </w:r>
      <w:r w:rsidR="0062166F">
        <w:rPr>
          <w:rFonts w:ascii="Book Antiqua" w:eastAsia="Book Antiqua" w:hAnsi="Book Antiqua" w:cs="Book Antiqua"/>
        </w:rPr>
        <w:t>Senior Home Office Presenting Officer</w:t>
      </w:r>
    </w:p>
    <w:p w:rsidR="000700DA" w:rsidRDefault="00706EF9">
      <w:pPr>
        <w:tabs>
          <w:tab w:val="left" w:pos="2520"/>
        </w:tabs>
        <w:rPr>
          <w:rFonts w:ascii="Book Antiqua" w:eastAsia="Book Antiqua" w:hAnsi="Book Antiqua" w:cs="Book Antiqua"/>
        </w:rPr>
      </w:pPr>
      <w:r>
        <w:rPr>
          <w:rFonts w:ascii="Book Antiqua" w:eastAsia="Book Antiqua" w:hAnsi="Book Antiqua" w:cs="Book Antiqua"/>
        </w:rPr>
        <w:t>For the Respondent</w:t>
      </w:r>
      <w:r w:rsidR="0062166F">
        <w:rPr>
          <w:rFonts w:ascii="Book Antiqua" w:eastAsia="Book Antiqua" w:hAnsi="Book Antiqua" w:cs="Book Antiqua"/>
        </w:rPr>
        <w:t>s</w:t>
      </w:r>
      <w:r>
        <w:rPr>
          <w:rFonts w:ascii="Book Antiqua" w:eastAsia="Book Antiqua" w:hAnsi="Book Antiqua" w:cs="Book Antiqua"/>
        </w:rPr>
        <w:t>:</w:t>
      </w:r>
      <w:r w:rsidR="00C27859">
        <w:rPr>
          <w:rFonts w:ascii="Book Antiqua" w:eastAsia="Book Antiqua" w:hAnsi="Book Antiqua" w:cs="Book Antiqua"/>
        </w:rPr>
        <w:t xml:space="preserve"> Mr R. Layne, Counsel</w:t>
      </w:r>
    </w:p>
    <w:p w:rsidR="000700DA" w:rsidRDefault="000700DA">
      <w:pPr>
        <w:tabs>
          <w:tab w:val="left" w:pos="2520"/>
        </w:tabs>
        <w:jc w:val="center"/>
        <w:rPr>
          <w:rFonts w:ascii="Book Antiqua" w:eastAsia="Book Antiqua" w:hAnsi="Book Antiqua" w:cs="Book Antiqua"/>
        </w:rPr>
      </w:pPr>
    </w:p>
    <w:p w:rsidR="000700DA" w:rsidRDefault="000700DA">
      <w:pPr>
        <w:tabs>
          <w:tab w:val="left" w:pos="2520"/>
        </w:tabs>
        <w:jc w:val="center"/>
        <w:rPr>
          <w:rFonts w:ascii="Book Antiqua" w:eastAsia="Book Antiqua" w:hAnsi="Book Antiqua" w:cs="Book Antiqua"/>
        </w:rPr>
      </w:pPr>
    </w:p>
    <w:p w:rsidR="000700DA" w:rsidRDefault="00706EF9">
      <w:pPr>
        <w:tabs>
          <w:tab w:val="left" w:pos="2520"/>
        </w:tabs>
        <w:jc w:val="center"/>
        <w:rPr>
          <w:rFonts w:ascii="Book Antiqua" w:eastAsia="Book Antiqua" w:hAnsi="Book Antiqua" w:cs="Book Antiqua"/>
        </w:rPr>
      </w:pPr>
      <w:r>
        <w:rPr>
          <w:rFonts w:ascii="Book Antiqua" w:eastAsia="Book Antiqua" w:hAnsi="Book Antiqua" w:cs="Book Antiqua"/>
          <w:b/>
          <w:u w:val="single"/>
        </w:rPr>
        <w:t>DECISION AND REASONS</w:t>
      </w:r>
    </w:p>
    <w:p w:rsidR="0062166F" w:rsidRDefault="00706EF9" w:rsidP="0062166F">
      <w:pPr>
        <w:numPr>
          <w:ilvl w:val="0"/>
          <w:numId w:val="2"/>
        </w:numPr>
        <w:spacing w:before="240"/>
        <w:jc w:val="both"/>
        <w:rPr>
          <w:rFonts w:ascii="Book Antiqua" w:hAnsi="Book Antiqua"/>
        </w:rPr>
      </w:pPr>
      <w:r>
        <w:rPr>
          <w:rFonts w:ascii="Book Antiqua" w:eastAsia="Book Antiqua" w:hAnsi="Book Antiqua" w:cs="Book Antiqua"/>
        </w:rPr>
        <w:t>Th</w:t>
      </w:r>
      <w:r w:rsidR="000A1414">
        <w:rPr>
          <w:rFonts w:ascii="Book Antiqua" w:eastAsia="Book Antiqua" w:hAnsi="Book Antiqua" w:cs="Book Antiqua"/>
        </w:rPr>
        <w:t>e appellant in these proceedings is the Entry Clearance Officer (“the ECO”)</w:t>
      </w:r>
      <w:r w:rsidR="00A8197F">
        <w:rPr>
          <w:rFonts w:ascii="Book Antiqua" w:eastAsia="Book Antiqua" w:hAnsi="Book Antiqua" w:cs="Book Antiqua"/>
        </w:rPr>
        <w:t>. However, for convenience I refer to the parties as they were before the First-tier Tribunal.</w:t>
      </w:r>
    </w:p>
    <w:p w:rsidR="00412E73" w:rsidRDefault="00A8197F" w:rsidP="00A13403">
      <w:pPr>
        <w:numPr>
          <w:ilvl w:val="0"/>
          <w:numId w:val="2"/>
        </w:numPr>
        <w:spacing w:before="240"/>
        <w:jc w:val="both"/>
        <w:rPr>
          <w:rFonts w:ascii="Book Antiqua" w:hAnsi="Book Antiqua"/>
        </w:rPr>
      </w:pPr>
      <w:r>
        <w:rPr>
          <w:rFonts w:ascii="Book Antiqua" w:hAnsi="Book Antiqua"/>
        </w:rPr>
        <w:t>The appellants are citizens</w:t>
      </w:r>
      <w:r w:rsidR="001F5F66">
        <w:rPr>
          <w:rFonts w:ascii="Book Antiqua" w:hAnsi="Book Antiqua"/>
        </w:rPr>
        <w:t xml:space="preserve"> of Nepal, born on </w:t>
      </w:r>
      <w:r w:rsidR="00B35168">
        <w:rPr>
          <w:rFonts w:ascii="Book Antiqua" w:hAnsi="Book Antiqua"/>
        </w:rPr>
        <w:t xml:space="preserve">17 August 1985 and 16 March 1989, respectively. They applied on 17 June 2015 for entry clearance </w:t>
      </w:r>
      <w:r w:rsidR="004A5C7E">
        <w:rPr>
          <w:rFonts w:ascii="Book Antiqua" w:hAnsi="Book Antiqua"/>
        </w:rPr>
        <w:t>for the purposes of settlement as the adult dependant relatives of an ex-Gurkha soldier</w:t>
      </w:r>
      <w:r w:rsidR="008717E5">
        <w:rPr>
          <w:rFonts w:ascii="Book Antiqua" w:hAnsi="Book Antiqua"/>
        </w:rPr>
        <w:t xml:space="preserve">, their father Res </w:t>
      </w:r>
      <w:r w:rsidR="008717E5">
        <w:rPr>
          <w:rFonts w:ascii="Book Antiqua" w:hAnsi="Book Antiqua"/>
        </w:rPr>
        <w:lastRenderedPageBreak/>
        <w:t>Bahadur Mall</w:t>
      </w:r>
      <w:r w:rsidR="00180B05">
        <w:rPr>
          <w:rFonts w:ascii="Book Antiqua" w:hAnsi="Book Antiqua"/>
        </w:rPr>
        <w:t xml:space="preserve"> (“the sponsor”)</w:t>
      </w:r>
      <w:r w:rsidR="008717E5">
        <w:rPr>
          <w:rFonts w:ascii="Book Antiqua" w:hAnsi="Book Antiqua"/>
        </w:rPr>
        <w:t xml:space="preserve">. Their applications were refused in decisions dated </w:t>
      </w:r>
      <w:r w:rsidR="00F16BED">
        <w:rPr>
          <w:rFonts w:ascii="Book Antiqua" w:hAnsi="Book Antiqua"/>
        </w:rPr>
        <w:t>6 July 2015.</w:t>
      </w:r>
    </w:p>
    <w:p w:rsidR="00F16BED" w:rsidRDefault="00F16BED" w:rsidP="00A13403">
      <w:pPr>
        <w:numPr>
          <w:ilvl w:val="0"/>
          <w:numId w:val="2"/>
        </w:numPr>
        <w:spacing w:before="240"/>
        <w:jc w:val="both"/>
        <w:rPr>
          <w:rFonts w:ascii="Book Antiqua" w:hAnsi="Book Antiqua"/>
        </w:rPr>
      </w:pPr>
      <w:r>
        <w:rPr>
          <w:rFonts w:ascii="Book Antiqua" w:hAnsi="Book Antiqua"/>
        </w:rPr>
        <w:t xml:space="preserve">The appellants appealed and their appeals came before First-tier Tribunal Judge Talbot (“the FtJ”) at a hearing on </w:t>
      </w:r>
      <w:r w:rsidR="00E474DA">
        <w:rPr>
          <w:rFonts w:ascii="Book Antiqua" w:hAnsi="Book Antiqua"/>
        </w:rPr>
        <w:t>3 April 2017 whereby he allowed the appeals on Article 8 grounds outside the Immigration Rules.</w:t>
      </w:r>
      <w:r w:rsidR="00063779">
        <w:rPr>
          <w:rFonts w:ascii="Book Antiqua" w:hAnsi="Book Antiqua"/>
        </w:rPr>
        <w:t xml:space="preserve"> I summarise the grounds upon which permission to appeal against his decision was granted, as well as the submissions of the parties.</w:t>
      </w:r>
    </w:p>
    <w:p w:rsidR="00DC3414" w:rsidRPr="00DC3414" w:rsidRDefault="00DC3414" w:rsidP="00DC3414">
      <w:pPr>
        <w:spacing w:before="240"/>
        <w:ind w:left="567"/>
        <w:jc w:val="both"/>
        <w:rPr>
          <w:rFonts w:ascii="Book Antiqua" w:hAnsi="Book Antiqua"/>
          <w:i/>
        </w:rPr>
      </w:pPr>
      <w:r>
        <w:rPr>
          <w:rFonts w:ascii="Book Antiqua" w:hAnsi="Book Antiqua"/>
          <w:i/>
        </w:rPr>
        <w:t>The grounds and submissions</w:t>
      </w:r>
    </w:p>
    <w:p w:rsidR="00DC3414" w:rsidRDefault="00B76860" w:rsidP="00A13403">
      <w:pPr>
        <w:numPr>
          <w:ilvl w:val="0"/>
          <w:numId w:val="2"/>
        </w:numPr>
        <w:spacing w:before="240"/>
        <w:jc w:val="both"/>
        <w:rPr>
          <w:rFonts w:ascii="Book Antiqua" w:hAnsi="Book Antiqua"/>
        </w:rPr>
      </w:pPr>
      <w:r>
        <w:rPr>
          <w:rFonts w:ascii="Book Antiqua" w:hAnsi="Book Antiqua"/>
        </w:rPr>
        <w:t xml:space="preserve">The respondent contends in the grounds that the appellants’ family ties with </w:t>
      </w:r>
      <w:r w:rsidR="00792A68">
        <w:rPr>
          <w:rFonts w:ascii="Book Antiqua" w:hAnsi="Book Antiqua"/>
        </w:rPr>
        <w:t>the</w:t>
      </w:r>
      <w:r w:rsidR="00180B05">
        <w:rPr>
          <w:rFonts w:ascii="Book Antiqua" w:hAnsi="Book Antiqua"/>
        </w:rPr>
        <w:t xml:space="preserve"> sponsor </w:t>
      </w:r>
      <w:r w:rsidR="00792A68">
        <w:rPr>
          <w:rFonts w:ascii="Book Antiqua" w:hAnsi="Book Antiqua"/>
        </w:rPr>
        <w:t xml:space="preserve">do not demonstrate emotional dependency over and above normal </w:t>
      </w:r>
      <w:r w:rsidR="00266F4B">
        <w:rPr>
          <w:rFonts w:ascii="Book Antiqua" w:hAnsi="Book Antiqua"/>
        </w:rPr>
        <w:t xml:space="preserve">emotional ties. The evidence before the FtJ in that respect was </w:t>
      </w:r>
      <w:r w:rsidR="00943540">
        <w:rPr>
          <w:rFonts w:ascii="Book Antiqua" w:hAnsi="Book Antiqua"/>
        </w:rPr>
        <w:t>lacking. Reference is made in the grounds to Appendix FM</w:t>
      </w:r>
      <w:r w:rsidR="00BA6403">
        <w:rPr>
          <w:rFonts w:ascii="Book Antiqua" w:hAnsi="Book Antiqua"/>
        </w:rPr>
        <w:t xml:space="preserve"> and</w:t>
      </w:r>
      <w:r w:rsidR="00943540">
        <w:rPr>
          <w:rFonts w:ascii="Book Antiqua" w:hAnsi="Book Antiqua"/>
        </w:rPr>
        <w:t xml:space="preserve"> Annex K</w:t>
      </w:r>
      <w:r w:rsidR="00BA6403">
        <w:rPr>
          <w:rFonts w:ascii="Book Antiqua" w:hAnsi="Book Antiqua"/>
        </w:rPr>
        <w:t xml:space="preserve"> of the Rules, as well as the Immigration Directorate </w:t>
      </w:r>
      <w:r w:rsidR="00003F1B">
        <w:rPr>
          <w:rFonts w:ascii="Book Antiqua" w:hAnsi="Book Antiqua"/>
        </w:rPr>
        <w:t>Instructions</w:t>
      </w:r>
      <w:r w:rsidR="00BA6403">
        <w:rPr>
          <w:rFonts w:ascii="Book Antiqua" w:hAnsi="Book Antiqua"/>
        </w:rPr>
        <w:t xml:space="preserve"> (“IDI’s”)</w:t>
      </w:r>
      <w:r w:rsidR="00D829A8">
        <w:rPr>
          <w:rFonts w:ascii="Book Antiqua" w:hAnsi="Book Antiqua"/>
        </w:rPr>
        <w:t>, none of which the appellants meet, it is said.</w:t>
      </w:r>
    </w:p>
    <w:p w:rsidR="00D829A8" w:rsidRDefault="00D829A8" w:rsidP="00A13403">
      <w:pPr>
        <w:numPr>
          <w:ilvl w:val="0"/>
          <w:numId w:val="2"/>
        </w:numPr>
        <w:spacing w:before="240"/>
        <w:jc w:val="both"/>
        <w:rPr>
          <w:rFonts w:ascii="Book Antiqua" w:hAnsi="Book Antiqua"/>
        </w:rPr>
      </w:pPr>
      <w:r>
        <w:rPr>
          <w:rFonts w:ascii="Book Antiqua" w:hAnsi="Book Antiqua"/>
        </w:rPr>
        <w:t xml:space="preserve">There was voluntary separation </w:t>
      </w:r>
      <w:r w:rsidR="00153492">
        <w:rPr>
          <w:rFonts w:ascii="Book Antiqua" w:hAnsi="Book Antiqua"/>
        </w:rPr>
        <w:t>by th</w:t>
      </w:r>
      <w:r w:rsidR="00180B05">
        <w:rPr>
          <w:rFonts w:ascii="Book Antiqua" w:hAnsi="Book Antiqua"/>
        </w:rPr>
        <w:t>e sponsor</w:t>
      </w:r>
      <w:r w:rsidR="00153492">
        <w:rPr>
          <w:rFonts w:ascii="Book Antiqua" w:hAnsi="Book Antiqua"/>
        </w:rPr>
        <w:t xml:space="preserve"> from the appellants and no care arrangements were made for them</w:t>
      </w:r>
      <w:r w:rsidR="007F226D">
        <w:rPr>
          <w:rFonts w:ascii="Book Antiqua" w:hAnsi="Book Antiqua"/>
        </w:rPr>
        <w:t xml:space="preserve">, indicating that they were able to care for themselves. </w:t>
      </w:r>
      <w:r w:rsidR="00180B05">
        <w:rPr>
          <w:rFonts w:ascii="Book Antiqua" w:hAnsi="Book Antiqua"/>
        </w:rPr>
        <w:t>There was no evidence of visits by the sponsor</w:t>
      </w:r>
      <w:r w:rsidR="003944C7">
        <w:rPr>
          <w:rFonts w:ascii="Book Antiqua" w:hAnsi="Book Antiqua"/>
        </w:rPr>
        <w:t xml:space="preserve"> or other contact, suggesting that the appellants have formed independent lives despite not being married.</w:t>
      </w:r>
      <w:r w:rsidR="00AB3C04">
        <w:rPr>
          <w:rFonts w:ascii="Book Antiqua" w:hAnsi="Book Antiqua"/>
        </w:rPr>
        <w:t xml:space="preserve"> There was no reason as to why the current parental support that they are receiving could not continue</w:t>
      </w:r>
      <w:r w:rsidR="005E01F3">
        <w:rPr>
          <w:rFonts w:ascii="Book Antiqua" w:hAnsi="Book Antiqua"/>
        </w:rPr>
        <w:t>. They could live in Nepal and support each other</w:t>
      </w:r>
      <w:r w:rsidR="00E46176">
        <w:rPr>
          <w:rFonts w:ascii="Book Antiqua" w:hAnsi="Book Antiqua"/>
        </w:rPr>
        <w:t xml:space="preserve">. </w:t>
      </w:r>
    </w:p>
    <w:p w:rsidR="00E46176" w:rsidRDefault="00E46176" w:rsidP="00A13403">
      <w:pPr>
        <w:numPr>
          <w:ilvl w:val="0"/>
          <w:numId w:val="2"/>
        </w:numPr>
        <w:spacing w:before="240"/>
        <w:jc w:val="both"/>
        <w:rPr>
          <w:rFonts w:ascii="Book Antiqua" w:hAnsi="Book Antiqua"/>
        </w:rPr>
      </w:pPr>
      <w:r>
        <w:rPr>
          <w:rFonts w:ascii="Book Antiqua" w:hAnsi="Book Antiqua"/>
        </w:rPr>
        <w:t xml:space="preserve">Although the FtJ found that there was financial dependency despite the appellants being educated to </w:t>
      </w:r>
      <w:r w:rsidR="00A15BA8">
        <w:rPr>
          <w:rFonts w:ascii="Book Antiqua" w:hAnsi="Book Antiqua"/>
        </w:rPr>
        <w:t xml:space="preserve">postgraduate </w:t>
      </w:r>
      <w:r>
        <w:rPr>
          <w:rFonts w:ascii="Book Antiqua" w:hAnsi="Book Antiqua"/>
        </w:rPr>
        <w:t>level</w:t>
      </w:r>
      <w:r w:rsidR="0067153A">
        <w:rPr>
          <w:rFonts w:ascii="Book Antiqua" w:hAnsi="Book Antiqua"/>
        </w:rPr>
        <w:t>, that</w:t>
      </w:r>
      <w:r w:rsidR="00A15BA8">
        <w:rPr>
          <w:rFonts w:ascii="Book Antiqua" w:hAnsi="Book Antiqua"/>
        </w:rPr>
        <w:t xml:space="preserve"> financial dependency seemed to be a matter of choice</w:t>
      </w:r>
      <w:r w:rsidR="00AA4852">
        <w:rPr>
          <w:rFonts w:ascii="Book Antiqua" w:hAnsi="Book Antiqua"/>
        </w:rPr>
        <w:t>. The appellants have not shown why they could not work, or</w:t>
      </w:r>
      <w:r w:rsidR="0067153A">
        <w:rPr>
          <w:rFonts w:ascii="Book Antiqua" w:hAnsi="Book Antiqua"/>
        </w:rPr>
        <w:t xml:space="preserve"> </w:t>
      </w:r>
      <w:r w:rsidR="009B7A49">
        <w:rPr>
          <w:rFonts w:ascii="Book Antiqua" w:hAnsi="Book Antiqua"/>
        </w:rPr>
        <w:t xml:space="preserve">that they </w:t>
      </w:r>
      <w:r w:rsidR="0067153A">
        <w:rPr>
          <w:rFonts w:ascii="Book Antiqua" w:hAnsi="Book Antiqua"/>
        </w:rPr>
        <w:t>had</w:t>
      </w:r>
      <w:r w:rsidR="00AA4852">
        <w:rPr>
          <w:rFonts w:ascii="Book Antiqua" w:hAnsi="Book Antiqua"/>
        </w:rPr>
        <w:t xml:space="preserve"> any intention </w:t>
      </w:r>
      <w:r w:rsidR="0067153A">
        <w:rPr>
          <w:rFonts w:ascii="Book Antiqua" w:hAnsi="Book Antiqua"/>
        </w:rPr>
        <w:t xml:space="preserve">of </w:t>
      </w:r>
      <w:r w:rsidR="00AA4852">
        <w:rPr>
          <w:rFonts w:ascii="Book Antiqua" w:hAnsi="Book Antiqua"/>
        </w:rPr>
        <w:t>work</w:t>
      </w:r>
      <w:r w:rsidR="0067153A">
        <w:rPr>
          <w:rFonts w:ascii="Book Antiqua" w:hAnsi="Book Antiqua"/>
        </w:rPr>
        <w:t>ing</w:t>
      </w:r>
      <w:r w:rsidR="00AA4852">
        <w:rPr>
          <w:rFonts w:ascii="Book Antiqua" w:hAnsi="Book Antiqua"/>
        </w:rPr>
        <w:t xml:space="preserve">. </w:t>
      </w:r>
      <w:r w:rsidR="00884ED2">
        <w:rPr>
          <w:rFonts w:ascii="Book Antiqua" w:hAnsi="Book Antiqua"/>
        </w:rPr>
        <w:t xml:space="preserve">No health issues are apparent. There is nothing to suggest that their living conditions in Nepal are anything other than adequate. </w:t>
      </w:r>
    </w:p>
    <w:p w:rsidR="001F31A4" w:rsidRDefault="00E561EB" w:rsidP="00A13403">
      <w:pPr>
        <w:numPr>
          <w:ilvl w:val="0"/>
          <w:numId w:val="2"/>
        </w:numPr>
        <w:spacing w:before="240"/>
        <w:jc w:val="both"/>
        <w:rPr>
          <w:rFonts w:ascii="Book Antiqua" w:hAnsi="Book Antiqua"/>
        </w:rPr>
      </w:pPr>
      <w:r>
        <w:rPr>
          <w:rFonts w:ascii="Book Antiqua" w:hAnsi="Book Antiqua"/>
        </w:rPr>
        <w:t xml:space="preserve">It is further argued that the FtJ </w:t>
      </w:r>
      <w:r w:rsidR="00565706">
        <w:rPr>
          <w:rFonts w:ascii="Book Antiqua" w:hAnsi="Book Antiqua"/>
        </w:rPr>
        <w:t xml:space="preserve">failed to consider “the public interest and proportionality tests” </w:t>
      </w:r>
      <w:r w:rsidR="0038029A">
        <w:rPr>
          <w:rFonts w:ascii="Book Antiqua" w:hAnsi="Book Antiqua"/>
        </w:rPr>
        <w:t xml:space="preserve">under s.117A of the Nationality, Immigration and Asylum Act 2002 in terms of </w:t>
      </w:r>
      <w:r w:rsidR="008A463F">
        <w:rPr>
          <w:rFonts w:ascii="Book Antiqua" w:hAnsi="Book Antiqua"/>
        </w:rPr>
        <w:t xml:space="preserve">whether the appellants would be able to integrate or be a financial burden on the state. </w:t>
      </w:r>
      <w:r w:rsidR="00CC6678">
        <w:rPr>
          <w:rFonts w:ascii="Book Antiqua" w:hAnsi="Book Antiqua"/>
        </w:rPr>
        <w:t xml:space="preserve">There was insufficient evidence that the sponsor could provide adequate support for them. </w:t>
      </w:r>
    </w:p>
    <w:p w:rsidR="007938B7" w:rsidRDefault="001F31A4" w:rsidP="00A13403">
      <w:pPr>
        <w:numPr>
          <w:ilvl w:val="0"/>
          <w:numId w:val="2"/>
        </w:numPr>
        <w:spacing w:before="240"/>
        <w:jc w:val="both"/>
        <w:rPr>
          <w:rFonts w:ascii="Book Antiqua" w:hAnsi="Book Antiqua"/>
        </w:rPr>
      </w:pPr>
      <w:r>
        <w:rPr>
          <w:rFonts w:ascii="Book Antiqua" w:hAnsi="Book Antiqua"/>
        </w:rPr>
        <w:t xml:space="preserve">As regards the historic injustice, </w:t>
      </w:r>
      <w:r w:rsidR="001F4A21">
        <w:rPr>
          <w:rFonts w:ascii="Book Antiqua" w:hAnsi="Book Antiqua"/>
        </w:rPr>
        <w:t>the FtJ attached significant weight to that</w:t>
      </w:r>
      <w:r w:rsidR="005D409B">
        <w:rPr>
          <w:rFonts w:ascii="Book Antiqua" w:hAnsi="Book Antiqua"/>
        </w:rPr>
        <w:t xml:space="preserve"> issue but that was but one factor to be taken into account in the proportionality assessment.</w:t>
      </w:r>
    </w:p>
    <w:p w:rsidR="008849D1" w:rsidRPr="00E97DDE" w:rsidRDefault="007938B7" w:rsidP="00E97DDE">
      <w:pPr>
        <w:numPr>
          <w:ilvl w:val="0"/>
          <w:numId w:val="2"/>
        </w:numPr>
        <w:spacing w:before="240"/>
        <w:jc w:val="both"/>
        <w:rPr>
          <w:rFonts w:ascii="Book Antiqua" w:hAnsi="Book Antiqua"/>
        </w:rPr>
      </w:pPr>
      <w:r>
        <w:rPr>
          <w:rFonts w:ascii="Book Antiqua" w:hAnsi="Book Antiqua"/>
        </w:rPr>
        <w:t xml:space="preserve">In submissions, Mr </w:t>
      </w:r>
      <w:r w:rsidR="00BE610C">
        <w:rPr>
          <w:rFonts w:ascii="Book Antiqua" w:hAnsi="Book Antiqua" w:cs="Arial"/>
        </w:rPr>
        <w:t xml:space="preserve">Diwnyez relied on the respondent’s </w:t>
      </w:r>
      <w:r w:rsidR="00BF1BE9">
        <w:rPr>
          <w:rFonts w:ascii="Book Antiqua" w:hAnsi="Book Antiqua" w:cs="Arial"/>
        </w:rPr>
        <w:t xml:space="preserve">detailed </w:t>
      </w:r>
      <w:r w:rsidR="00BE610C">
        <w:rPr>
          <w:rFonts w:ascii="Book Antiqua" w:hAnsi="Book Antiqua" w:cs="Arial"/>
        </w:rPr>
        <w:t>grounds of appeal</w:t>
      </w:r>
      <w:r w:rsidR="00BF1BE9">
        <w:rPr>
          <w:rFonts w:ascii="Book Antiqua" w:hAnsi="Book Antiqua" w:cs="Arial"/>
        </w:rPr>
        <w:t>. Mr Layne</w:t>
      </w:r>
      <w:r w:rsidR="00E47D0C">
        <w:rPr>
          <w:rFonts w:ascii="Book Antiqua" w:hAnsi="Book Antiqua" w:cs="Arial"/>
        </w:rPr>
        <w:t xml:space="preserve"> in his submissions</w:t>
      </w:r>
      <w:r w:rsidR="00727093">
        <w:rPr>
          <w:rFonts w:ascii="Book Antiqua" w:hAnsi="Book Antiqua" w:cs="Arial"/>
        </w:rPr>
        <w:t xml:space="preserve"> referred to the FtJ’s decision, in particular at </w:t>
      </w:r>
      <w:r w:rsidR="00191072">
        <w:rPr>
          <w:rFonts w:ascii="Book Antiqua" w:hAnsi="Book Antiqua" w:cs="Arial"/>
        </w:rPr>
        <w:t xml:space="preserve">[18] and [19] </w:t>
      </w:r>
      <w:r w:rsidR="00127F23">
        <w:rPr>
          <w:rFonts w:ascii="Book Antiqua" w:hAnsi="Book Antiqua" w:cs="Arial"/>
        </w:rPr>
        <w:t xml:space="preserve">where </w:t>
      </w:r>
      <w:r w:rsidR="00E97DDE">
        <w:rPr>
          <w:rFonts w:ascii="Book Antiqua" w:hAnsi="Book Antiqua" w:cs="Arial"/>
        </w:rPr>
        <w:t>the FtJ</w:t>
      </w:r>
      <w:r w:rsidR="00127F23">
        <w:rPr>
          <w:rFonts w:ascii="Book Antiqua" w:hAnsi="Book Antiqua" w:cs="Arial"/>
        </w:rPr>
        <w:t xml:space="preserve"> referred to </w:t>
      </w:r>
      <w:r w:rsidR="00260EA3">
        <w:rPr>
          <w:rFonts w:ascii="Book Antiqua" w:hAnsi="Book Antiqua" w:cs="Arial"/>
        </w:rPr>
        <w:t xml:space="preserve">relevant authority in terms of the effect of the historic injustice on the proportionality assessment. </w:t>
      </w:r>
      <w:r w:rsidR="00C01A92">
        <w:rPr>
          <w:rFonts w:ascii="Book Antiqua" w:hAnsi="Book Antiqua" w:cs="Arial"/>
        </w:rPr>
        <w:t>It was submitted that the FtJ was correct to conclude that if the only issue in the assessment of the public interest was the demands of immigration policy</w:t>
      </w:r>
      <w:r w:rsidR="00024B31">
        <w:rPr>
          <w:rFonts w:ascii="Book Antiqua" w:hAnsi="Book Antiqua" w:cs="Arial"/>
        </w:rPr>
        <w:t xml:space="preserve">, the balance would be tilted in favour of the appellants. In addition, there was nothing adverse to the appellants in terms of </w:t>
      </w:r>
      <w:r w:rsidR="00E97DDE">
        <w:rPr>
          <w:rFonts w:ascii="Book Antiqua" w:hAnsi="Book Antiqua" w:cs="Arial"/>
        </w:rPr>
        <w:t>their immigration history or any criminality.</w:t>
      </w:r>
      <w:r w:rsidR="00EB276F">
        <w:rPr>
          <w:rFonts w:ascii="Book Antiqua" w:hAnsi="Book Antiqua" w:cs="Arial"/>
        </w:rPr>
        <w:t xml:space="preserve"> It was submitted that the FtJ was correct to allow the appeals.</w:t>
      </w:r>
    </w:p>
    <w:p w:rsidR="008849D1" w:rsidRPr="008849D1" w:rsidRDefault="008849D1" w:rsidP="008849D1">
      <w:pPr>
        <w:spacing w:before="240"/>
        <w:ind w:left="567"/>
        <w:jc w:val="both"/>
        <w:rPr>
          <w:rFonts w:ascii="Book Antiqua" w:hAnsi="Book Antiqua"/>
          <w:i/>
        </w:rPr>
      </w:pPr>
      <w:r>
        <w:rPr>
          <w:rFonts w:ascii="Book Antiqua" w:hAnsi="Book Antiqua"/>
          <w:i/>
        </w:rPr>
        <w:lastRenderedPageBreak/>
        <w:t>The FtJ’s decision</w:t>
      </w:r>
    </w:p>
    <w:p w:rsidR="005A2850" w:rsidRDefault="001D4CA5" w:rsidP="00A13403">
      <w:pPr>
        <w:numPr>
          <w:ilvl w:val="0"/>
          <w:numId w:val="2"/>
        </w:numPr>
        <w:spacing w:before="240"/>
        <w:jc w:val="both"/>
        <w:rPr>
          <w:rFonts w:ascii="Book Antiqua" w:hAnsi="Book Antiqua"/>
        </w:rPr>
      </w:pPr>
      <w:r>
        <w:rPr>
          <w:rFonts w:ascii="Book Antiqua" w:hAnsi="Book Antiqua"/>
        </w:rPr>
        <w:t xml:space="preserve">The FtJ </w:t>
      </w:r>
      <w:r w:rsidR="00857134">
        <w:rPr>
          <w:rFonts w:ascii="Book Antiqua" w:hAnsi="Book Antiqua"/>
        </w:rPr>
        <w:t xml:space="preserve">set out the respondent’s decision in detail. </w:t>
      </w:r>
      <w:r w:rsidR="00A82238">
        <w:rPr>
          <w:rFonts w:ascii="Book Antiqua" w:hAnsi="Book Antiqua"/>
        </w:rPr>
        <w:t>At [7] he said that the respondent’s reasons must be read in the light of the Entry Clearance Manager’s (“the ECM”) review</w:t>
      </w:r>
      <w:r w:rsidR="005A2850">
        <w:rPr>
          <w:rFonts w:ascii="Book Antiqua" w:hAnsi="Book Antiqua"/>
        </w:rPr>
        <w:t xml:space="preserve">, which he reproduced verbatim. That review included the ECM stating that </w:t>
      </w:r>
      <w:r w:rsidR="002E0CF0">
        <w:rPr>
          <w:rFonts w:ascii="Book Antiqua" w:hAnsi="Book Antiqua"/>
        </w:rPr>
        <w:t>“I am indeed satisfied that Article 8(1) is engaged”.</w:t>
      </w:r>
    </w:p>
    <w:p w:rsidR="00A35477" w:rsidRDefault="00866398" w:rsidP="00A13403">
      <w:pPr>
        <w:numPr>
          <w:ilvl w:val="0"/>
          <w:numId w:val="2"/>
        </w:numPr>
        <w:spacing w:before="240"/>
        <w:jc w:val="both"/>
        <w:rPr>
          <w:rFonts w:ascii="Book Antiqua" w:hAnsi="Book Antiqua"/>
        </w:rPr>
      </w:pPr>
      <w:r>
        <w:rPr>
          <w:rFonts w:ascii="Book Antiqua" w:hAnsi="Book Antiqua"/>
        </w:rPr>
        <w:t xml:space="preserve">After summarising the parties’ submissions the FtJ made a number of findings. He </w:t>
      </w:r>
      <w:r w:rsidR="00444D9C">
        <w:rPr>
          <w:rFonts w:ascii="Book Antiqua" w:hAnsi="Book Antiqua"/>
        </w:rPr>
        <w:t>noted that it was indicated on behalf of the appellants that the basis for the appeal was in terms of Article 8 outside the Rules</w:t>
      </w:r>
      <w:r w:rsidR="00E7033A">
        <w:rPr>
          <w:rFonts w:ascii="Book Antiqua" w:hAnsi="Book Antiqua"/>
        </w:rPr>
        <w:t xml:space="preserve">. After referring to relevant authority in relation to </w:t>
      </w:r>
      <w:r w:rsidR="00051716">
        <w:rPr>
          <w:rFonts w:ascii="Book Antiqua" w:hAnsi="Book Antiqua"/>
        </w:rPr>
        <w:t>Article 8 he said that “an absolutely key issue”</w:t>
      </w:r>
      <w:r w:rsidR="00701600">
        <w:rPr>
          <w:rFonts w:ascii="Book Antiqua" w:hAnsi="Book Antiqua"/>
        </w:rPr>
        <w:t xml:space="preserve"> is the ‘historic injustice’ as highlighted by the Court of Appeal in </w:t>
      </w:r>
      <w:r w:rsidR="00EF00EA">
        <w:rPr>
          <w:rFonts w:ascii="Book Antiqua" w:hAnsi="Book Antiqua"/>
          <w:i/>
        </w:rPr>
        <w:t xml:space="preserve">Gurung v Secretary of State for the Home Department </w:t>
      </w:r>
      <w:r w:rsidR="00EF00EA">
        <w:rPr>
          <w:rFonts w:ascii="Book Antiqua" w:hAnsi="Book Antiqua"/>
        </w:rPr>
        <w:t xml:space="preserve">[2013] EWCA </w:t>
      </w:r>
      <w:r w:rsidR="00A35D9F">
        <w:rPr>
          <w:rFonts w:ascii="Book Antiqua" w:hAnsi="Book Antiqua"/>
        </w:rPr>
        <w:t>Civ 8 and as recognised in the IDI’s.</w:t>
      </w:r>
      <w:r w:rsidR="004B71DD">
        <w:rPr>
          <w:rFonts w:ascii="Book Antiqua" w:hAnsi="Book Antiqua"/>
        </w:rPr>
        <w:t xml:space="preserve"> He found tha</w:t>
      </w:r>
      <w:r w:rsidR="00D37FEB">
        <w:rPr>
          <w:rFonts w:ascii="Book Antiqua" w:hAnsi="Book Antiqua"/>
        </w:rPr>
        <w:t>t</w:t>
      </w:r>
      <w:r w:rsidR="004B71DD">
        <w:rPr>
          <w:rFonts w:ascii="Book Antiqua" w:hAnsi="Book Antiqua"/>
        </w:rPr>
        <w:t xml:space="preserve"> </w:t>
      </w:r>
      <w:r w:rsidR="006D2D82">
        <w:rPr>
          <w:rFonts w:ascii="Book Antiqua" w:hAnsi="Book Antiqua"/>
        </w:rPr>
        <w:t xml:space="preserve">as adult dependants of a former Gurkha settled in the </w:t>
      </w:r>
      <w:r w:rsidR="00D37FEB">
        <w:rPr>
          <w:rFonts w:ascii="Book Antiqua" w:hAnsi="Book Antiqua"/>
        </w:rPr>
        <w:t>UK who, but for historic injustice would have settled in the UK long ago as a minor child of the former Gurkha</w:t>
      </w:r>
      <w:r w:rsidR="00A35477">
        <w:rPr>
          <w:rFonts w:ascii="Book Antiqua" w:hAnsi="Book Antiqua"/>
        </w:rPr>
        <w:t>, does constitute ‘compelling circumstances’ warranting consideration outside the Article 8 Rules.</w:t>
      </w:r>
    </w:p>
    <w:p w:rsidR="002E0CF0" w:rsidRDefault="007658E1" w:rsidP="00A13403">
      <w:pPr>
        <w:numPr>
          <w:ilvl w:val="0"/>
          <w:numId w:val="2"/>
        </w:numPr>
        <w:spacing w:before="240"/>
        <w:jc w:val="both"/>
        <w:rPr>
          <w:rFonts w:ascii="Book Antiqua" w:hAnsi="Book Antiqua"/>
        </w:rPr>
      </w:pPr>
      <w:r>
        <w:rPr>
          <w:rFonts w:ascii="Book Antiqua" w:hAnsi="Book Antiqua"/>
        </w:rPr>
        <w:t xml:space="preserve">He </w:t>
      </w:r>
      <w:r w:rsidR="00CE334E">
        <w:rPr>
          <w:rFonts w:ascii="Book Antiqua" w:hAnsi="Book Antiqua"/>
        </w:rPr>
        <w:t>summarised</w:t>
      </w:r>
      <w:r>
        <w:rPr>
          <w:rFonts w:ascii="Book Antiqua" w:hAnsi="Book Antiqua"/>
        </w:rPr>
        <w:t xml:space="preserve"> the findings made in a previous appeal to the First-tier Tribunal by these appellants</w:t>
      </w:r>
      <w:r w:rsidR="00771FAA">
        <w:rPr>
          <w:rFonts w:ascii="Book Antiqua" w:hAnsi="Book Antiqua"/>
        </w:rPr>
        <w:t xml:space="preserve">, which included a finding that </w:t>
      </w:r>
      <w:r w:rsidR="004C77DB">
        <w:rPr>
          <w:rFonts w:ascii="Book Antiqua" w:hAnsi="Book Antiqua"/>
        </w:rPr>
        <w:t>there was insufficient emotional dependency between the appellants and their parents.</w:t>
      </w:r>
      <w:r w:rsidR="002067CC">
        <w:rPr>
          <w:rFonts w:ascii="Book Antiqua" w:hAnsi="Book Antiqua"/>
        </w:rPr>
        <w:t xml:space="preserve"> At [15] however, </w:t>
      </w:r>
      <w:r w:rsidR="00CE334E">
        <w:rPr>
          <w:rFonts w:ascii="Book Antiqua" w:hAnsi="Book Antiqua"/>
        </w:rPr>
        <w:t xml:space="preserve">he referred to the fact that the respondent </w:t>
      </w:r>
      <w:r w:rsidR="00977A79">
        <w:rPr>
          <w:rFonts w:ascii="Book Antiqua" w:hAnsi="Book Antiqua"/>
        </w:rPr>
        <w:t>had now conceded in the ECM’s review that Article 8(1) was engaged</w:t>
      </w:r>
      <w:r w:rsidR="009F1644">
        <w:rPr>
          <w:rFonts w:ascii="Book Antiqua" w:hAnsi="Book Antiqua"/>
        </w:rPr>
        <w:t xml:space="preserve"> “clearly on the basis that ‘family life’ exists between the Appellants and their parents</w:t>
      </w:r>
      <w:r w:rsidR="007A10AE">
        <w:rPr>
          <w:rFonts w:ascii="Book Antiqua" w:hAnsi="Book Antiqua"/>
        </w:rPr>
        <w:t>”. In the circumstances he said that he did not adopt the findings made by the First-tier Tribunal at the previous appeal.</w:t>
      </w:r>
      <w:r w:rsidR="00771FAA">
        <w:rPr>
          <w:rFonts w:ascii="Book Antiqua" w:hAnsi="Book Antiqua"/>
        </w:rPr>
        <w:t xml:space="preserve"> </w:t>
      </w:r>
      <w:r w:rsidR="00D37FEB">
        <w:rPr>
          <w:rFonts w:ascii="Book Antiqua" w:hAnsi="Book Antiqua"/>
        </w:rPr>
        <w:t xml:space="preserve"> </w:t>
      </w:r>
    </w:p>
    <w:p w:rsidR="002968A8" w:rsidRDefault="00EC0533" w:rsidP="00A13403">
      <w:pPr>
        <w:numPr>
          <w:ilvl w:val="0"/>
          <w:numId w:val="2"/>
        </w:numPr>
        <w:spacing w:before="240"/>
        <w:jc w:val="both"/>
        <w:rPr>
          <w:rFonts w:ascii="Book Antiqua" w:hAnsi="Book Antiqua"/>
        </w:rPr>
      </w:pPr>
      <w:r>
        <w:rPr>
          <w:rFonts w:ascii="Book Antiqua" w:hAnsi="Book Antiqua"/>
        </w:rPr>
        <w:t>At [16] the FtJ noted that there was no significan</w:t>
      </w:r>
      <w:r w:rsidR="00951CE5">
        <w:rPr>
          <w:rFonts w:ascii="Book Antiqua" w:hAnsi="Book Antiqua"/>
        </w:rPr>
        <w:t>t</w:t>
      </w:r>
      <w:r>
        <w:rPr>
          <w:rFonts w:ascii="Book Antiqua" w:hAnsi="Book Antiqua"/>
        </w:rPr>
        <w:t xml:space="preserve"> dispute between the parties as to the</w:t>
      </w:r>
      <w:r w:rsidR="00951CE5">
        <w:rPr>
          <w:rFonts w:ascii="Book Antiqua" w:hAnsi="Book Antiqua"/>
        </w:rPr>
        <w:t xml:space="preserve"> historical and factual background to the appeal, set out in some length in the </w:t>
      </w:r>
      <w:r w:rsidR="002E7DC8">
        <w:rPr>
          <w:rFonts w:ascii="Book Antiqua" w:hAnsi="Book Antiqua"/>
        </w:rPr>
        <w:t>witness statements of the appellants and the sponsor. He then summarised that background.</w:t>
      </w:r>
      <w:r w:rsidR="00560C00">
        <w:rPr>
          <w:rFonts w:ascii="Book Antiqua" w:hAnsi="Book Antiqua"/>
        </w:rPr>
        <w:t xml:space="preserve"> He said that neither of the appellants have been able to secure employment in Nepal </w:t>
      </w:r>
      <w:r w:rsidR="002968A8">
        <w:rPr>
          <w:rFonts w:ascii="Book Antiqua" w:hAnsi="Book Antiqua"/>
        </w:rPr>
        <w:t xml:space="preserve">and they remain financially dependent on their father. </w:t>
      </w:r>
    </w:p>
    <w:p w:rsidR="00536FC4" w:rsidRDefault="002968A8" w:rsidP="00A13403">
      <w:pPr>
        <w:numPr>
          <w:ilvl w:val="0"/>
          <w:numId w:val="2"/>
        </w:numPr>
        <w:spacing w:before="240"/>
        <w:jc w:val="both"/>
        <w:rPr>
          <w:rFonts w:ascii="Book Antiqua" w:hAnsi="Book Antiqua"/>
        </w:rPr>
      </w:pPr>
      <w:r>
        <w:rPr>
          <w:rFonts w:ascii="Book Antiqua" w:hAnsi="Book Antiqua"/>
        </w:rPr>
        <w:t xml:space="preserve">He went on to state that </w:t>
      </w:r>
      <w:r w:rsidR="00552A2A">
        <w:rPr>
          <w:rFonts w:ascii="Book Antiqua" w:hAnsi="Book Antiqua"/>
        </w:rPr>
        <w:t>the dispute between the parties has been on the issue of emotional dependency</w:t>
      </w:r>
      <w:r w:rsidR="00750ECD">
        <w:rPr>
          <w:rFonts w:ascii="Book Antiqua" w:hAnsi="Book Antiqua"/>
        </w:rPr>
        <w:t xml:space="preserve"> “but</w:t>
      </w:r>
      <w:r w:rsidR="008A575E">
        <w:rPr>
          <w:rFonts w:ascii="Book Antiqua" w:hAnsi="Book Antiqua"/>
        </w:rPr>
        <w:t>,</w:t>
      </w:r>
      <w:r w:rsidR="00750ECD">
        <w:rPr>
          <w:rFonts w:ascii="Book Antiqua" w:hAnsi="Book Antiqua"/>
        </w:rPr>
        <w:t xml:space="preserve"> in accepting that </w:t>
      </w:r>
      <w:r w:rsidR="00336132">
        <w:rPr>
          <w:rFonts w:ascii="Book Antiqua" w:hAnsi="Book Antiqua"/>
        </w:rPr>
        <w:t xml:space="preserve">Article 8 is engaged, the Respondent has now implicitly accepted that there is emotional dependency </w:t>
      </w:r>
      <w:r w:rsidR="00536FC4">
        <w:rPr>
          <w:rFonts w:ascii="Book Antiqua" w:hAnsi="Book Antiqua"/>
        </w:rPr>
        <w:t>between the Appellants and their sponsor”.</w:t>
      </w:r>
    </w:p>
    <w:p w:rsidR="00FB6440" w:rsidRDefault="00536FC4" w:rsidP="00A13403">
      <w:pPr>
        <w:numPr>
          <w:ilvl w:val="0"/>
          <w:numId w:val="2"/>
        </w:numPr>
        <w:spacing w:before="240"/>
        <w:jc w:val="both"/>
        <w:rPr>
          <w:rFonts w:ascii="Book Antiqua" w:hAnsi="Book Antiqua"/>
        </w:rPr>
      </w:pPr>
      <w:r>
        <w:rPr>
          <w:rFonts w:ascii="Book Antiqua" w:hAnsi="Book Antiqua"/>
        </w:rPr>
        <w:t xml:space="preserve">He thus concluded that </w:t>
      </w:r>
      <w:r w:rsidR="00E15B5D">
        <w:rPr>
          <w:rFonts w:ascii="Book Antiqua" w:hAnsi="Book Antiqua"/>
        </w:rPr>
        <w:t xml:space="preserve">the decision to refuse entry clearance prevents them from joining their parents in the UK and that that </w:t>
      </w:r>
      <w:r w:rsidR="00681409">
        <w:rPr>
          <w:rFonts w:ascii="Book Antiqua" w:hAnsi="Book Antiqua"/>
        </w:rPr>
        <w:t>“</w:t>
      </w:r>
      <w:r w:rsidR="00E15B5D">
        <w:rPr>
          <w:rFonts w:ascii="Book Antiqua" w:hAnsi="Book Antiqua"/>
        </w:rPr>
        <w:t>constituted a</w:t>
      </w:r>
      <w:r w:rsidR="00681409">
        <w:rPr>
          <w:rFonts w:ascii="Book Antiqua" w:hAnsi="Book Antiqua"/>
        </w:rPr>
        <w:t>n</w:t>
      </w:r>
      <w:r w:rsidR="00E15B5D">
        <w:rPr>
          <w:rFonts w:ascii="Book Antiqua" w:hAnsi="Book Antiqua"/>
        </w:rPr>
        <w:t xml:space="preserve"> interference with their family life</w:t>
      </w:r>
      <w:r w:rsidR="00681409">
        <w:rPr>
          <w:rFonts w:ascii="Book Antiqua" w:hAnsi="Book Antiqua"/>
        </w:rPr>
        <w:t xml:space="preserve"> of sufficient gravity</w:t>
      </w:r>
      <w:r w:rsidR="00FB6440">
        <w:rPr>
          <w:rFonts w:ascii="Book Antiqua" w:hAnsi="Book Antiqua"/>
        </w:rPr>
        <w:t xml:space="preserve"> as to engage the Convention”.</w:t>
      </w:r>
    </w:p>
    <w:p w:rsidR="001D53AA" w:rsidRDefault="00FB6440" w:rsidP="001D53AA">
      <w:pPr>
        <w:numPr>
          <w:ilvl w:val="0"/>
          <w:numId w:val="2"/>
        </w:numPr>
        <w:spacing w:before="240"/>
        <w:jc w:val="both"/>
        <w:rPr>
          <w:rFonts w:ascii="Book Antiqua" w:hAnsi="Book Antiqua"/>
        </w:rPr>
      </w:pPr>
      <w:r>
        <w:rPr>
          <w:rFonts w:ascii="Book Antiqua" w:hAnsi="Book Antiqua"/>
        </w:rPr>
        <w:t xml:space="preserve">After quoting from </w:t>
      </w:r>
      <w:r>
        <w:rPr>
          <w:rFonts w:ascii="Book Antiqua" w:hAnsi="Book Antiqua"/>
          <w:i/>
        </w:rPr>
        <w:t>Gurung</w:t>
      </w:r>
      <w:r w:rsidR="005D057C">
        <w:rPr>
          <w:rFonts w:ascii="Book Antiqua" w:hAnsi="Book Antiqua"/>
          <w:i/>
        </w:rPr>
        <w:t xml:space="preserve"> </w:t>
      </w:r>
      <w:r w:rsidR="005D057C">
        <w:rPr>
          <w:rFonts w:ascii="Book Antiqua" w:hAnsi="Book Antiqua"/>
        </w:rPr>
        <w:t xml:space="preserve">and </w:t>
      </w:r>
      <w:r w:rsidR="001D53AA" w:rsidRPr="001D53AA">
        <w:rPr>
          <w:rFonts w:ascii="Book Antiqua" w:hAnsi="Book Antiqua"/>
          <w:i/>
        </w:rPr>
        <w:t>Ghising and others (Ghurkhas/BOCs: historic wrong; weight)</w:t>
      </w:r>
      <w:r w:rsidR="001D53AA" w:rsidRPr="001D53AA">
        <w:rPr>
          <w:rFonts w:ascii="Book Antiqua" w:hAnsi="Book Antiqua"/>
        </w:rPr>
        <w:t xml:space="preserve"> [2013] UKUT 00567 (IAC)</w:t>
      </w:r>
      <w:r w:rsidR="00B37660">
        <w:rPr>
          <w:rFonts w:ascii="Book Antiqua" w:hAnsi="Book Antiqua"/>
        </w:rPr>
        <w:t xml:space="preserve">, he concluded that but for the historic injustice the sponsor would have settled in the UK </w:t>
      </w:r>
      <w:r w:rsidR="00A50671">
        <w:rPr>
          <w:rFonts w:ascii="Book Antiqua" w:hAnsi="Book Antiqua"/>
        </w:rPr>
        <w:t>at a time when his children would have been entitled to accompany him as minor dependants. He found that there were “no adverse matters</w:t>
      </w:r>
      <w:r w:rsidR="009B05CA">
        <w:rPr>
          <w:rFonts w:ascii="Book Antiqua" w:hAnsi="Book Antiqua"/>
        </w:rPr>
        <w:t xml:space="preserve"> in this case such as a bad immigration history or criminal behaviour which would tilt the public interest balance in favour of the Secretary of State</w:t>
      </w:r>
      <w:r w:rsidR="009E146F">
        <w:rPr>
          <w:rFonts w:ascii="Book Antiqua" w:hAnsi="Book Antiqua"/>
        </w:rPr>
        <w:t xml:space="preserve">”. He thus concluded that the historic injustice outweighed the legitimate aim </w:t>
      </w:r>
      <w:r w:rsidR="00933670">
        <w:rPr>
          <w:rFonts w:ascii="Book Antiqua" w:hAnsi="Book Antiqua"/>
        </w:rPr>
        <w:t xml:space="preserve">in the </w:t>
      </w:r>
      <w:r w:rsidR="005029D3">
        <w:rPr>
          <w:rFonts w:ascii="Book Antiqua" w:hAnsi="Book Antiqua"/>
        </w:rPr>
        <w:t>maintenance</w:t>
      </w:r>
      <w:r w:rsidR="00933670">
        <w:rPr>
          <w:rFonts w:ascii="Book Antiqua" w:hAnsi="Book Antiqua"/>
        </w:rPr>
        <w:t xml:space="preserve"> of immigration control.</w:t>
      </w:r>
    </w:p>
    <w:p w:rsidR="00933670" w:rsidRPr="00933670" w:rsidRDefault="00933670" w:rsidP="00933670">
      <w:pPr>
        <w:spacing w:before="240"/>
        <w:ind w:left="567"/>
        <w:jc w:val="both"/>
        <w:rPr>
          <w:rFonts w:ascii="Book Antiqua" w:hAnsi="Book Antiqua"/>
          <w:i/>
        </w:rPr>
      </w:pPr>
      <w:r>
        <w:rPr>
          <w:rFonts w:ascii="Book Antiqua" w:hAnsi="Book Antiqua"/>
          <w:i/>
        </w:rPr>
        <w:lastRenderedPageBreak/>
        <w:t>Assessment and Conclusions</w:t>
      </w:r>
    </w:p>
    <w:p w:rsidR="00E137B9" w:rsidRDefault="009D1690" w:rsidP="001D53AA">
      <w:pPr>
        <w:numPr>
          <w:ilvl w:val="0"/>
          <w:numId w:val="2"/>
        </w:numPr>
        <w:spacing w:before="240"/>
        <w:jc w:val="both"/>
        <w:rPr>
          <w:rFonts w:ascii="Book Antiqua" w:hAnsi="Book Antiqua"/>
        </w:rPr>
      </w:pPr>
      <w:r>
        <w:rPr>
          <w:rFonts w:ascii="Book Antiqua" w:hAnsi="Book Antiqua"/>
        </w:rPr>
        <w:t xml:space="preserve">With respect to the author of the </w:t>
      </w:r>
      <w:r w:rsidR="00711BA2">
        <w:rPr>
          <w:rFonts w:ascii="Book Antiqua" w:hAnsi="Book Antiqua"/>
        </w:rPr>
        <w:t>respondent’s grounds</w:t>
      </w:r>
      <w:r>
        <w:rPr>
          <w:rFonts w:ascii="Book Antiqua" w:hAnsi="Book Antiqua"/>
        </w:rPr>
        <w:t xml:space="preserve">, they fail to recognise </w:t>
      </w:r>
      <w:r w:rsidR="004E2D65">
        <w:rPr>
          <w:rFonts w:ascii="Book Antiqua" w:hAnsi="Book Antiqua"/>
        </w:rPr>
        <w:t>th</w:t>
      </w:r>
      <w:r w:rsidR="00C228F8">
        <w:rPr>
          <w:rFonts w:ascii="Book Antiqua" w:hAnsi="Book Antiqua"/>
        </w:rPr>
        <w:t xml:space="preserve">at the FtJ’s decision was made </w:t>
      </w:r>
      <w:r w:rsidR="00B843FB">
        <w:rPr>
          <w:rFonts w:ascii="Book Antiqua" w:hAnsi="Book Antiqua"/>
        </w:rPr>
        <w:t>in the light of what was said in the ECM review</w:t>
      </w:r>
      <w:r w:rsidR="002D7E38">
        <w:rPr>
          <w:rFonts w:ascii="Book Antiqua" w:hAnsi="Book Antiqua"/>
        </w:rPr>
        <w:t xml:space="preserve"> (see [10] above). Once it was accepted by the respondent</w:t>
      </w:r>
      <w:r w:rsidR="005B7E04">
        <w:rPr>
          <w:rFonts w:ascii="Book Antiqua" w:hAnsi="Book Antiqua"/>
        </w:rPr>
        <w:t xml:space="preserve"> that there was family life between the appellants and the sponsor, the outcome of the appeal</w:t>
      </w:r>
      <w:r w:rsidR="008A575E">
        <w:rPr>
          <w:rFonts w:ascii="Book Antiqua" w:hAnsi="Book Antiqua"/>
        </w:rPr>
        <w:t xml:space="preserve">, on the facts of </w:t>
      </w:r>
      <w:r w:rsidR="008A575E">
        <w:rPr>
          <w:rFonts w:ascii="Book Antiqua" w:hAnsi="Book Antiqua"/>
          <w:u w:val="single"/>
        </w:rPr>
        <w:t>this</w:t>
      </w:r>
      <w:r w:rsidR="008A575E">
        <w:rPr>
          <w:rFonts w:ascii="Book Antiqua" w:hAnsi="Book Antiqua"/>
        </w:rPr>
        <w:t xml:space="preserve"> case,</w:t>
      </w:r>
      <w:r w:rsidR="005B7E04">
        <w:rPr>
          <w:rFonts w:ascii="Book Antiqua" w:hAnsi="Book Antiqua"/>
        </w:rPr>
        <w:t xml:space="preserve"> was not in doubt. </w:t>
      </w:r>
    </w:p>
    <w:p w:rsidR="0089692B" w:rsidRDefault="00C128A2" w:rsidP="001D53AA">
      <w:pPr>
        <w:numPr>
          <w:ilvl w:val="0"/>
          <w:numId w:val="2"/>
        </w:numPr>
        <w:spacing w:before="240"/>
        <w:jc w:val="both"/>
        <w:rPr>
          <w:rFonts w:ascii="Book Antiqua" w:hAnsi="Book Antiqua"/>
        </w:rPr>
      </w:pPr>
      <w:r>
        <w:rPr>
          <w:rFonts w:ascii="Book Antiqua" w:hAnsi="Book Antiqua"/>
        </w:rPr>
        <w:t>Now the grounds could, perhaps, have taken issue with the FtJ’s interpretation of what was said in the ECM’s review, although it is difficult to see how</w:t>
      </w:r>
      <w:r w:rsidR="00A028C6">
        <w:rPr>
          <w:rFonts w:ascii="Book Antiqua" w:hAnsi="Book Antiqua"/>
        </w:rPr>
        <w:t xml:space="preserve">; but the grounds do not do that. </w:t>
      </w:r>
      <w:r w:rsidR="00BB7A21">
        <w:rPr>
          <w:rFonts w:ascii="Book Antiqua" w:hAnsi="Book Antiqua"/>
        </w:rPr>
        <w:t xml:space="preserve">Furthermore, the grounds do not </w:t>
      </w:r>
      <w:r w:rsidR="00260D53">
        <w:rPr>
          <w:rFonts w:ascii="Book Antiqua" w:hAnsi="Book Antiqua"/>
        </w:rPr>
        <w:t>take issue with the FtJ’s interpretation or application of the authorities, in particular</w:t>
      </w:r>
      <w:r w:rsidR="00711BA2">
        <w:rPr>
          <w:rFonts w:ascii="Book Antiqua" w:hAnsi="Book Antiqua"/>
        </w:rPr>
        <w:t xml:space="preserve"> </w:t>
      </w:r>
      <w:r w:rsidR="0089692B" w:rsidRPr="001D53AA">
        <w:rPr>
          <w:rFonts w:ascii="Book Antiqua" w:hAnsi="Book Antiqua"/>
          <w:i/>
        </w:rPr>
        <w:t>Ghising</w:t>
      </w:r>
      <w:r w:rsidR="0089692B">
        <w:rPr>
          <w:rFonts w:ascii="Book Antiqua" w:hAnsi="Book Antiqua"/>
        </w:rPr>
        <w:t>.</w:t>
      </w:r>
      <w:r w:rsidR="009D2D9E">
        <w:rPr>
          <w:rFonts w:ascii="Book Antiqua" w:hAnsi="Book Antiqua"/>
        </w:rPr>
        <w:t xml:space="preserve"> </w:t>
      </w:r>
    </w:p>
    <w:p w:rsidR="006F4438" w:rsidRDefault="00F9576A" w:rsidP="001D53AA">
      <w:pPr>
        <w:numPr>
          <w:ilvl w:val="0"/>
          <w:numId w:val="2"/>
        </w:numPr>
        <w:spacing w:before="240"/>
        <w:jc w:val="both"/>
        <w:rPr>
          <w:rFonts w:ascii="Book Antiqua" w:hAnsi="Book Antiqua"/>
        </w:rPr>
      </w:pPr>
      <w:r>
        <w:rPr>
          <w:rFonts w:ascii="Book Antiqua" w:hAnsi="Book Antiqua"/>
        </w:rPr>
        <w:t xml:space="preserve">It is only necessary for me to repeat the </w:t>
      </w:r>
      <w:r w:rsidR="001B3E48">
        <w:rPr>
          <w:rFonts w:ascii="Book Antiqua" w:hAnsi="Book Antiqua"/>
        </w:rPr>
        <w:t xml:space="preserve">guidance given by the Upper Tribunal in </w:t>
      </w:r>
      <w:r w:rsidR="00105789">
        <w:rPr>
          <w:rFonts w:ascii="Book Antiqua" w:hAnsi="Book Antiqua"/>
          <w:i/>
        </w:rPr>
        <w:t xml:space="preserve">Ghising </w:t>
      </w:r>
      <w:r w:rsidR="00D515DC">
        <w:rPr>
          <w:rFonts w:ascii="Book Antiqua" w:hAnsi="Book Antiqua"/>
        </w:rPr>
        <w:t xml:space="preserve"> whereby what it said </w:t>
      </w:r>
      <w:r w:rsidR="008230C4">
        <w:rPr>
          <w:rFonts w:ascii="Book Antiqua" w:hAnsi="Book Antiqua"/>
        </w:rPr>
        <w:t xml:space="preserve">at [59] and [60], </w:t>
      </w:r>
      <w:r w:rsidR="00D515DC">
        <w:rPr>
          <w:rFonts w:ascii="Book Antiqua" w:hAnsi="Book Antiqua"/>
        </w:rPr>
        <w:t xml:space="preserve">was </w:t>
      </w:r>
      <w:r w:rsidR="008230C4">
        <w:rPr>
          <w:rFonts w:ascii="Book Antiqua" w:hAnsi="Book Antiqua"/>
        </w:rPr>
        <w:t xml:space="preserve">distilled </w:t>
      </w:r>
      <w:r w:rsidR="0053384E">
        <w:rPr>
          <w:rFonts w:ascii="Book Antiqua" w:hAnsi="Book Antiqua"/>
        </w:rPr>
        <w:t>as follows:</w:t>
      </w:r>
    </w:p>
    <w:p w:rsidR="00561F99" w:rsidRDefault="00561F99" w:rsidP="00561F99">
      <w:pPr>
        <w:spacing w:before="240"/>
        <w:ind w:left="1418"/>
        <w:jc w:val="both"/>
        <w:rPr>
          <w:rFonts w:ascii="Book Antiqua" w:hAnsi="Book Antiqua"/>
          <w:i/>
          <w:iCs/>
          <w:color w:val="000000"/>
          <w:sz w:val="22"/>
          <w:szCs w:val="22"/>
        </w:rPr>
      </w:pPr>
      <w:r>
        <w:rPr>
          <w:rFonts w:ascii="Book Antiqua" w:hAnsi="Book Antiqua"/>
          <w:i/>
          <w:iCs/>
          <w:noProof/>
          <w:color w:val="000000"/>
          <w:sz w:val="22"/>
          <w:szCs w:val="22"/>
        </w:rPr>
        <mc:AlternateContent>
          <mc:Choice Requires="wpi">
            <w:drawing>
              <wp:anchor distT="0" distB="0" distL="114300" distR="114300" simplePos="0" relativeHeight="251659264" behindDoc="0" locked="0" layoutInCell="1" allowOverlap="1" wp14:anchorId="2E7D30C2" wp14:editId="631567E4">
                <wp:simplePos x="0" y="0"/>
                <wp:positionH relativeFrom="column">
                  <wp:posOffset>-1479787</wp:posOffset>
                </wp:positionH>
                <wp:positionV relativeFrom="paragraph">
                  <wp:posOffset>514114</wp:posOffset>
                </wp:positionV>
                <wp:extent cx="85320" cy="161640"/>
                <wp:effectExtent l="57150" t="57150" r="48260" b="48260"/>
                <wp:wrapNone/>
                <wp:docPr id="5" name="Ink 5"/>
                <wp:cNvGraphicFramePr/>
                <a:graphic xmlns:a="http://schemas.openxmlformats.org/drawingml/2006/main">
                  <a:graphicData uri="http://schemas.microsoft.com/office/word/2010/wordprocessingInk">
                    <w14:contentPart bwMode="auto" r:id="rId8">
                      <w14:nvContentPartPr>
                        <w14:cNvContentPartPr/>
                      </w14:nvContentPartPr>
                      <w14:xfrm>
                        <a:off x="0" y="0"/>
                        <a:ext cx="85320" cy="161640"/>
                      </w14:xfrm>
                    </w14:contentPart>
                  </a:graphicData>
                </a:graphic>
              </wp:anchor>
            </w:drawing>
          </mc:Choice>
          <mc:Fallback>
            <w:pict>
              <v:shapetype w14:anchorId="19A2284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17.2pt;margin-top:39.8pt;width:8.1pt;height:14.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">
                <v:imagedata r:id="rId9" o:title=""/>
              </v:shape>
            </w:pict>
          </mc:Fallback>
        </mc:AlternateContent>
      </w:r>
      <w:r w:rsidR="00355FA9" w:rsidRPr="00355FA9">
        <w:rPr>
          <w:rFonts w:ascii="Book Antiqua" w:hAnsi="Book Antiqua"/>
          <w:i/>
          <w:iCs/>
          <w:color w:val="000000"/>
          <w:sz w:val="22"/>
          <w:szCs w:val="22"/>
        </w:rPr>
        <w:t>“</w:t>
      </w:r>
      <w:r w:rsidR="00F272E1" w:rsidRPr="00355FA9">
        <w:rPr>
          <w:rFonts w:ascii="Book Antiqua" w:hAnsi="Book Antiqua"/>
          <w:i/>
          <w:iCs/>
          <w:color w:val="000000"/>
          <w:sz w:val="22"/>
          <w:szCs w:val="22"/>
        </w:rPr>
        <w:t>(3) What concerned the Court in </w:t>
      </w:r>
      <w:r w:rsidR="00F272E1" w:rsidRPr="00355FA9">
        <w:rPr>
          <w:rFonts w:ascii="Book Antiqua" w:hAnsi="Book Antiqua"/>
          <w:i/>
          <w:iCs/>
          <w:color w:val="000000"/>
          <w:sz w:val="22"/>
          <w:szCs w:val="22"/>
          <w:u w:val="single"/>
        </w:rPr>
        <w:t>Gurung and others</w:t>
      </w:r>
      <w:r w:rsidR="00F272E1" w:rsidRPr="00355FA9">
        <w:rPr>
          <w:rFonts w:ascii="Book Antiqua" w:hAnsi="Book Antiqua"/>
          <w:i/>
          <w:iCs/>
          <w:color w:val="000000"/>
          <w:sz w:val="22"/>
          <w:szCs w:val="22"/>
        </w:rPr>
        <w:t> was not the burden of proof but, rather, the issue of weight in a proportionality assessment. The Court held that, as in the case of BOCs, the historic wrong suffered by Gurkha ex-servicemen should be given substantial weight.</w:t>
      </w:r>
    </w:p>
    <w:p w:rsidR="00561F99" w:rsidRPr="00561F99" w:rsidRDefault="00F272E1" w:rsidP="00AE0D49">
      <w:pPr>
        <w:spacing w:before="240" w:after="240"/>
        <w:ind w:left="1418"/>
        <w:jc w:val="both"/>
        <w:rPr>
          <w:rFonts w:ascii="Book Antiqua" w:hAnsi="Book Antiqua"/>
          <w:i/>
          <w:iCs/>
          <w:color w:val="000000"/>
          <w:sz w:val="22"/>
          <w:szCs w:val="22"/>
        </w:rPr>
      </w:pPr>
      <w:r w:rsidRPr="00355FA9">
        <w:rPr>
          <w:rFonts w:ascii="Book Antiqua" w:hAnsi="Book Antiqua"/>
          <w:i/>
          <w:iCs/>
          <w:color w:val="000000"/>
          <w:sz w:val="22"/>
          <w:szCs w:val="22"/>
        </w:rPr>
        <w:t>(4) Accordingly, where it is found that Article 8 is engaged and, but for the historic wrong, the Appellant would have been settled in the UK long ago, this will ordinarily determine the outcome of the Article 8 proportionality assessment in an Appellant’s favour, where the matters relied on by the Secretary of State/ entry clearance officer consist solely of the public interest in maintaining a firm immigration policy.</w:t>
      </w:r>
    </w:p>
    <w:p w:rsidR="00841A2F" w:rsidRPr="00746783" w:rsidRDefault="00F272E1" w:rsidP="00C26DD6">
      <w:pPr>
        <w:ind w:left="1418"/>
        <w:jc w:val="both"/>
        <w:rPr>
          <w:color w:val="000000"/>
          <w:sz w:val="22"/>
          <w:szCs w:val="22"/>
        </w:rPr>
      </w:pPr>
      <w:r w:rsidRPr="00355FA9">
        <w:rPr>
          <w:rFonts w:ascii="Book Antiqua" w:hAnsi="Book Antiqua"/>
          <w:i/>
          <w:iCs/>
          <w:color w:val="000000"/>
          <w:sz w:val="22"/>
          <w:szCs w:val="22"/>
        </w:rPr>
        <w:t>(5) It can therefore be seen that Appellants in Gurkha (and BOC) cases will not necessarily succeed, even though (i) their family life engages Article 8(1); and (ii) the evidence shows they would have come to the United Kingdom with their father, but for the injustice that prevented the latter from settling here earlier. If the Respondent can point to matters over and above the public interest in maintaining a firm immigration policy, which argue in favour of removal or the refusal of leave to enter, these matters must be given appropriate weight in the balance in the Respondent’s favour. Thus, a bad immigration history and/or criminal behaviour may still be sufficient to outweigh the powerful factors bearing on the Appellant’s side of the balance.</w:t>
      </w:r>
      <w:r w:rsidR="00355FA9" w:rsidRPr="00355FA9">
        <w:rPr>
          <w:rFonts w:ascii="Book Antiqua" w:hAnsi="Book Antiqua"/>
          <w:i/>
          <w:iCs/>
          <w:color w:val="000000"/>
          <w:sz w:val="22"/>
          <w:szCs w:val="22"/>
        </w:rPr>
        <w:t>”</w:t>
      </w:r>
    </w:p>
    <w:p w:rsidR="00CB70EB" w:rsidRPr="00AA5095" w:rsidRDefault="00841A2F" w:rsidP="00AA5095">
      <w:pPr>
        <w:numPr>
          <w:ilvl w:val="0"/>
          <w:numId w:val="2"/>
        </w:numPr>
        <w:spacing w:before="240"/>
        <w:jc w:val="both"/>
        <w:rPr>
          <w:rFonts w:ascii="Book Antiqua" w:hAnsi="Book Antiqua"/>
        </w:rPr>
      </w:pPr>
      <w:r>
        <w:rPr>
          <w:rFonts w:ascii="Book Antiqua" w:hAnsi="Book Antiqua"/>
        </w:rPr>
        <w:t xml:space="preserve">The FtJ’s decision was made </w:t>
      </w:r>
      <w:r w:rsidR="000E7A5B">
        <w:rPr>
          <w:rFonts w:ascii="Book Antiqua" w:hAnsi="Book Antiqua"/>
        </w:rPr>
        <w:t xml:space="preserve">in line with </w:t>
      </w:r>
      <w:r w:rsidR="00AA5095">
        <w:rPr>
          <w:rFonts w:ascii="Book Antiqua" w:hAnsi="Book Antiqua"/>
        </w:rPr>
        <w:t>relevant authority and the grounds do not establish any error of law in his decision. Accordingly, his decision to allow the appeal of each appellant must stand.</w:t>
      </w:r>
      <w:r w:rsidR="00565706" w:rsidRPr="00AA5095">
        <w:rPr>
          <w:rFonts w:ascii="Book Antiqua" w:hAnsi="Book Antiqua"/>
        </w:rPr>
        <w:t xml:space="preserve"> </w:t>
      </w:r>
    </w:p>
    <w:p w:rsidR="000700DA" w:rsidRPr="009B1526" w:rsidRDefault="00412E73" w:rsidP="00412E73">
      <w:pPr>
        <w:spacing w:before="240"/>
        <w:ind w:left="567"/>
        <w:jc w:val="both"/>
        <w:rPr>
          <w:rFonts w:ascii="Book Antiqua" w:hAnsi="Book Antiqua"/>
        </w:rPr>
      </w:pPr>
      <w:r>
        <w:rPr>
          <w:rFonts w:ascii="Book Antiqua" w:hAnsi="Book Antiqua"/>
          <w:i/>
        </w:rPr>
        <w:t>Decision</w:t>
      </w:r>
      <w:r w:rsidR="009B1526">
        <w:rPr>
          <w:rFonts w:ascii="Book Antiqua" w:hAnsi="Book Antiqua"/>
        </w:rPr>
        <w:t xml:space="preserve"> </w:t>
      </w:r>
      <w:r w:rsidR="004636E8" w:rsidRPr="009B1526">
        <w:rPr>
          <w:rFonts w:ascii="Book Antiqua" w:eastAsia="Book Antiqua" w:hAnsi="Book Antiqua" w:cs="Book Antiqua"/>
        </w:rPr>
        <w:t xml:space="preserve"> </w:t>
      </w:r>
      <w:r w:rsidR="00706EF9" w:rsidRPr="009B1526">
        <w:rPr>
          <w:rFonts w:ascii="Book Antiqua" w:eastAsia="Book Antiqua" w:hAnsi="Book Antiqua" w:cs="Book Antiqua"/>
        </w:rPr>
        <w:t xml:space="preserve"> </w:t>
      </w:r>
    </w:p>
    <w:p w:rsidR="000700DA" w:rsidRDefault="00412E73" w:rsidP="00412E73">
      <w:pPr>
        <w:spacing w:before="240"/>
        <w:ind w:left="567"/>
        <w:jc w:val="both"/>
        <w:rPr>
          <w:rFonts w:ascii="Book Antiqua" w:eastAsia="Book Antiqua" w:hAnsi="Book Antiqua" w:cs="Book Antiqua"/>
        </w:rPr>
      </w:pPr>
      <w:r>
        <w:rPr>
          <w:rFonts w:ascii="Book Antiqua" w:eastAsia="Book Antiqua" w:hAnsi="Book Antiqua" w:cs="Book Antiqua"/>
        </w:rPr>
        <w:t xml:space="preserve">The decision of the First-tier Tribunal </w:t>
      </w:r>
      <w:r w:rsidR="00F41EB7">
        <w:rPr>
          <w:rFonts w:ascii="Book Antiqua" w:eastAsia="Book Antiqua" w:hAnsi="Book Antiqua" w:cs="Book Antiqua"/>
        </w:rPr>
        <w:t>did not involve</w:t>
      </w:r>
      <w:r>
        <w:rPr>
          <w:rFonts w:ascii="Book Antiqua" w:eastAsia="Book Antiqua" w:hAnsi="Book Antiqua" w:cs="Book Antiqua"/>
        </w:rPr>
        <w:t xml:space="preserve"> the making of an error on a point of law. </w:t>
      </w:r>
      <w:r w:rsidR="00AA5095">
        <w:rPr>
          <w:rFonts w:ascii="Book Antiqua" w:eastAsia="Book Antiqua" w:hAnsi="Book Antiqua" w:cs="Book Antiqua"/>
        </w:rPr>
        <w:t>Its decision to allow the appeal of each appellant stands.</w:t>
      </w:r>
    </w:p>
    <w:p w:rsidR="000166C0" w:rsidRDefault="000166C0" w:rsidP="00C26DD6">
      <w:pPr>
        <w:tabs>
          <w:tab w:val="left" w:pos="2520"/>
        </w:tabs>
        <w:ind w:left="540" w:hanging="540"/>
        <w:jc w:val="both"/>
        <w:rPr>
          <w:rFonts w:ascii="Book Antiqua" w:eastAsia="Book Antiqua" w:hAnsi="Book Antiqua" w:cs="Book Antiqua"/>
          <w:color w:val="000000"/>
        </w:rPr>
      </w:pPr>
    </w:p>
    <w:p w:rsidR="000166C0" w:rsidRDefault="000166C0" w:rsidP="00C26DD6">
      <w:pPr>
        <w:tabs>
          <w:tab w:val="left" w:pos="2520"/>
        </w:tabs>
        <w:ind w:left="540" w:hanging="540"/>
        <w:jc w:val="both"/>
        <w:rPr>
          <w:rFonts w:ascii="Book Antiqua" w:eastAsia="Book Antiqua" w:hAnsi="Book Antiqua" w:cs="Book Antiqua"/>
          <w:color w:val="000000"/>
        </w:rPr>
      </w:pPr>
    </w:p>
    <w:p w:rsidR="00C82F70" w:rsidRDefault="00706EF9" w:rsidP="00C26DD6">
      <w:pPr>
        <w:tabs>
          <w:tab w:val="left" w:pos="2520"/>
        </w:tabs>
        <w:ind w:left="540" w:hanging="540"/>
        <w:jc w:val="both"/>
        <w:rPr>
          <w:rFonts w:ascii="Book Antiqua" w:eastAsia="Book Antiqua" w:hAnsi="Book Antiqua" w:cs="Book Antiqua"/>
          <w:color w:val="000000"/>
        </w:rPr>
      </w:pPr>
      <w:r>
        <w:rPr>
          <w:rFonts w:ascii="Book Antiqua" w:eastAsia="Book Antiqua" w:hAnsi="Book Antiqua" w:cs="Book Antiqua"/>
          <w:color w:val="000000"/>
        </w:rPr>
        <w:t>Upper Tribunal Judge Kopieczek</w:t>
      </w:r>
      <w:r>
        <w:rPr>
          <w:rFonts w:ascii="Book Antiqua" w:eastAsia="Book Antiqua" w:hAnsi="Book Antiqua" w:cs="Book Antiqua"/>
          <w:color w:val="000000"/>
        </w:rPr>
        <w:tab/>
      </w:r>
      <w:r>
        <w:rPr>
          <w:rFonts w:ascii="Book Antiqua" w:eastAsia="Book Antiqua" w:hAnsi="Book Antiqua" w:cs="Book Antiqua"/>
          <w:color w:val="000000"/>
        </w:rPr>
        <w:tab/>
      </w:r>
      <w:r>
        <w:rPr>
          <w:rFonts w:ascii="Book Antiqua" w:eastAsia="Book Antiqua" w:hAnsi="Book Antiqua" w:cs="Book Antiqua"/>
          <w:color w:val="000000"/>
        </w:rPr>
        <w:tab/>
      </w:r>
      <w:r>
        <w:rPr>
          <w:rFonts w:ascii="Book Antiqua" w:eastAsia="Book Antiqua" w:hAnsi="Book Antiqua" w:cs="Book Antiqua"/>
          <w:color w:val="000000"/>
        </w:rPr>
        <w:tab/>
      </w:r>
      <w:r>
        <w:rPr>
          <w:rFonts w:ascii="Book Antiqua" w:eastAsia="Book Antiqua" w:hAnsi="Book Antiqua" w:cs="Book Antiqua"/>
          <w:color w:val="000000"/>
        </w:rPr>
        <w:tab/>
      </w:r>
      <w:r>
        <w:rPr>
          <w:rFonts w:ascii="Book Antiqua" w:eastAsia="Book Antiqua" w:hAnsi="Book Antiqua" w:cs="Book Antiqua"/>
          <w:color w:val="000000"/>
        </w:rPr>
        <w:tab/>
      </w:r>
      <w:r>
        <w:rPr>
          <w:rFonts w:ascii="Book Antiqua" w:eastAsia="Book Antiqua" w:hAnsi="Book Antiqua" w:cs="Book Antiqua"/>
          <w:color w:val="000000"/>
        </w:rPr>
        <w:tab/>
      </w:r>
      <w:r w:rsidR="00AA5095">
        <w:rPr>
          <w:rFonts w:ascii="Book Antiqua" w:eastAsia="Book Antiqua" w:hAnsi="Book Antiqua" w:cs="Book Antiqua"/>
          <w:color w:val="000000"/>
        </w:rPr>
        <w:t>16/05</w:t>
      </w:r>
      <w:r>
        <w:rPr>
          <w:rFonts w:ascii="Book Antiqua" w:eastAsia="Book Antiqua" w:hAnsi="Book Antiqua" w:cs="Book Antiqua"/>
          <w:color w:val="000000"/>
        </w:rPr>
        <w:t>/18</w:t>
      </w:r>
    </w:p>
    <w:p w:rsidR="00C82F70" w:rsidRDefault="00C82F70">
      <w:pPr>
        <w:tabs>
          <w:tab w:val="left" w:pos="2520"/>
        </w:tabs>
        <w:ind w:left="540" w:hanging="540"/>
        <w:jc w:val="both"/>
        <w:rPr>
          <w:rFonts w:ascii="Book Antiqua" w:eastAsia="Book Antiqua" w:hAnsi="Book Antiqua" w:cs="Book Antiqua"/>
          <w:color w:val="000000"/>
        </w:rPr>
      </w:pPr>
    </w:p>
    <w:sectPr w:rsidR="00C82F70">
      <w:headerReference w:type="default" r:id="rId10"/>
      <w:footerReference w:type="default" r:id="rId11"/>
      <w:headerReference w:type="first" r:id="rId12"/>
      <w:footerReference w:type="first" r:id="rId13"/>
      <w:pgSz w:w="11906" w:h="16838"/>
      <w:pgMar w:top="1440" w:right="1134" w:bottom="1440" w:left="1134"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7E27" w:rsidRDefault="00107E27">
      <w:r>
        <w:separator/>
      </w:r>
    </w:p>
  </w:endnote>
  <w:endnote w:type="continuationSeparator" w:id="0">
    <w:p w:rsidR="00107E27" w:rsidRDefault="00107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ne Printer">
    <w:panose1 w:val="00000000000000000000"/>
    <w:charset w:val="00"/>
    <w:family w:val="modern"/>
    <w:notTrueType/>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73E" w:rsidRDefault="00D8173E">
    <w:pPr>
      <w:pBdr>
        <w:top w:val="nil"/>
        <w:left w:val="nil"/>
        <w:bottom w:val="nil"/>
        <w:right w:val="nil"/>
        <w:between w:val="nil"/>
      </w:pBdr>
      <w:tabs>
        <w:tab w:val="center" w:pos="4153"/>
        <w:tab w:val="right" w:pos="8306"/>
      </w:tabs>
      <w:jc w:val="center"/>
      <w:rPr>
        <w:rFonts w:ascii="Book Antiqua" w:eastAsia="Book Antiqua" w:hAnsi="Book Antiqua" w:cs="Book Antiqua"/>
        <w:color w:val="000000"/>
        <w:sz w:val="16"/>
        <w:szCs w:val="16"/>
      </w:rPr>
    </w:pPr>
    <w:r>
      <w:rPr>
        <w:rFonts w:ascii="Book Antiqua" w:eastAsia="Book Antiqua" w:hAnsi="Book Antiqua" w:cs="Book Antiqua"/>
        <w:color w:val="000000"/>
        <w:sz w:val="16"/>
        <w:szCs w:val="16"/>
      </w:rPr>
      <w:fldChar w:fldCharType="begin"/>
    </w:r>
    <w:r>
      <w:rPr>
        <w:rFonts w:ascii="Book Antiqua" w:eastAsia="Book Antiqua" w:hAnsi="Book Antiqua" w:cs="Book Antiqua"/>
        <w:color w:val="000000"/>
        <w:sz w:val="16"/>
        <w:szCs w:val="16"/>
      </w:rPr>
      <w:instrText>PAGE</w:instrText>
    </w:r>
    <w:r>
      <w:rPr>
        <w:rFonts w:ascii="Book Antiqua" w:eastAsia="Book Antiqua" w:hAnsi="Book Antiqua" w:cs="Book Antiqua"/>
        <w:color w:val="000000"/>
        <w:sz w:val="16"/>
        <w:szCs w:val="16"/>
      </w:rPr>
      <w:fldChar w:fldCharType="separate"/>
    </w:r>
    <w:r w:rsidR="00BB1974">
      <w:rPr>
        <w:rFonts w:ascii="Book Antiqua" w:eastAsia="Book Antiqua" w:hAnsi="Book Antiqua" w:cs="Book Antiqua"/>
        <w:noProof/>
        <w:color w:val="000000"/>
        <w:sz w:val="16"/>
        <w:szCs w:val="16"/>
      </w:rPr>
      <w:t>4</w:t>
    </w:r>
    <w:r>
      <w:rPr>
        <w:rFonts w:ascii="Book Antiqua" w:eastAsia="Book Antiqua" w:hAnsi="Book Antiqua" w:cs="Book Antiqua"/>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73E" w:rsidRDefault="00D8173E">
    <w:pPr>
      <w:jc w:val="center"/>
      <w:rPr>
        <w:rFonts w:ascii="Book Antiqua" w:eastAsia="Book Antiqua" w:hAnsi="Book Antiqua" w:cs="Book Antiqua"/>
        <w:b/>
      </w:rPr>
    </w:pPr>
    <w:r>
      <w:rPr>
        <w:rFonts w:ascii="Book Antiqua" w:eastAsia="Book Antiqua" w:hAnsi="Book Antiqua" w:cs="Book Antiqua"/>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7E27" w:rsidRDefault="00107E27">
      <w:r>
        <w:separator/>
      </w:r>
    </w:p>
  </w:footnote>
  <w:footnote w:type="continuationSeparator" w:id="0">
    <w:p w:rsidR="00107E27" w:rsidRDefault="00107E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F66" w:rsidRPr="001F5F66" w:rsidRDefault="00D8173E" w:rsidP="001F5F66">
    <w:pPr>
      <w:pBdr>
        <w:top w:val="nil"/>
        <w:left w:val="nil"/>
        <w:bottom w:val="nil"/>
        <w:right w:val="nil"/>
        <w:between w:val="nil"/>
      </w:pBdr>
      <w:tabs>
        <w:tab w:val="center" w:pos="4153"/>
        <w:tab w:val="right" w:pos="8306"/>
      </w:tabs>
      <w:jc w:val="right"/>
      <w:rPr>
        <w:rFonts w:ascii="Book Antiqua" w:eastAsia="Book Antiqua" w:hAnsi="Book Antiqua" w:cs="Book Antiqua"/>
        <w:color w:val="000000"/>
        <w:sz w:val="16"/>
        <w:szCs w:val="16"/>
      </w:rPr>
    </w:pPr>
    <w:r>
      <w:rPr>
        <w:rFonts w:ascii="Book Antiqua" w:eastAsia="Book Antiqua" w:hAnsi="Book Antiqua" w:cs="Book Antiqua"/>
        <w:color w:val="000000"/>
        <w:sz w:val="16"/>
        <w:szCs w:val="16"/>
      </w:rPr>
      <w:t xml:space="preserve">Appeal Number: </w:t>
    </w:r>
    <w:r w:rsidR="001F5F66" w:rsidRPr="001F5F66">
      <w:rPr>
        <w:rFonts w:ascii="Book Antiqua" w:eastAsia="Book Antiqua" w:hAnsi="Book Antiqua" w:cs="Book Antiqua"/>
        <w:color w:val="000000"/>
        <w:sz w:val="16"/>
        <w:szCs w:val="16"/>
      </w:rPr>
      <w:t>HU/03359/2015</w:t>
    </w:r>
  </w:p>
  <w:p w:rsidR="001F5F66" w:rsidRPr="001F5F66" w:rsidRDefault="001F5F66" w:rsidP="001F5F66">
    <w:pPr>
      <w:pBdr>
        <w:top w:val="nil"/>
        <w:left w:val="nil"/>
        <w:bottom w:val="nil"/>
        <w:right w:val="nil"/>
        <w:between w:val="nil"/>
      </w:pBdr>
      <w:tabs>
        <w:tab w:val="center" w:pos="4153"/>
        <w:tab w:val="right" w:pos="8306"/>
      </w:tabs>
      <w:jc w:val="right"/>
      <w:rPr>
        <w:rFonts w:ascii="Book Antiqua" w:eastAsia="Book Antiqua" w:hAnsi="Book Antiqua" w:cs="Book Antiqua"/>
        <w:color w:val="000000"/>
        <w:sz w:val="16"/>
        <w:szCs w:val="16"/>
      </w:rPr>
    </w:pPr>
    <w:r w:rsidRPr="001F5F66">
      <w:rPr>
        <w:rFonts w:ascii="Book Antiqua" w:eastAsia="Book Antiqua" w:hAnsi="Book Antiqua" w:cs="Book Antiqua"/>
        <w:color w:val="000000"/>
        <w:sz w:val="16"/>
        <w:szCs w:val="16"/>
      </w:rPr>
      <w:tab/>
      <w:t>HU/03361/2015</w:t>
    </w:r>
  </w:p>
  <w:p w:rsidR="00D8173E" w:rsidRDefault="00D8173E">
    <w:pPr>
      <w:pBdr>
        <w:top w:val="nil"/>
        <w:left w:val="nil"/>
        <w:bottom w:val="nil"/>
        <w:right w:val="nil"/>
        <w:between w:val="nil"/>
      </w:pBdr>
      <w:tabs>
        <w:tab w:val="center" w:pos="4153"/>
        <w:tab w:val="right" w:pos="8306"/>
      </w:tabs>
      <w:jc w:val="right"/>
      <w:rPr>
        <w:rFonts w:ascii="Book Antiqua" w:eastAsia="Book Antiqua" w:hAnsi="Book Antiqua" w:cs="Book Antiqua"/>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73E" w:rsidRDefault="00D8173E">
    <w:pPr>
      <w:pBdr>
        <w:top w:val="nil"/>
        <w:left w:val="nil"/>
        <w:bottom w:val="nil"/>
        <w:right w:val="nil"/>
        <w:between w:val="nil"/>
      </w:pBdr>
      <w:tabs>
        <w:tab w:val="center" w:pos="4153"/>
        <w:tab w:val="right" w:pos="8306"/>
      </w:tabs>
      <w:rPr>
        <w:rFonts w:ascii="Book Antiqua" w:eastAsia="Book Antiqua" w:hAnsi="Book Antiqua" w:cs="Book Antiqua"/>
        <w:color w:val="000000"/>
      </w:rPr>
    </w:pPr>
    <w:r>
      <w:rPr>
        <w:rFonts w:ascii="Book Antiqua" w:eastAsia="Book Antiqua" w:hAnsi="Book Antiqua" w:cs="Book Antiqua"/>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21218"/>
    <w:multiLevelType w:val="hybridMultilevel"/>
    <w:tmpl w:val="D268878A"/>
    <w:lvl w:ilvl="0" w:tplc="4A3E9DA4">
      <w:start w:val="1"/>
      <w:numFmt w:val="decimal"/>
      <w:lvlText w:val="%1."/>
      <w:lvlJc w:val="left"/>
      <w:pPr>
        <w:tabs>
          <w:tab w:val="num" w:pos="567"/>
        </w:tabs>
        <w:ind w:left="567" w:hanging="567"/>
      </w:pPr>
      <w:rPr>
        <w:rFonts w:cs="Line Printer" w:hint="default"/>
        <w:strike w:val="0"/>
        <w:color w:val="auto"/>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37E348B4"/>
    <w:multiLevelType w:val="multilevel"/>
    <w:tmpl w:val="7EDAD29A"/>
    <w:lvl w:ilvl="0">
      <w:start w:val="1"/>
      <w:numFmt w:val="decimal"/>
      <w:lvlText w:val="%1."/>
      <w:lvlJc w:val="left"/>
      <w:pPr>
        <w:ind w:left="567" w:hanging="567"/>
      </w:pPr>
      <w:rPr>
        <w:rFonts w:ascii="Book Antiqua" w:hAnsi="Book Antiqua" w:hint="default"/>
        <w:sz w:val="24"/>
        <w:szCs w:val="24"/>
      </w:rPr>
    </w:lvl>
    <w:lvl w:ilvl="1">
      <w:start w:val="1"/>
      <w:numFmt w:val="lowerLetter"/>
      <w:lvlText w:val="(%2)"/>
      <w:lvlJc w:val="left"/>
      <w:pPr>
        <w:ind w:left="1134" w:hanging="567"/>
      </w:pPr>
      <w:rPr>
        <w:b w:val="0"/>
        <w:i w:val="0"/>
        <w:sz w:val="24"/>
        <w:szCs w:val="24"/>
      </w:rPr>
    </w:lvl>
    <w:lvl w:ilvl="2">
      <w:start w:val="1"/>
      <w:numFmt w:val="lowerRoman"/>
      <w:lvlText w:val="(%3)"/>
      <w:lvlJc w:val="left"/>
      <w:pPr>
        <w:ind w:left="1701" w:hanging="567"/>
      </w:pPr>
      <w:rPr>
        <w:b w:val="0"/>
        <w:i w:val="0"/>
        <w:sz w:val="24"/>
        <w:szCs w:val="24"/>
      </w:rPr>
    </w:lvl>
    <w:lvl w:ilvl="3">
      <w:start w:val="1"/>
      <w:numFmt w:val="lowerLetter"/>
      <w:lvlText w:val="%1.%2.%3 %4)"/>
      <w:lvlJc w:val="left"/>
      <w:pPr>
        <w:ind w:left="2835" w:hanging="709"/>
      </w:pPr>
      <w:rPr>
        <w:b w:val="0"/>
        <w:i w:val="0"/>
        <w:sz w:val="24"/>
        <w:szCs w:val="24"/>
      </w:rPr>
    </w:lvl>
    <w:lvl w:ilvl="4">
      <w:start w:val="1"/>
      <w:numFmt w:val="lowerLetter"/>
      <w:lvlText w:val="(%5)"/>
      <w:lvlJc w:val="left"/>
      <w:pPr>
        <w:ind w:left="2835" w:hanging="567"/>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8DA4576"/>
    <w:multiLevelType w:val="multilevel"/>
    <w:tmpl w:val="3DFC7BA6"/>
    <w:lvl w:ilvl="0">
      <w:start w:val="1"/>
      <w:numFmt w:val="decimal"/>
      <w:lvlText w:val="%1."/>
      <w:lvlJc w:val="left"/>
      <w:pPr>
        <w:tabs>
          <w:tab w:val="num" w:pos="567"/>
        </w:tabs>
        <w:ind w:left="567" w:hanging="567"/>
      </w:pPr>
      <w:rPr>
        <w:rFonts w:hint="default"/>
        <w:sz w:val="24"/>
        <w:szCs w:val="24"/>
      </w:rPr>
    </w:lvl>
    <w:lvl w:ilvl="1">
      <w:start w:val="1"/>
      <w:numFmt w:val="lowerLetter"/>
      <w:lvlText w:val="(%2)"/>
      <w:lvlJc w:val="left"/>
      <w:pPr>
        <w:tabs>
          <w:tab w:val="num" w:pos="1134"/>
        </w:tabs>
        <w:ind w:left="1134" w:hanging="567"/>
      </w:pPr>
      <w:rPr>
        <w:rFonts w:hint="default"/>
        <w:b w:val="0"/>
        <w:i w:val="0"/>
        <w:sz w:val="24"/>
        <w:szCs w:val="24"/>
      </w:rPr>
    </w:lvl>
    <w:lvl w:ilvl="2">
      <w:start w:val="1"/>
      <w:numFmt w:val="lowerRoman"/>
      <w:lvlText w:val="(%3)"/>
      <w:lvlJc w:val="left"/>
      <w:pPr>
        <w:tabs>
          <w:tab w:val="num" w:pos="1701"/>
        </w:tabs>
        <w:ind w:left="1701" w:hanging="567"/>
      </w:pPr>
      <w:rPr>
        <w:rFonts w:hint="default"/>
        <w:b w:val="0"/>
        <w:i w:val="0"/>
        <w:sz w:val="24"/>
        <w:szCs w:val="24"/>
      </w:rPr>
    </w:lvl>
    <w:lvl w:ilvl="3">
      <w:start w:val="1"/>
      <w:numFmt w:val="lowerLetter"/>
      <w:lvlText w:val="%1.%2.%3 %4)"/>
      <w:lvlJc w:val="left"/>
      <w:pPr>
        <w:tabs>
          <w:tab w:val="num" w:pos="2835"/>
        </w:tabs>
        <w:ind w:left="2835" w:hanging="709"/>
      </w:pPr>
      <w:rPr>
        <w:rFonts w:hint="default"/>
        <w:b w:val="0"/>
        <w:i w:val="0"/>
        <w:sz w:val="24"/>
        <w:szCs w:val="24"/>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5BA0517C"/>
    <w:multiLevelType w:val="multilevel"/>
    <w:tmpl w:val="7352B0FE"/>
    <w:lvl w:ilvl="0">
      <w:start w:val="1"/>
      <w:numFmt w:val="bullet"/>
      <w:lvlText w:val="●"/>
      <w:lvlJc w:val="left"/>
      <w:pPr>
        <w:ind w:left="1854" w:hanging="360"/>
      </w:pPr>
      <w:rPr>
        <w:rFonts w:ascii="Noto Sans Symbols" w:eastAsia="Noto Sans Symbols" w:hAnsi="Noto Sans Symbols" w:cs="Noto Sans Symbols"/>
      </w:rPr>
    </w:lvl>
    <w:lvl w:ilvl="1">
      <w:start w:val="1"/>
      <w:numFmt w:val="bullet"/>
      <w:lvlText w:val="o"/>
      <w:lvlJc w:val="left"/>
      <w:pPr>
        <w:ind w:left="2574" w:hanging="360"/>
      </w:pPr>
      <w:rPr>
        <w:rFonts w:ascii="Courier New" w:eastAsia="Courier New" w:hAnsi="Courier New" w:cs="Courier New"/>
      </w:rPr>
    </w:lvl>
    <w:lvl w:ilvl="2">
      <w:start w:val="1"/>
      <w:numFmt w:val="bullet"/>
      <w:lvlText w:val="▪"/>
      <w:lvlJc w:val="left"/>
      <w:pPr>
        <w:ind w:left="3294" w:hanging="360"/>
      </w:pPr>
      <w:rPr>
        <w:rFonts w:ascii="Noto Sans Symbols" w:eastAsia="Noto Sans Symbols" w:hAnsi="Noto Sans Symbols" w:cs="Noto Sans Symbols"/>
      </w:rPr>
    </w:lvl>
    <w:lvl w:ilvl="3">
      <w:start w:val="1"/>
      <w:numFmt w:val="bullet"/>
      <w:lvlText w:val="●"/>
      <w:lvlJc w:val="left"/>
      <w:pPr>
        <w:ind w:left="4014" w:hanging="360"/>
      </w:pPr>
      <w:rPr>
        <w:rFonts w:ascii="Noto Sans Symbols" w:eastAsia="Noto Sans Symbols" w:hAnsi="Noto Sans Symbols" w:cs="Noto Sans Symbols"/>
      </w:rPr>
    </w:lvl>
    <w:lvl w:ilvl="4">
      <w:start w:val="1"/>
      <w:numFmt w:val="bullet"/>
      <w:lvlText w:val="o"/>
      <w:lvlJc w:val="left"/>
      <w:pPr>
        <w:ind w:left="4734" w:hanging="360"/>
      </w:pPr>
      <w:rPr>
        <w:rFonts w:ascii="Courier New" w:eastAsia="Courier New" w:hAnsi="Courier New" w:cs="Courier New"/>
      </w:rPr>
    </w:lvl>
    <w:lvl w:ilvl="5">
      <w:start w:val="1"/>
      <w:numFmt w:val="bullet"/>
      <w:lvlText w:val="▪"/>
      <w:lvlJc w:val="left"/>
      <w:pPr>
        <w:ind w:left="5454" w:hanging="360"/>
      </w:pPr>
      <w:rPr>
        <w:rFonts w:ascii="Noto Sans Symbols" w:eastAsia="Noto Sans Symbols" w:hAnsi="Noto Sans Symbols" w:cs="Noto Sans Symbols"/>
      </w:rPr>
    </w:lvl>
    <w:lvl w:ilvl="6">
      <w:start w:val="1"/>
      <w:numFmt w:val="bullet"/>
      <w:lvlText w:val="●"/>
      <w:lvlJc w:val="left"/>
      <w:pPr>
        <w:ind w:left="6174" w:hanging="360"/>
      </w:pPr>
      <w:rPr>
        <w:rFonts w:ascii="Noto Sans Symbols" w:eastAsia="Noto Sans Symbols" w:hAnsi="Noto Sans Symbols" w:cs="Noto Sans Symbols"/>
      </w:rPr>
    </w:lvl>
    <w:lvl w:ilvl="7">
      <w:start w:val="1"/>
      <w:numFmt w:val="bullet"/>
      <w:lvlText w:val="o"/>
      <w:lvlJc w:val="left"/>
      <w:pPr>
        <w:ind w:left="6894" w:hanging="360"/>
      </w:pPr>
      <w:rPr>
        <w:rFonts w:ascii="Courier New" w:eastAsia="Courier New" w:hAnsi="Courier New" w:cs="Courier New"/>
      </w:rPr>
    </w:lvl>
    <w:lvl w:ilvl="8">
      <w:start w:val="1"/>
      <w:numFmt w:val="bullet"/>
      <w:lvlText w:val="▪"/>
      <w:lvlJc w:val="left"/>
      <w:pPr>
        <w:ind w:left="7614" w:hanging="360"/>
      </w:pPr>
      <w:rPr>
        <w:rFonts w:ascii="Noto Sans Symbols" w:eastAsia="Noto Sans Symbols" w:hAnsi="Noto Sans Symbols" w:cs="Noto Sans Symbols"/>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0DA"/>
    <w:rsid w:val="00001739"/>
    <w:rsid w:val="00003F1B"/>
    <w:rsid w:val="000166C0"/>
    <w:rsid w:val="00020124"/>
    <w:rsid w:val="00024B31"/>
    <w:rsid w:val="00051716"/>
    <w:rsid w:val="000562D0"/>
    <w:rsid w:val="00063779"/>
    <w:rsid w:val="00066CE5"/>
    <w:rsid w:val="000700DA"/>
    <w:rsid w:val="0009661E"/>
    <w:rsid w:val="000A1414"/>
    <w:rsid w:val="000E7A5B"/>
    <w:rsid w:val="00105789"/>
    <w:rsid w:val="00107E27"/>
    <w:rsid w:val="001243F4"/>
    <w:rsid w:val="00127F23"/>
    <w:rsid w:val="00151BB3"/>
    <w:rsid w:val="00153492"/>
    <w:rsid w:val="00180B05"/>
    <w:rsid w:val="00191072"/>
    <w:rsid w:val="001B3E48"/>
    <w:rsid w:val="001D4CA5"/>
    <w:rsid w:val="001D53AA"/>
    <w:rsid w:val="001F31A4"/>
    <w:rsid w:val="001F4A21"/>
    <w:rsid w:val="001F5F66"/>
    <w:rsid w:val="002067CC"/>
    <w:rsid w:val="002127A9"/>
    <w:rsid w:val="002145E8"/>
    <w:rsid w:val="00260D53"/>
    <w:rsid w:val="00260EA3"/>
    <w:rsid w:val="002623D4"/>
    <w:rsid w:val="00266F4B"/>
    <w:rsid w:val="002968A8"/>
    <w:rsid w:val="002B3C03"/>
    <w:rsid w:val="002D7E38"/>
    <w:rsid w:val="002E0CF0"/>
    <w:rsid w:val="002E7DC8"/>
    <w:rsid w:val="00300915"/>
    <w:rsid w:val="00336132"/>
    <w:rsid w:val="003435E7"/>
    <w:rsid w:val="00355FA9"/>
    <w:rsid w:val="00374F2E"/>
    <w:rsid w:val="0038029A"/>
    <w:rsid w:val="00384B7C"/>
    <w:rsid w:val="003944C7"/>
    <w:rsid w:val="003D0484"/>
    <w:rsid w:val="00412E73"/>
    <w:rsid w:val="00444D9C"/>
    <w:rsid w:val="004463CA"/>
    <w:rsid w:val="00457AF7"/>
    <w:rsid w:val="004636E8"/>
    <w:rsid w:val="004A5C7E"/>
    <w:rsid w:val="004B17FF"/>
    <w:rsid w:val="004B71DD"/>
    <w:rsid w:val="004C77DB"/>
    <w:rsid w:val="004E2D65"/>
    <w:rsid w:val="005029D3"/>
    <w:rsid w:val="005242B0"/>
    <w:rsid w:val="0053384E"/>
    <w:rsid w:val="00536FC4"/>
    <w:rsid w:val="00552A2A"/>
    <w:rsid w:val="00557D18"/>
    <w:rsid w:val="00560C00"/>
    <w:rsid w:val="00561F99"/>
    <w:rsid w:val="00565706"/>
    <w:rsid w:val="00581C08"/>
    <w:rsid w:val="00586E7F"/>
    <w:rsid w:val="00592375"/>
    <w:rsid w:val="00596712"/>
    <w:rsid w:val="005A2850"/>
    <w:rsid w:val="005B7E04"/>
    <w:rsid w:val="005D057C"/>
    <w:rsid w:val="005D409B"/>
    <w:rsid w:val="005E01F3"/>
    <w:rsid w:val="0062166F"/>
    <w:rsid w:val="00626E29"/>
    <w:rsid w:val="0067153A"/>
    <w:rsid w:val="00681409"/>
    <w:rsid w:val="00695EA8"/>
    <w:rsid w:val="006D2D82"/>
    <w:rsid w:val="006F4438"/>
    <w:rsid w:val="00701600"/>
    <w:rsid w:val="00706EF9"/>
    <w:rsid w:val="00711BA2"/>
    <w:rsid w:val="00727093"/>
    <w:rsid w:val="00746783"/>
    <w:rsid w:val="00750ECD"/>
    <w:rsid w:val="00756A74"/>
    <w:rsid w:val="007658E1"/>
    <w:rsid w:val="00767004"/>
    <w:rsid w:val="00771FAA"/>
    <w:rsid w:val="00776308"/>
    <w:rsid w:val="00780414"/>
    <w:rsid w:val="00790769"/>
    <w:rsid w:val="00792A68"/>
    <w:rsid w:val="007938B7"/>
    <w:rsid w:val="007A10AE"/>
    <w:rsid w:val="007D161A"/>
    <w:rsid w:val="007F226D"/>
    <w:rsid w:val="008230C4"/>
    <w:rsid w:val="008333C3"/>
    <w:rsid w:val="00841A2F"/>
    <w:rsid w:val="0084671E"/>
    <w:rsid w:val="00857134"/>
    <w:rsid w:val="00860EA8"/>
    <w:rsid w:val="00866398"/>
    <w:rsid w:val="008717E5"/>
    <w:rsid w:val="008849D1"/>
    <w:rsid w:val="00884ED2"/>
    <w:rsid w:val="0089692B"/>
    <w:rsid w:val="008A463F"/>
    <w:rsid w:val="008A575E"/>
    <w:rsid w:val="008F2FC9"/>
    <w:rsid w:val="008F59ED"/>
    <w:rsid w:val="00933670"/>
    <w:rsid w:val="00943540"/>
    <w:rsid w:val="00951CE5"/>
    <w:rsid w:val="00966907"/>
    <w:rsid w:val="00977A79"/>
    <w:rsid w:val="009B05CA"/>
    <w:rsid w:val="009B1526"/>
    <w:rsid w:val="009B7A49"/>
    <w:rsid w:val="009C32A5"/>
    <w:rsid w:val="009D1690"/>
    <w:rsid w:val="009D2D7D"/>
    <w:rsid w:val="009D2D9E"/>
    <w:rsid w:val="009E146F"/>
    <w:rsid w:val="009F1644"/>
    <w:rsid w:val="00A028C6"/>
    <w:rsid w:val="00A12932"/>
    <w:rsid w:val="00A13403"/>
    <w:rsid w:val="00A15BA8"/>
    <w:rsid w:val="00A35477"/>
    <w:rsid w:val="00A35D9F"/>
    <w:rsid w:val="00A46F26"/>
    <w:rsid w:val="00A50671"/>
    <w:rsid w:val="00A8197F"/>
    <w:rsid w:val="00A82238"/>
    <w:rsid w:val="00AA4852"/>
    <w:rsid w:val="00AA5095"/>
    <w:rsid w:val="00AB223B"/>
    <w:rsid w:val="00AB38E1"/>
    <w:rsid w:val="00AB3C04"/>
    <w:rsid w:val="00AD2A5B"/>
    <w:rsid w:val="00AE0D49"/>
    <w:rsid w:val="00B35168"/>
    <w:rsid w:val="00B37660"/>
    <w:rsid w:val="00B76860"/>
    <w:rsid w:val="00B843FB"/>
    <w:rsid w:val="00B943AD"/>
    <w:rsid w:val="00BA6403"/>
    <w:rsid w:val="00BB1974"/>
    <w:rsid w:val="00BB7A21"/>
    <w:rsid w:val="00BD3098"/>
    <w:rsid w:val="00BE610C"/>
    <w:rsid w:val="00BF1BE9"/>
    <w:rsid w:val="00BF53CE"/>
    <w:rsid w:val="00C01A92"/>
    <w:rsid w:val="00C128A2"/>
    <w:rsid w:val="00C228F8"/>
    <w:rsid w:val="00C26DD6"/>
    <w:rsid w:val="00C27859"/>
    <w:rsid w:val="00C472ED"/>
    <w:rsid w:val="00C769AB"/>
    <w:rsid w:val="00C82F70"/>
    <w:rsid w:val="00C8719E"/>
    <w:rsid w:val="00CB70EB"/>
    <w:rsid w:val="00CC6678"/>
    <w:rsid w:val="00CE334E"/>
    <w:rsid w:val="00CF325B"/>
    <w:rsid w:val="00D37FEB"/>
    <w:rsid w:val="00D515DC"/>
    <w:rsid w:val="00D77082"/>
    <w:rsid w:val="00D8173E"/>
    <w:rsid w:val="00D829A8"/>
    <w:rsid w:val="00DB0ACF"/>
    <w:rsid w:val="00DC3131"/>
    <w:rsid w:val="00DC3414"/>
    <w:rsid w:val="00DE1061"/>
    <w:rsid w:val="00DE3AF6"/>
    <w:rsid w:val="00DF1BF3"/>
    <w:rsid w:val="00E137B9"/>
    <w:rsid w:val="00E14557"/>
    <w:rsid w:val="00E15B5D"/>
    <w:rsid w:val="00E23EE7"/>
    <w:rsid w:val="00E2729C"/>
    <w:rsid w:val="00E414FB"/>
    <w:rsid w:val="00E46176"/>
    <w:rsid w:val="00E474DA"/>
    <w:rsid w:val="00E47D0C"/>
    <w:rsid w:val="00E561EB"/>
    <w:rsid w:val="00E7033A"/>
    <w:rsid w:val="00E97DDE"/>
    <w:rsid w:val="00EB276F"/>
    <w:rsid w:val="00EC0533"/>
    <w:rsid w:val="00EF00EA"/>
    <w:rsid w:val="00F16BED"/>
    <w:rsid w:val="00F272E1"/>
    <w:rsid w:val="00F41EB7"/>
    <w:rsid w:val="00F9576A"/>
    <w:rsid w:val="00FB31EE"/>
    <w:rsid w:val="00FB64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8B21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spacing w:before="240" w:after="60"/>
      <w:outlineLvl w:val="1"/>
    </w:pPr>
    <w:rPr>
      <w:rFonts w:ascii="Calibri" w:eastAsia="Calibri" w:hAnsi="Calibri" w:cs="Calibri"/>
      <w:b/>
      <w:i/>
      <w:sz w:val="28"/>
      <w:szCs w:val="28"/>
    </w:rPr>
  </w:style>
  <w:style w:type="paragraph" w:styleId="Heading3">
    <w:name w:val="heading 3"/>
    <w:basedOn w:val="Normal"/>
    <w:next w:val="Normal"/>
    <w:pPr>
      <w:spacing w:before="100" w:after="100"/>
      <w:outlineLvl w:val="2"/>
    </w:pPr>
    <w:rPr>
      <w:b/>
      <w:sz w:val="27"/>
      <w:szCs w:val="27"/>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557D18"/>
    <w:pPr>
      <w:ind w:left="720"/>
      <w:contextualSpacing/>
    </w:pPr>
  </w:style>
  <w:style w:type="paragraph" w:styleId="Header">
    <w:name w:val="header"/>
    <w:basedOn w:val="Normal"/>
    <w:link w:val="HeaderChar"/>
    <w:uiPriority w:val="99"/>
    <w:unhideWhenUsed/>
    <w:rsid w:val="00C8719E"/>
    <w:pPr>
      <w:tabs>
        <w:tab w:val="center" w:pos="4513"/>
        <w:tab w:val="right" w:pos="9026"/>
      </w:tabs>
    </w:pPr>
  </w:style>
  <w:style w:type="character" w:customStyle="1" w:styleId="HeaderChar">
    <w:name w:val="Header Char"/>
    <w:basedOn w:val="DefaultParagraphFont"/>
    <w:link w:val="Header"/>
    <w:uiPriority w:val="99"/>
    <w:rsid w:val="00C8719E"/>
  </w:style>
  <w:style w:type="paragraph" w:styleId="Footer">
    <w:name w:val="footer"/>
    <w:basedOn w:val="Normal"/>
    <w:link w:val="FooterChar"/>
    <w:uiPriority w:val="99"/>
    <w:unhideWhenUsed/>
    <w:rsid w:val="00C8719E"/>
    <w:pPr>
      <w:tabs>
        <w:tab w:val="center" w:pos="4513"/>
        <w:tab w:val="right" w:pos="9026"/>
      </w:tabs>
    </w:pPr>
  </w:style>
  <w:style w:type="character" w:customStyle="1" w:styleId="FooterChar">
    <w:name w:val="Footer Char"/>
    <w:basedOn w:val="DefaultParagraphFont"/>
    <w:link w:val="Footer"/>
    <w:uiPriority w:val="99"/>
    <w:rsid w:val="00C8719E"/>
  </w:style>
  <w:style w:type="paragraph" w:styleId="BalloonText">
    <w:name w:val="Balloon Text"/>
    <w:basedOn w:val="Normal"/>
    <w:link w:val="BalloonTextChar"/>
    <w:uiPriority w:val="99"/>
    <w:semiHidden/>
    <w:unhideWhenUsed/>
    <w:rsid w:val="000201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1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277935">
      <w:bodyDiv w:val="1"/>
      <w:marLeft w:val="0"/>
      <w:marRight w:val="0"/>
      <w:marTop w:val="0"/>
      <w:marBottom w:val="0"/>
      <w:divBdr>
        <w:top w:val="none" w:sz="0" w:space="0" w:color="auto"/>
        <w:left w:val="none" w:sz="0" w:space="0" w:color="auto"/>
        <w:bottom w:val="none" w:sz="0" w:space="0" w:color="auto"/>
        <w:right w:val="none" w:sz="0" w:space="0" w:color="auto"/>
      </w:divBdr>
    </w:div>
    <w:div w:id="16143600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16T12:26:18.587"/>
    </inkml:context>
    <inkml:brush xml:id="br0">
      <inkml:brushProperty name="width" value="0.05" units="cm"/>
      <inkml:brushProperty name="height" value="0.05" units="cm"/>
    </inkml:brush>
  </inkml:definitions>
  <inkml:trace contextRef="#ctx0" brushRef="#br0">100 386 18610,'-13'-111'0,"-13"-37"0,21 128-22,-1 1-40,1 1-38,0 2-34,-6-11-222,1 9-94,1 10-68,9 8 503,0 0-1,0 0 0,0 0 0,-1 0 0,1 0 0,0 0 0,0 0 0,-1 0 0,1 0 0,0 0 0,0 0 1,0 0-1,-1 0 0,1 0 0,0 1 0,0-1 0,0 0 0,-1 0 0,1 0 0,0 0 0,0 0 0,0 0 0,-1 1 1,1-1-1,0 0 0,0 0 0,0 0 0,0 1 0,0-1 0,0 0 0,0 0 0,-1 0 0,1 1 0,0-1 1,0 0 15,-1 5-141,0 1 1,0-1 0,0 1-1,1-1 1,0 1 0,0 0-1,1-1 1,-1 1 140,1 5-239,0 0 64,0-1 72,0 0 82,0-1 91,0-1 99,-1-1 109,1-1 117,-1-6-395,1 5 486,0 1 771,0-5-874,-1-1-187,1 0-44,0-1-51,-1 1-59,1-1-69,1 0-76,-1-1-85,0 1-93,0 0 65,1 0-34,0-2-344,1 1-108,0-1-90,0 0-54,0-1-51,10-7-2172,-7 5 1796,1 1 72,-4 2 654,1 0 43,1-1-31,-1 1 66,1 0 63,0-1 57,0 1 54,-1 0 49,1 1 45,0 0 40,3-1-25,-1 2 74,1 1 47,3 5 48,-8-2 17,-1 0 0,0 1 0,1-1 0,-2 0 0,1 1 0,0-1 0,-1 1 0,1-1 0,-1 1 0,0 0 0,0 3 0,11 64 0,-11-68 0,22 152 0,-19-124 0,2 0 0,3 10 0,-4-34 0,-1-12 0,-2-6 0,1 0 0,-2 0 0,1-10 0,1-74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1457</Words>
  <Characters>8311</Characters>
  <Application>Microsoft Office Word</Application>
  <DocSecurity>0</DocSecurity>
  <Lines>69</Lines>
  <Paragraphs>19</Paragraphs>
  <ScaleCrop>false</ScaleCrop>
  <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2018-06-11T14:11:00Z</dcterms:created>
  <dcterms:modified xsi:type="dcterms:W3CDTF">2018-06-11T14:11:00Z</dcterms:modified>
</cp:coreProperties>
</file>