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304B8A" w:rsidP="008A605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9B7433"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305752"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305752" w:rsidRPr="00305752">
        <w:rPr>
          <w:rFonts w:ascii="Book Antiqua" w:hAnsi="Book Antiqua" w:cs="Arial"/>
          <w:caps/>
          <w:color w:val="000000"/>
        </w:rPr>
        <w:t>HU/04014/2018</w:t>
      </w:r>
      <w:bookmarkEnd w:id="0"/>
    </w:p>
    <w:p w:rsidR="005E64D0" w:rsidRDefault="005E64D0" w:rsidP="00C345E1">
      <w:pPr>
        <w:jc w:val="center"/>
        <w:rPr>
          <w:rFonts w:ascii="Book Antiqua" w:hAnsi="Book Antiqua" w:cs="Arial"/>
          <w:color w:val="000000"/>
        </w:rPr>
      </w:pPr>
    </w:p>
    <w:p w:rsidR="00EE3EE9" w:rsidRPr="009B7433" w:rsidRDefault="00EE3EE9"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5E64D0" w:rsidRDefault="005E64D0" w:rsidP="00C345E1">
      <w:pPr>
        <w:jc w:val="center"/>
        <w:rPr>
          <w:rFonts w:ascii="Book Antiqua" w:hAnsi="Book Antiqua" w:cs="Arial"/>
          <w:b/>
          <w:u w:val="single"/>
        </w:rPr>
      </w:pPr>
    </w:p>
    <w:p w:rsidR="00EE3EE9" w:rsidRPr="009B7433" w:rsidRDefault="00EE3EE9"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B7F16" w:rsidTr="002B7F16">
        <w:tc>
          <w:tcPr>
            <w:tcW w:w="6048" w:type="dxa"/>
            <w:shd w:val="clear" w:color="auto" w:fill="auto"/>
          </w:tcPr>
          <w:p w:rsidR="00D22636" w:rsidRDefault="00D22636" w:rsidP="002B7F16">
            <w:pPr>
              <w:jc w:val="both"/>
              <w:rPr>
                <w:rFonts w:ascii="Book Antiqua" w:hAnsi="Book Antiqua" w:cs="Arial"/>
                <w:b/>
              </w:rPr>
            </w:pPr>
            <w:r w:rsidRPr="002B7F16">
              <w:rPr>
                <w:rFonts w:ascii="Book Antiqua" w:hAnsi="Book Antiqua" w:cs="Arial"/>
                <w:b/>
              </w:rPr>
              <w:t xml:space="preserve">Heard at </w:t>
            </w:r>
            <w:r w:rsidR="00305752" w:rsidRPr="002B7F16">
              <w:rPr>
                <w:rFonts w:ascii="Book Antiqua" w:hAnsi="Book Antiqua" w:cs="Arial"/>
                <w:b/>
              </w:rPr>
              <w:t xml:space="preserve">Field House </w:t>
            </w:r>
          </w:p>
          <w:p w:rsidR="00F94398" w:rsidRPr="002B7F16" w:rsidRDefault="00F94398" w:rsidP="002B7F16">
            <w:pPr>
              <w:jc w:val="both"/>
              <w:rPr>
                <w:rFonts w:ascii="Book Antiqua" w:hAnsi="Book Antiqua" w:cs="Arial"/>
                <w:b/>
              </w:rPr>
            </w:pPr>
            <w:r>
              <w:rPr>
                <w:rFonts w:ascii="Book Antiqua" w:hAnsi="Book Antiqua" w:cs="Arial"/>
                <w:b/>
              </w:rPr>
              <w:t>On 7 June 2018</w:t>
            </w:r>
          </w:p>
        </w:tc>
        <w:tc>
          <w:tcPr>
            <w:tcW w:w="3960" w:type="dxa"/>
            <w:shd w:val="clear" w:color="auto" w:fill="auto"/>
          </w:tcPr>
          <w:p w:rsidR="00D22636" w:rsidRDefault="00D949B7" w:rsidP="002B7F16">
            <w:pPr>
              <w:jc w:val="both"/>
              <w:rPr>
                <w:rFonts w:ascii="Book Antiqua" w:hAnsi="Book Antiqua" w:cs="Arial"/>
                <w:b/>
                <w:color w:val="000000"/>
              </w:rPr>
            </w:pPr>
            <w:r w:rsidRPr="002B7F16">
              <w:rPr>
                <w:rFonts w:ascii="Book Antiqua" w:hAnsi="Book Antiqua" w:cs="Arial"/>
                <w:b/>
                <w:color w:val="000000"/>
              </w:rPr>
              <w:t>Decision &amp; Reasons</w:t>
            </w:r>
            <w:r w:rsidR="00283659" w:rsidRPr="002B7F16">
              <w:rPr>
                <w:rFonts w:ascii="Book Antiqua" w:hAnsi="Book Antiqua" w:cs="Arial"/>
                <w:b/>
                <w:color w:val="000000"/>
              </w:rPr>
              <w:t xml:space="preserve"> Promulgated</w:t>
            </w:r>
          </w:p>
          <w:p w:rsidR="00F94398" w:rsidRPr="002B7F16" w:rsidRDefault="00F94398" w:rsidP="002B7F16">
            <w:pPr>
              <w:jc w:val="both"/>
              <w:rPr>
                <w:rFonts w:ascii="Book Antiqua" w:hAnsi="Book Antiqua" w:cs="Arial"/>
                <w:b/>
                <w:color w:val="000000"/>
              </w:rPr>
            </w:pPr>
            <w:r>
              <w:rPr>
                <w:rFonts w:ascii="Book Antiqua" w:hAnsi="Book Antiqua" w:cs="Arial"/>
                <w:b/>
                <w:color w:val="000000"/>
              </w:rPr>
              <w:t>On 26 June 2018</w:t>
            </w:r>
          </w:p>
        </w:tc>
      </w:tr>
      <w:tr w:rsidR="00B4538A" w:rsidRPr="002B7F16" w:rsidTr="002B7F16">
        <w:tc>
          <w:tcPr>
            <w:tcW w:w="6048" w:type="dxa"/>
            <w:shd w:val="clear" w:color="auto" w:fill="auto"/>
          </w:tcPr>
          <w:p w:rsidR="00B4538A" w:rsidRPr="002B7F16" w:rsidRDefault="00B4538A" w:rsidP="002B7F16">
            <w:pPr>
              <w:jc w:val="both"/>
              <w:rPr>
                <w:rFonts w:ascii="Book Antiqua" w:hAnsi="Book Antiqua" w:cs="Arial"/>
                <w:b/>
              </w:rPr>
            </w:pPr>
          </w:p>
        </w:tc>
        <w:tc>
          <w:tcPr>
            <w:tcW w:w="3960" w:type="dxa"/>
            <w:shd w:val="clear" w:color="auto" w:fill="auto"/>
          </w:tcPr>
          <w:p w:rsidR="00B4538A" w:rsidRPr="002B7F16" w:rsidRDefault="00B4538A" w:rsidP="002B7F16">
            <w:pPr>
              <w:jc w:val="both"/>
              <w:rPr>
                <w:rFonts w:ascii="Book Antiqua" w:hAnsi="Book Antiqua" w:cs="Arial"/>
                <w:b/>
              </w:rPr>
            </w:pPr>
          </w:p>
        </w:tc>
      </w:tr>
    </w:tbl>
    <w:p w:rsidR="00EE3EE9" w:rsidRPr="009B7433" w:rsidRDefault="00EE3EE9"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C659D4">
        <w:rPr>
          <w:rFonts w:ascii="Book Antiqua" w:hAnsi="Book Antiqua" w:cs="Arial"/>
          <w:b/>
          <w:color w:val="000000"/>
        </w:rPr>
        <w:t>CRAIG</w:t>
      </w:r>
    </w:p>
    <w:p w:rsidR="001B186A" w:rsidRDefault="001B186A" w:rsidP="00A15234">
      <w:pPr>
        <w:jc w:val="center"/>
        <w:rPr>
          <w:rFonts w:ascii="Book Antiqua" w:hAnsi="Book Antiqua" w:cs="Arial"/>
          <w:b/>
          <w:color w:val="000000"/>
        </w:rPr>
      </w:pPr>
    </w:p>
    <w:p w:rsidR="00EE3EE9" w:rsidRPr="009B7433" w:rsidRDefault="00EE3EE9" w:rsidP="00A15234">
      <w:pPr>
        <w:jc w:val="center"/>
        <w:rPr>
          <w:rFonts w:ascii="Book Antiqua" w:hAnsi="Book Antiqua" w:cs="Arial"/>
          <w:b/>
          <w:color w:val="000000"/>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Pr="00305752" w:rsidRDefault="00305752" w:rsidP="00A15234">
      <w:pPr>
        <w:jc w:val="center"/>
        <w:rPr>
          <w:rFonts w:ascii="Book Antiqua" w:hAnsi="Book Antiqua" w:cs="Arial"/>
          <w:b/>
          <w:caps/>
        </w:rPr>
      </w:pPr>
      <w:r w:rsidRPr="00305752">
        <w:rPr>
          <w:rFonts w:ascii="Book Antiqua" w:hAnsi="Book Antiqua" w:cs="Arial"/>
          <w:b/>
          <w:caps/>
        </w:rPr>
        <w:t>Showayne Demario</w:t>
      </w:r>
      <w:r>
        <w:rPr>
          <w:rFonts w:ascii="Book Antiqua" w:hAnsi="Book Antiqua" w:cs="Arial"/>
          <w:b/>
          <w:caps/>
        </w:rPr>
        <w:t xml:space="preserve"> thompson</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305752">
        <w:rPr>
          <w:rFonts w:ascii="Book Antiqua" w:hAnsi="Book Antiqua" w:cs="Arial"/>
          <w:b/>
          <w:caps/>
        </w:rPr>
        <w:t>not made</w:t>
      </w:r>
      <w:r w:rsidRPr="00D949B7">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EE3EE9" w:rsidRDefault="00EE3EE9" w:rsidP="00DD5071">
      <w:pPr>
        <w:rPr>
          <w:rFonts w:ascii="Book Antiqua" w:hAnsi="Book Antiqua" w:cs="Arial"/>
          <w:u w:val="single"/>
        </w:rPr>
      </w:pPr>
    </w:p>
    <w:p w:rsidR="00E62953" w:rsidRDefault="00E62953"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305752">
        <w:rPr>
          <w:rFonts w:ascii="Book Antiqua" w:hAnsi="Book Antiqua" w:cs="Arial"/>
        </w:rPr>
        <w:t xml:space="preserve">No appearance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305752">
        <w:rPr>
          <w:rFonts w:ascii="Book Antiqua" w:hAnsi="Book Antiqua" w:cs="Arial"/>
        </w:rPr>
        <w:t xml:space="preserve">Mr T Wilding, Home Office Presenting Officer </w:t>
      </w:r>
    </w:p>
    <w:p w:rsidR="00DE7DB7" w:rsidRPr="009B7433" w:rsidRDefault="00DE7DB7" w:rsidP="00402B9E">
      <w:pPr>
        <w:tabs>
          <w:tab w:val="left" w:pos="2520"/>
        </w:tabs>
        <w:jc w:val="center"/>
        <w:rPr>
          <w:rFonts w:ascii="Book Antiqua" w:hAnsi="Book Antiqua" w:cs="Arial"/>
        </w:rPr>
      </w:pPr>
    </w:p>
    <w:p w:rsidR="002A5747" w:rsidRDefault="002A5747" w:rsidP="004D6B45">
      <w:pPr>
        <w:tabs>
          <w:tab w:val="left" w:pos="2520"/>
        </w:tabs>
        <w:jc w:val="center"/>
        <w:rPr>
          <w:rFonts w:ascii="Book Antiqua" w:hAnsi="Book Antiqua" w:cs="Arial"/>
          <w:b/>
          <w:u w:val="single"/>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EA79AF" w:rsidRDefault="0030575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w:t>
      </w:r>
      <w:smartTag w:uri="urn:schemas-microsoft-com:office:smarttags" w:element="country-region">
        <w:smartTag w:uri="urn:schemas-microsoft-com:office:smarttags" w:element="place">
          <w:r>
            <w:rPr>
              <w:rFonts w:ascii="Book Antiqua" w:hAnsi="Book Antiqua" w:cs="Arial"/>
            </w:rPr>
            <w:t>Jamaica</w:t>
          </w:r>
        </w:smartTag>
      </w:smartTag>
      <w:r>
        <w:rPr>
          <w:rFonts w:ascii="Book Antiqua" w:hAnsi="Book Antiqua" w:cs="Arial"/>
        </w:rPr>
        <w:t xml:space="preserve"> who was born on 21 August 1996</w:t>
      </w:r>
      <w:r w:rsidR="00AE4CE0">
        <w:rPr>
          <w:rFonts w:ascii="Book Antiqua" w:hAnsi="Book Antiqua" w:cs="Arial"/>
        </w:rPr>
        <w:t>.  H</w:t>
      </w:r>
      <w:r>
        <w:rPr>
          <w:rFonts w:ascii="Book Antiqua" w:hAnsi="Book Antiqua" w:cs="Arial"/>
        </w:rPr>
        <w:t xml:space="preserve">e arrived in this country lawfully on 8 December 2002 as a visitor and </w:t>
      </w:r>
      <w:r w:rsidR="00B258DE">
        <w:rPr>
          <w:rFonts w:ascii="Book Antiqua" w:hAnsi="Book Antiqua" w:cs="Arial"/>
        </w:rPr>
        <w:t>prior</w:t>
      </w:r>
      <w:r>
        <w:rPr>
          <w:rFonts w:ascii="Book Antiqua" w:hAnsi="Book Antiqua" w:cs="Arial"/>
        </w:rPr>
        <w:t xml:space="preserve"> to the expiry of his leave he applied for indefinite leave to remain.  That application was refused but he was granted discretionary leave which eventually expired on 18 March 2013.  An application for further leave to remain was refused and his appeal rights were exhausted some time in April 2013, so the position is that by the time with which this Tribunal is now concerned this appellant had been in this country for </w:t>
      </w:r>
      <w:r w:rsidR="002670D0">
        <w:rPr>
          <w:rFonts w:ascii="Book Antiqua" w:hAnsi="Book Antiqua" w:cs="Arial"/>
        </w:rPr>
        <w:t xml:space="preserve">a little under half of his life.  </w:t>
      </w:r>
    </w:p>
    <w:p w:rsidR="00A245E4" w:rsidRDefault="00B258DE"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Regrettably</w:t>
      </w:r>
      <w:r w:rsidR="002670D0">
        <w:rPr>
          <w:rFonts w:ascii="Book Antiqua" w:hAnsi="Book Antiqua" w:cs="Arial"/>
        </w:rPr>
        <w:t xml:space="preserve"> from 2014 onwards the appellant has been engaged in persistent criminal offending.  He was first convicted in July 2014 for possessing cocaine and thereafter for mainly drugs convictions, but also for various driving offences and culminating in a conviction in September 2017 at Blackfriars Crown Court </w:t>
      </w:r>
      <w:r w:rsidR="00AE4CE0">
        <w:rPr>
          <w:rFonts w:ascii="Book Antiqua" w:hAnsi="Book Antiqua" w:cs="Arial"/>
        </w:rPr>
        <w:t>of</w:t>
      </w:r>
      <w:r w:rsidR="002670D0">
        <w:rPr>
          <w:rFonts w:ascii="Book Antiqua" w:hAnsi="Book Antiqua" w:cs="Arial"/>
        </w:rPr>
        <w:t xml:space="preserve"> possessing an offensive weapon in a public place and failing to surrender to custody at an appointed time</w:t>
      </w:r>
      <w:r w:rsidR="00AE4CE0">
        <w:rPr>
          <w:rFonts w:ascii="Book Antiqua" w:hAnsi="Book Antiqua" w:cs="Arial"/>
        </w:rPr>
        <w:t xml:space="preserve">.  He </w:t>
      </w:r>
      <w:r w:rsidR="002670D0">
        <w:rPr>
          <w:rFonts w:ascii="Book Antiqua" w:hAnsi="Book Antiqua" w:cs="Arial"/>
        </w:rPr>
        <w:t xml:space="preserve">was sentenced to twelve months’ imprisonment on the first count and seven days’ imprisonment with regard to </w:t>
      </w:r>
      <w:r>
        <w:rPr>
          <w:rFonts w:ascii="Book Antiqua" w:hAnsi="Book Antiqua" w:cs="Arial"/>
        </w:rPr>
        <w:t>failing</w:t>
      </w:r>
      <w:r w:rsidR="002670D0">
        <w:rPr>
          <w:rFonts w:ascii="Book Antiqua" w:hAnsi="Book Antiqua" w:cs="Arial"/>
        </w:rPr>
        <w:t xml:space="preserve"> to surrender to custody.  </w:t>
      </w:r>
      <w:r w:rsidR="00A245E4">
        <w:rPr>
          <w:rFonts w:ascii="Book Antiqua" w:hAnsi="Book Antiqua" w:cs="Arial"/>
        </w:rPr>
        <w:t>B</w:t>
      </w:r>
      <w:r w:rsidR="002670D0">
        <w:rPr>
          <w:rFonts w:ascii="Book Antiqua" w:hAnsi="Book Antiqua" w:cs="Arial"/>
        </w:rPr>
        <w:t>y 2 February 2017 the applicant had some</w:t>
      </w:r>
      <w:r w:rsidR="00AE4CE0">
        <w:rPr>
          <w:rFonts w:ascii="Book Antiqua" w:hAnsi="Book Antiqua" w:cs="Arial"/>
        </w:rPr>
        <w:t xml:space="preserve"> </w:t>
      </w:r>
      <w:r w:rsidR="00A245E4">
        <w:rPr>
          <w:rFonts w:ascii="Book Antiqua" w:hAnsi="Book Antiqua" w:cs="Arial"/>
        </w:rPr>
        <w:t>twelve</w:t>
      </w:r>
      <w:r w:rsidR="002670D0">
        <w:rPr>
          <w:rFonts w:ascii="Book Antiqua" w:hAnsi="Book Antiqua" w:cs="Arial"/>
        </w:rPr>
        <w:t xml:space="preserve"> convictions </w:t>
      </w:r>
      <w:r w:rsidR="00A245E4">
        <w:rPr>
          <w:rFonts w:ascii="Book Antiqua" w:hAnsi="Book Antiqua" w:cs="Arial"/>
        </w:rPr>
        <w:t xml:space="preserve">for 29 offences, mainly for drug offences, although there were also some driving offences and </w:t>
      </w:r>
      <w:proofErr w:type="gramStart"/>
      <w:r w:rsidR="00A245E4">
        <w:rPr>
          <w:rFonts w:ascii="Book Antiqua" w:hAnsi="Book Antiqua" w:cs="Arial"/>
        </w:rPr>
        <w:t>also</w:t>
      </w:r>
      <w:proofErr w:type="gramEnd"/>
      <w:r w:rsidR="00A245E4">
        <w:rPr>
          <w:rFonts w:ascii="Book Antiqua" w:hAnsi="Book Antiqua" w:cs="Arial"/>
        </w:rPr>
        <w:t xml:space="preserve"> he failed to </w:t>
      </w:r>
      <w:r>
        <w:rPr>
          <w:rFonts w:ascii="Book Antiqua" w:hAnsi="Book Antiqua" w:cs="Arial"/>
        </w:rPr>
        <w:t>attend</w:t>
      </w:r>
      <w:r w:rsidR="00A245E4">
        <w:rPr>
          <w:rFonts w:ascii="Book Antiqua" w:hAnsi="Book Antiqua" w:cs="Arial"/>
        </w:rPr>
        <w:t xml:space="preserve"> on some occasions and had not complied with community orders.  </w:t>
      </w:r>
      <w:r w:rsidR="00B4538A">
        <w:rPr>
          <w:rFonts w:ascii="Book Antiqua" w:hAnsi="Book Antiqua" w:cs="Arial"/>
        </w:rPr>
        <w:t xml:space="preserve">As a result of these convictions the respondent wrote to the appellant on 10 February 2017 notifying him that because of these convictions the respondent had decided to make a deportation order against him under Section 5(1) of the Immigration Act 1971 on the </w:t>
      </w:r>
      <w:r>
        <w:rPr>
          <w:rFonts w:ascii="Book Antiqua" w:hAnsi="Book Antiqua" w:cs="Arial"/>
        </w:rPr>
        <w:t>basis</w:t>
      </w:r>
      <w:r w:rsidR="00B4538A">
        <w:rPr>
          <w:rFonts w:ascii="Book Antiqua" w:hAnsi="Book Antiqua" w:cs="Arial"/>
        </w:rPr>
        <w:t xml:space="preserve"> that the respondent deemed his deportation to be conducive to the public good.  This Tribunal is in no doubt at all that as at that date this appellant was clearly a “persistent offender” for the purpose of the Immigration Rules and also as defined in Section 117D of the Nationality, Immigration and Asylum Act 2002.  </w:t>
      </w:r>
    </w:p>
    <w:p w:rsidR="00B4538A" w:rsidRDefault="00B4538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Following on from this letter, on 29 January 2018 the respondent made a deportation decision in respect of the appellant.  By this </w:t>
      </w:r>
      <w:proofErr w:type="gramStart"/>
      <w:r>
        <w:rPr>
          <w:rFonts w:ascii="Book Antiqua" w:hAnsi="Book Antiqua" w:cs="Arial"/>
        </w:rPr>
        <w:t>time</w:t>
      </w:r>
      <w:proofErr w:type="gramEnd"/>
      <w:r>
        <w:rPr>
          <w:rFonts w:ascii="Book Antiqua" w:hAnsi="Book Antiqua" w:cs="Arial"/>
        </w:rPr>
        <w:t xml:space="preserve"> he had acquired more convictions but in </w:t>
      </w:r>
      <w:r w:rsidR="00B258DE">
        <w:rPr>
          <w:rFonts w:ascii="Book Antiqua" w:hAnsi="Book Antiqua" w:cs="Arial"/>
        </w:rPr>
        <w:t>particular</w:t>
      </w:r>
      <w:r>
        <w:rPr>
          <w:rFonts w:ascii="Book Antiqua" w:hAnsi="Book Antiqua" w:cs="Arial"/>
        </w:rPr>
        <w:t xml:space="preserve"> on 6 September 2017 he was convicted at Blackfriars Crown Court of possessing an offensive weapon in a public place, together with the offence of failing to surrender to custody at the appointed time for which he was sentenced to twelve months’ imprisonment on the first count plus another seven days imprisonment on the failure to surrender.  That conviction would on its own mean that he is a foreign criminal for the purposes of both Section 117D and also under the Immigration Rules.  </w:t>
      </w:r>
    </w:p>
    <w:p w:rsidR="00B4538A" w:rsidRDefault="00B4538A" w:rsidP="00EA79AF">
      <w:pPr>
        <w:numPr>
          <w:ilvl w:val="0"/>
          <w:numId w:val="1"/>
        </w:numPr>
        <w:tabs>
          <w:tab w:val="clear" w:pos="567"/>
        </w:tabs>
        <w:spacing w:before="240"/>
        <w:jc w:val="both"/>
        <w:rPr>
          <w:rFonts w:ascii="Book Antiqua" w:hAnsi="Book Antiqua" w:cs="Arial"/>
        </w:rPr>
      </w:pPr>
      <w:r>
        <w:rPr>
          <w:rFonts w:ascii="Book Antiqua" w:hAnsi="Book Antiqua" w:cs="Arial"/>
        </w:rPr>
        <w:t>As at the date of decision the appellant was over 21 years of age but had been lawfully in this country only for just under half that period.  This was a factor which was referred to in the respondent’s decision because when considering whether or not the private life exception to deportation set out within paragraph 399A of the Rules applied, which the respondent doubt</w:t>
      </w:r>
      <w:r w:rsidR="002A5747">
        <w:rPr>
          <w:rFonts w:ascii="Book Antiqua" w:hAnsi="Book Antiqua" w:cs="Arial"/>
        </w:rPr>
        <w:t>ed</w:t>
      </w:r>
      <w:r>
        <w:rPr>
          <w:rFonts w:ascii="Book Antiqua" w:hAnsi="Book Antiqua" w:cs="Arial"/>
        </w:rPr>
        <w:t xml:space="preserve">, “It is not accepted that you have been lawfully resident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for most of your life”.  The periods in which the appellant had been lawfully present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are then set out </w:t>
      </w:r>
      <w:r w:rsidR="00FE5CD8">
        <w:rPr>
          <w:rFonts w:ascii="Book Antiqua" w:hAnsi="Book Antiqua" w:cs="Arial"/>
        </w:rPr>
        <w:t>and w</w:t>
      </w:r>
      <w:r>
        <w:rPr>
          <w:rFonts w:ascii="Book Antiqua" w:hAnsi="Book Antiqua" w:cs="Arial"/>
        </w:rPr>
        <w:t>hen they are added up they equate to just under half the life “not most of your life”.  As is noted within the decision letter</w:t>
      </w:r>
      <w:r w:rsidR="002A5747">
        <w:rPr>
          <w:rFonts w:ascii="Book Antiqua" w:hAnsi="Book Antiqua" w:cs="Arial"/>
        </w:rPr>
        <w:t>,</w:t>
      </w:r>
      <w:r>
        <w:rPr>
          <w:rFonts w:ascii="Book Antiqua" w:hAnsi="Book Antiqua" w:cs="Arial"/>
        </w:rPr>
        <w:t xml:space="preserve"> for </w:t>
      </w:r>
      <w:r w:rsidR="002A5747">
        <w:rPr>
          <w:rFonts w:ascii="Book Antiqua" w:hAnsi="Book Antiqua" w:cs="Arial"/>
        </w:rPr>
        <w:t xml:space="preserve">the </w:t>
      </w:r>
      <w:r>
        <w:rPr>
          <w:rFonts w:ascii="Book Antiqua" w:hAnsi="Book Antiqua" w:cs="Arial"/>
        </w:rPr>
        <w:t xml:space="preserve">paragraph </w:t>
      </w:r>
      <w:r w:rsidR="00A2448D">
        <w:rPr>
          <w:rFonts w:ascii="Book Antiqua" w:hAnsi="Book Antiqua" w:cs="Arial"/>
        </w:rPr>
        <w:t>399</w:t>
      </w:r>
      <w:proofErr w:type="gramStart"/>
      <w:r w:rsidR="00A2448D">
        <w:rPr>
          <w:rFonts w:ascii="Book Antiqua" w:hAnsi="Book Antiqua" w:cs="Arial"/>
        </w:rPr>
        <w:t>A(</w:t>
      </w:r>
      <w:proofErr w:type="gramEnd"/>
      <w:r w:rsidR="00A2448D">
        <w:rPr>
          <w:rFonts w:ascii="Book Antiqua" w:hAnsi="Book Antiqua" w:cs="Arial"/>
        </w:rPr>
        <w:t>2) exception to apply, all three limbs of the exception must be met and these are that:-</w:t>
      </w:r>
    </w:p>
    <w:p w:rsidR="00A2448D" w:rsidRDefault="00A2448D" w:rsidP="00E62953">
      <w:pPr>
        <w:numPr>
          <w:ilvl w:val="1"/>
          <w:numId w:val="1"/>
        </w:numPr>
        <w:spacing w:before="120"/>
        <w:jc w:val="both"/>
        <w:rPr>
          <w:rFonts w:ascii="Book Antiqua" w:hAnsi="Book Antiqua" w:cs="Arial"/>
        </w:rPr>
      </w:pPr>
      <w:r>
        <w:rPr>
          <w:rFonts w:ascii="Book Antiqua" w:hAnsi="Book Antiqua" w:cs="Arial"/>
        </w:rPr>
        <w:t xml:space="preserve">the foreign criminal has been lawfully resident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for most of his life,</w:t>
      </w:r>
    </w:p>
    <w:p w:rsidR="00A2448D" w:rsidRDefault="00A2448D" w:rsidP="00E62953">
      <w:pPr>
        <w:numPr>
          <w:ilvl w:val="1"/>
          <w:numId w:val="1"/>
        </w:numPr>
        <w:spacing w:before="120"/>
        <w:jc w:val="both"/>
        <w:rPr>
          <w:rFonts w:ascii="Book Antiqua" w:hAnsi="Book Antiqua" w:cs="Arial"/>
        </w:rPr>
      </w:pPr>
      <w:r>
        <w:rPr>
          <w:rFonts w:ascii="Book Antiqua" w:hAnsi="Book Antiqua" w:cs="Arial"/>
        </w:rPr>
        <w:t xml:space="preserve">he is socially and culturally integrated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and </w:t>
      </w:r>
    </w:p>
    <w:p w:rsidR="00A2448D" w:rsidRDefault="00A2448D" w:rsidP="00E62953">
      <w:pPr>
        <w:numPr>
          <w:ilvl w:val="1"/>
          <w:numId w:val="1"/>
        </w:numPr>
        <w:spacing w:before="120"/>
        <w:jc w:val="both"/>
        <w:rPr>
          <w:rFonts w:ascii="Book Antiqua" w:hAnsi="Book Antiqua" w:cs="Arial"/>
        </w:rPr>
      </w:pPr>
      <w:r>
        <w:rPr>
          <w:rFonts w:ascii="Book Antiqua" w:hAnsi="Book Antiqua" w:cs="Arial"/>
        </w:rPr>
        <w:t>there would be very significant obstacles in his integration into a country to which he is proposed to be deported.</w:t>
      </w:r>
    </w:p>
    <w:p w:rsidR="00A2448D" w:rsidRDefault="00A2448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the event that this exception is not made out (and the other exception which is related to a </w:t>
      </w:r>
      <w:r w:rsidR="00B258DE">
        <w:rPr>
          <w:rFonts w:ascii="Book Antiqua" w:hAnsi="Book Antiqua" w:cs="Arial"/>
        </w:rPr>
        <w:t>child</w:t>
      </w:r>
      <w:r>
        <w:rPr>
          <w:rFonts w:ascii="Book Antiqua" w:hAnsi="Book Antiqua" w:cs="Arial"/>
        </w:rPr>
        <w:t xml:space="preserve"> or a partner does not </w:t>
      </w:r>
      <w:r w:rsidR="00B258DE">
        <w:rPr>
          <w:rFonts w:ascii="Book Antiqua" w:hAnsi="Book Antiqua" w:cs="Arial"/>
        </w:rPr>
        <w:t>apply</w:t>
      </w:r>
      <w:r>
        <w:rPr>
          <w:rFonts w:ascii="Book Antiqua" w:hAnsi="Book Antiqua" w:cs="Arial"/>
        </w:rPr>
        <w:t xml:space="preserve"> in this case) the only basis upon which a deportation could be said not to be proportionate under both the Immigration Rules and the new Part </w:t>
      </w:r>
      <w:r w:rsidR="002A5747">
        <w:rPr>
          <w:rFonts w:ascii="Book Antiqua" w:hAnsi="Book Antiqua" w:cs="Arial"/>
        </w:rPr>
        <w:t>V</w:t>
      </w:r>
      <w:r>
        <w:rPr>
          <w:rFonts w:ascii="Book Antiqua" w:hAnsi="Book Antiqua" w:cs="Arial"/>
        </w:rPr>
        <w:t xml:space="preserve">A of the 2002 Act is that </w:t>
      </w:r>
      <w:r w:rsidR="00782928">
        <w:rPr>
          <w:rFonts w:ascii="Book Antiqua" w:hAnsi="Book Antiqua" w:cs="Arial"/>
        </w:rPr>
        <w:t xml:space="preserve">there are very compelling circumstances </w:t>
      </w:r>
      <w:r w:rsidR="00782928">
        <w:rPr>
          <w:rFonts w:ascii="Book Antiqua" w:hAnsi="Book Antiqua" w:cs="Arial"/>
        </w:rPr>
        <w:lastRenderedPageBreak/>
        <w:t>over and above those described in the exceptions (see Section 117</w:t>
      </w:r>
      <w:proofErr w:type="gramStart"/>
      <w:r w:rsidR="00782928">
        <w:rPr>
          <w:rFonts w:ascii="Book Antiqua" w:hAnsi="Book Antiqua" w:cs="Arial"/>
        </w:rPr>
        <w:t>C(</w:t>
      </w:r>
      <w:proofErr w:type="gramEnd"/>
      <w:r w:rsidR="00782928">
        <w:rPr>
          <w:rFonts w:ascii="Book Antiqua" w:hAnsi="Book Antiqua" w:cs="Arial"/>
        </w:rPr>
        <w:t xml:space="preserve">6) of the 2002 Act) and also paragraph 398 of the Immigration Rules.  </w:t>
      </w:r>
    </w:p>
    <w:p w:rsidR="00782928" w:rsidRDefault="00B258D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appealed against the decision and his appeal was heard before First-tier Tribunal Judge N M K Lawrence who, following a hearing at Harmondsworth on 1 March 2018, in a Decision and Reasons promulgated on 7 March 2018 dismissed the appellant’s appeal.  </w:t>
      </w:r>
    </w:p>
    <w:p w:rsidR="00F72841" w:rsidRDefault="00F7284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had represented himself and also settled grounds of appeal himself which do not in themselves make out any error of law in the judge’s </w:t>
      </w:r>
      <w:proofErr w:type="gramStart"/>
      <w:r>
        <w:rPr>
          <w:rFonts w:ascii="Book Antiqua" w:hAnsi="Book Antiqua" w:cs="Arial"/>
        </w:rPr>
        <w:t>decision</w:t>
      </w:r>
      <w:r w:rsidR="002A5747">
        <w:rPr>
          <w:rFonts w:ascii="Book Antiqua" w:hAnsi="Book Antiqua" w:cs="Arial"/>
        </w:rPr>
        <w:t xml:space="preserve">; </w:t>
      </w:r>
      <w:r>
        <w:rPr>
          <w:rFonts w:ascii="Book Antiqua" w:hAnsi="Book Antiqua" w:cs="Arial"/>
        </w:rPr>
        <w:t xml:space="preserve">  </w:t>
      </w:r>
      <w:proofErr w:type="gramEnd"/>
      <w:r>
        <w:rPr>
          <w:rFonts w:ascii="Book Antiqua" w:hAnsi="Book Antiqua" w:cs="Arial"/>
        </w:rPr>
        <w:t>they essentially set out</w:t>
      </w:r>
      <w:r w:rsidR="00FE5CD8">
        <w:rPr>
          <w:rFonts w:ascii="Book Antiqua" w:hAnsi="Book Antiqua" w:cs="Arial"/>
        </w:rPr>
        <w:t xml:space="preserve"> </w:t>
      </w:r>
      <w:r w:rsidR="002A5747">
        <w:rPr>
          <w:rFonts w:ascii="Book Antiqua" w:hAnsi="Book Antiqua" w:cs="Arial"/>
        </w:rPr>
        <w:t>submission</w:t>
      </w:r>
      <w:r>
        <w:rPr>
          <w:rFonts w:ascii="Book Antiqua" w:hAnsi="Book Antiqua" w:cs="Arial"/>
        </w:rPr>
        <w:t>s as to why he should not be deported and ma</w:t>
      </w:r>
      <w:r w:rsidR="00FE5CD8">
        <w:rPr>
          <w:rFonts w:ascii="Book Antiqua" w:hAnsi="Book Antiqua" w:cs="Arial"/>
        </w:rPr>
        <w:t>k</w:t>
      </w:r>
      <w:r>
        <w:rPr>
          <w:rFonts w:ascii="Book Antiqua" w:hAnsi="Book Antiqua" w:cs="Arial"/>
        </w:rPr>
        <w:t xml:space="preserve">e assertions including </w:t>
      </w:r>
      <w:r w:rsidR="00B258DE">
        <w:rPr>
          <w:rFonts w:ascii="Book Antiqua" w:hAnsi="Book Antiqua" w:cs="Arial"/>
        </w:rPr>
        <w:t>that</w:t>
      </w:r>
      <w:r>
        <w:rPr>
          <w:rFonts w:ascii="Book Antiqua" w:hAnsi="Book Antiqua" w:cs="Arial"/>
        </w:rPr>
        <w:t xml:space="preserve"> his mother was in </w:t>
      </w:r>
      <w:smartTag w:uri="urn:schemas-microsoft-com:office:smarttags" w:element="country-region">
        <w:smartTag w:uri="urn:schemas-microsoft-com:office:smarttags" w:element="place">
          <w:r>
            <w:rPr>
              <w:rFonts w:ascii="Book Antiqua" w:hAnsi="Book Antiqua" w:cs="Arial"/>
            </w:rPr>
            <w:t>America</w:t>
          </w:r>
        </w:smartTag>
      </w:smartTag>
      <w:r>
        <w:rPr>
          <w:rFonts w:ascii="Book Antiqua" w:hAnsi="Book Antiqua" w:cs="Arial"/>
        </w:rPr>
        <w:t xml:space="preserve"> which had been rejected by the judge.  However, permission was granted by Designated Immigration Judge Shaerf on 26 March 2018 and it is the reasons given by Judge Shaerf for granting permission which in the judgment of this Tribunal (and also Mr Wilding, representing the respondent at the hearing today) need to be considered.  </w:t>
      </w:r>
    </w:p>
    <w:p w:rsidR="00F72841" w:rsidRDefault="00F7284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At the hearing before this Tribunal the appellant was not only represented, but </w:t>
      </w:r>
      <w:r w:rsidR="00B258DE">
        <w:rPr>
          <w:rFonts w:ascii="Book Antiqua" w:hAnsi="Book Antiqua" w:cs="Arial"/>
        </w:rPr>
        <w:t>chose</w:t>
      </w:r>
      <w:r>
        <w:rPr>
          <w:rFonts w:ascii="Book Antiqua" w:hAnsi="Book Antiqua" w:cs="Arial"/>
        </w:rPr>
        <w:t xml:space="preserve"> not to </w:t>
      </w:r>
      <w:r w:rsidR="00B258DE">
        <w:rPr>
          <w:rFonts w:ascii="Book Antiqua" w:hAnsi="Book Antiqua" w:cs="Arial"/>
        </w:rPr>
        <w:t>attend</w:t>
      </w:r>
      <w:r>
        <w:rPr>
          <w:rFonts w:ascii="Book Antiqua" w:hAnsi="Book Antiqua" w:cs="Arial"/>
        </w:rPr>
        <w:t xml:space="preserve">, even though notice of </w:t>
      </w:r>
      <w:r w:rsidR="00FE5CD8">
        <w:rPr>
          <w:rFonts w:ascii="Book Antiqua" w:hAnsi="Book Antiqua" w:cs="Arial"/>
        </w:rPr>
        <w:t xml:space="preserve">the </w:t>
      </w:r>
      <w:r>
        <w:rPr>
          <w:rFonts w:ascii="Book Antiqua" w:hAnsi="Book Antiqua" w:cs="Arial"/>
        </w:rPr>
        <w:t xml:space="preserve">hearing had been given to him.  Nonetheless, </w:t>
      </w:r>
      <w:r w:rsidR="00FE5CD8">
        <w:rPr>
          <w:rFonts w:ascii="Book Antiqua" w:hAnsi="Book Antiqua" w:cs="Arial"/>
        </w:rPr>
        <w:t>I have given</w:t>
      </w:r>
      <w:r w:rsidR="002A5747">
        <w:rPr>
          <w:rFonts w:ascii="Book Antiqua" w:hAnsi="Book Antiqua" w:cs="Arial"/>
        </w:rPr>
        <w:t xml:space="preserve"> careful</w:t>
      </w:r>
      <w:r w:rsidR="00FE5CD8">
        <w:rPr>
          <w:rFonts w:ascii="Book Antiqua" w:hAnsi="Book Antiqua" w:cs="Arial"/>
        </w:rPr>
        <w:t xml:space="preserve"> </w:t>
      </w:r>
      <w:r>
        <w:rPr>
          <w:rFonts w:ascii="Book Antiqua" w:hAnsi="Book Antiqua" w:cs="Arial"/>
        </w:rPr>
        <w:t xml:space="preserve">scrutiny to all the papers </w:t>
      </w:r>
      <w:r w:rsidR="00B258DE">
        <w:rPr>
          <w:rFonts w:ascii="Book Antiqua" w:hAnsi="Book Antiqua" w:cs="Arial"/>
        </w:rPr>
        <w:t>contained</w:t>
      </w:r>
      <w:r>
        <w:rPr>
          <w:rFonts w:ascii="Book Antiqua" w:hAnsi="Book Antiqua" w:cs="Arial"/>
        </w:rPr>
        <w:t xml:space="preserve"> in the </w:t>
      </w:r>
      <w:proofErr w:type="gramStart"/>
      <w:r>
        <w:rPr>
          <w:rFonts w:ascii="Book Antiqua" w:hAnsi="Book Antiqua" w:cs="Arial"/>
        </w:rPr>
        <w:t>file, and</w:t>
      </w:r>
      <w:proofErr w:type="gramEnd"/>
      <w:r>
        <w:rPr>
          <w:rFonts w:ascii="Book Antiqua" w:hAnsi="Book Antiqua" w:cs="Arial"/>
        </w:rPr>
        <w:t xml:space="preserve"> have considered also the representations made by Mr Wilding on behalf of the respondent.  Although I will not set out below </w:t>
      </w:r>
      <w:r w:rsidR="00B258DE">
        <w:rPr>
          <w:rFonts w:ascii="Book Antiqua" w:hAnsi="Book Antiqua" w:cs="Arial"/>
        </w:rPr>
        <w:t>everything</w:t>
      </w:r>
      <w:r w:rsidR="00BF1734">
        <w:rPr>
          <w:rFonts w:ascii="Book Antiqua" w:hAnsi="Book Antiqua" w:cs="Arial"/>
        </w:rPr>
        <w:t xml:space="preserve"> which</w:t>
      </w:r>
      <w:r>
        <w:rPr>
          <w:rFonts w:ascii="Book Antiqua" w:hAnsi="Book Antiqua" w:cs="Arial"/>
        </w:rPr>
        <w:t xml:space="preserve"> was said, I have had regard to all this </w:t>
      </w:r>
      <w:r w:rsidR="00B258DE">
        <w:rPr>
          <w:rFonts w:ascii="Book Antiqua" w:hAnsi="Book Antiqua" w:cs="Arial"/>
        </w:rPr>
        <w:t>material</w:t>
      </w:r>
      <w:r>
        <w:rPr>
          <w:rFonts w:ascii="Book Antiqua" w:hAnsi="Book Antiqua" w:cs="Arial"/>
        </w:rPr>
        <w:t xml:space="preserve"> and the submissions, whether or not the same is specifically referred to below.  </w:t>
      </w:r>
    </w:p>
    <w:p w:rsidR="00F72841" w:rsidRPr="00EE3EE9" w:rsidRDefault="0005265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Judge </w:t>
      </w:r>
      <w:proofErr w:type="spellStart"/>
      <w:r>
        <w:rPr>
          <w:rFonts w:ascii="Book Antiqua" w:hAnsi="Book Antiqua" w:cs="Arial"/>
        </w:rPr>
        <w:t>Shaerf’s</w:t>
      </w:r>
      <w:proofErr w:type="spellEnd"/>
      <w:r>
        <w:rPr>
          <w:rFonts w:ascii="Book Antiqua" w:hAnsi="Book Antiqua" w:cs="Arial"/>
        </w:rPr>
        <w:t xml:space="preserve"> </w:t>
      </w:r>
      <w:r w:rsidR="00681B1C">
        <w:rPr>
          <w:rFonts w:ascii="Book Antiqua" w:hAnsi="Book Antiqua" w:cs="Arial"/>
        </w:rPr>
        <w:t xml:space="preserve">main reason for granting permission is that the judge had not “expressly” addressed “the extent or otherwise of the appellant’s private and family life in the United Kingdom” and in </w:t>
      </w:r>
      <w:r w:rsidR="00B258DE">
        <w:rPr>
          <w:rFonts w:ascii="Book Antiqua" w:hAnsi="Book Antiqua" w:cs="Arial"/>
        </w:rPr>
        <w:t>particular</w:t>
      </w:r>
      <w:r w:rsidR="00681B1C">
        <w:rPr>
          <w:rFonts w:ascii="Book Antiqua" w:hAnsi="Book Antiqua" w:cs="Arial"/>
        </w:rPr>
        <w:t xml:space="preserve"> that he did not “adopt the recommended five step </w:t>
      </w:r>
      <w:r w:rsidR="00681B1C" w:rsidRPr="00681B1C">
        <w:rPr>
          <w:rFonts w:ascii="Book Antiqua" w:hAnsi="Book Antiqua" w:cs="Arial"/>
        </w:rPr>
        <w:t xml:space="preserve">structured approach to Article 8 claims” (as set out in </w:t>
      </w:r>
      <w:r w:rsidR="00681B1C" w:rsidRPr="00681B1C">
        <w:rPr>
          <w:rFonts w:ascii="Book Antiqua" w:hAnsi="Book Antiqua" w:cs="Arial"/>
          <w:i/>
        </w:rPr>
        <w:t>Razgar</w:t>
      </w:r>
      <w:r w:rsidR="00681B1C" w:rsidRPr="00681B1C">
        <w:rPr>
          <w:rFonts w:ascii="Book Antiqua" w:hAnsi="Book Antiqua" w:cs="Arial"/>
        </w:rPr>
        <w:t>) and also had not conducted “the relevant balanc</w:t>
      </w:r>
      <w:r w:rsidR="002A5747">
        <w:rPr>
          <w:rFonts w:ascii="Book Antiqua" w:hAnsi="Book Antiqua" w:cs="Arial"/>
        </w:rPr>
        <w:t>ing</w:t>
      </w:r>
      <w:r w:rsidR="00681B1C" w:rsidRPr="00681B1C">
        <w:rPr>
          <w:rFonts w:ascii="Book Antiqua" w:hAnsi="Book Antiqua" w:cs="Arial"/>
        </w:rPr>
        <w:t xml:space="preserve"> exercise recommended by the Supreme Court in </w:t>
      </w:r>
      <w:r w:rsidR="006D7A19">
        <w:rPr>
          <w:rFonts w:ascii="Book Antiqua" w:hAnsi="Book Antiqua" w:cs="Arial"/>
        </w:rPr>
        <w:t>its judgment</w:t>
      </w:r>
      <w:r w:rsidR="002A5747">
        <w:rPr>
          <w:rFonts w:ascii="Book Antiqua" w:hAnsi="Book Antiqua" w:cs="Arial"/>
        </w:rPr>
        <w:t xml:space="preserve"> in</w:t>
      </w:r>
      <w:r w:rsidR="006D7A19">
        <w:rPr>
          <w:rFonts w:ascii="Book Antiqua" w:hAnsi="Book Antiqua" w:cs="Arial"/>
        </w:rPr>
        <w:t xml:space="preserve"> </w:t>
      </w:r>
      <w:r w:rsidR="00681B1C" w:rsidRPr="00681B1C">
        <w:rPr>
          <w:rFonts w:ascii="Book Antiqua" w:hAnsi="Book Antiqua" w:cs="Arial"/>
          <w:i/>
        </w:rPr>
        <w:t>Hesham Ali</w:t>
      </w:r>
      <w:r w:rsidR="00681B1C" w:rsidRPr="00681B1C">
        <w:rPr>
          <w:rFonts w:ascii="Book Antiqua" w:hAnsi="Book Antiqua"/>
        </w:rPr>
        <w:t xml:space="preserve"> [2016] UKSC 59”.  </w:t>
      </w:r>
      <w:r w:rsidR="00B258DE" w:rsidRPr="00681B1C">
        <w:rPr>
          <w:rFonts w:ascii="Book Antiqua" w:hAnsi="Book Antiqua"/>
        </w:rPr>
        <w:t xml:space="preserve">Judge Shaerf considered that </w:t>
      </w:r>
      <w:r w:rsidR="00B258DE">
        <w:rPr>
          <w:rFonts w:ascii="Book Antiqua" w:hAnsi="Book Antiqua"/>
        </w:rPr>
        <w:t xml:space="preserve">“this was particularly important in this appeal which is effectively an appeal against deportation on conducive grounds”.  </w:t>
      </w:r>
    </w:p>
    <w:p w:rsidR="00681B1C" w:rsidRDefault="00681B1C" w:rsidP="00681B1C">
      <w:pPr>
        <w:spacing w:before="240"/>
        <w:jc w:val="both"/>
        <w:rPr>
          <w:rFonts w:ascii="Book Antiqua" w:hAnsi="Book Antiqua"/>
          <w:b/>
          <w:u w:val="single"/>
        </w:rPr>
      </w:pPr>
      <w:r w:rsidRPr="00681B1C">
        <w:rPr>
          <w:rFonts w:ascii="Book Antiqua" w:hAnsi="Book Antiqua"/>
          <w:b/>
          <w:u w:val="single"/>
        </w:rPr>
        <w:t>Discussion</w:t>
      </w:r>
    </w:p>
    <w:p w:rsidR="00681B1C" w:rsidRDefault="00A54AF8"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have </w:t>
      </w:r>
      <w:r w:rsidR="00B258DE">
        <w:rPr>
          <w:rFonts w:ascii="Book Antiqua" w:hAnsi="Book Antiqua" w:cs="Arial"/>
        </w:rPr>
        <w:t>considered</w:t>
      </w:r>
      <w:r>
        <w:rPr>
          <w:rFonts w:ascii="Book Antiqua" w:hAnsi="Book Antiqua" w:cs="Arial"/>
        </w:rPr>
        <w:t xml:space="preserve"> very carefully the possible criticism of Judge Lawrence’s decision as set out in the grant of permission, but I am not persuaded that this gives rise to any arguable error of law in Judge Lawrence’s decision.  In the first place the requirements set out both in paragraph 399A of the Rules but also in Section 117</w:t>
      </w:r>
      <w:proofErr w:type="gramStart"/>
      <w:r>
        <w:rPr>
          <w:rFonts w:ascii="Book Antiqua" w:hAnsi="Book Antiqua" w:cs="Arial"/>
        </w:rPr>
        <w:t>C(</w:t>
      </w:r>
      <w:proofErr w:type="gramEnd"/>
      <w:r>
        <w:rPr>
          <w:rFonts w:ascii="Book Antiqua" w:hAnsi="Book Antiqua" w:cs="Arial"/>
        </w:rPr>
        <w:t>4) (</w:t>
      </w:r>
      <w:r w:rsidR="00B258DE">
        <w:rPr>
          <w:rFonts w:ascii="Book Antiqua" w:hAnsi="Book Antiqua" w:cs="Arial"/>
        </w:rPr>
        <w:t>exception</w:t>
      </w:r>
      <w:r w:rsidR="002A5747">
        <w:rPr>
          <w:rFonts w:ascii="Book Antiqua" w:hAnsi="Book Antiqua" w:cs="Arial"/>
        </w:rPr>
        <w:t xml:space="preserve"> 1) do</w:t>
      </w:r>
      <w:r>
        <w:rPr>
          <w:rFonts w:ascii="Book Antiqua" w:hAnsi="Book Antiqua" w:cs="Arial"/>
        </w:rPr>
        <w:t xml:space="preserve"> not </w:t>
      </w:r>
      <w:r w:rsidR="00B258DE">
        <w:rPr>
          <w:rFonts w:ascii="Book Antiqua" w:hAnsi="Book Antiqua" w:cs="Arial"/>
        </w:rPr>
        <w:t>apply</w:t>
      </w:r>
      <w:r>
        <w:rPr>
          <w:rFonts w:ascii="Book Antiqua" w:hAnsi="Book Antiqua" w:cs="Arial"/>
        </w:rPr>
        <w:t xml:space="preserve"> because the appellant has not been lawfully resident  in this country for most of his life and had not been at the date of decision.  For this reason, as a matter of law, he would need to </w:t>
      </w:r>
      <w:r w:rsidR="00DD3443">
        <w:rPr>
          <w:rFonts w:ascii="Book Antiqua" w:hAnsi="Book Antiqua" w:cs="Arial"/>
        </w:rPr>
        <w:t>establish</w:t>
      </w:r>
      <w:r>
        <w:rPr>
          <w:rFonts w:ascii="Book Antiqua" w:hAnsi="Book Antiqua" w:cs="Arial"/>
        </w:rPr>
        <w:t xml:space="preserve"> there were very compelling reasons over and above those set out within </w:t>
      </w:r>
      <w:r w:rsidR="00B258DE">
        <w:rPr>
          <w:rFonts w:ascii="Book Antiqua" w:hAnsi="Book Antiqua" w:cs="Arial"/>
        </w:rPr>
        <w:t>exception</w:t>
      </w:r>
      <w:r>
        <w:rPr>
          <w:rFonts w:ascii="Book Antiqua" w:hAnsi="Book Antiqua" w:cs="Arial"/>
        </w:rPr>
        <w:t xml:space="preserve"> 1 before it could be said that deportation was not proportionate.  Moreover, even if he had been lawfully resident in the </w:t>
      </w:r>
      <w:smartTag w:uri="urn:schemas-microsoft-com:office:smarttags" w:element="country-region">
        <w:r>
          <w:rPr>
            <w:rFonts w:ascii="Book Antiqua" w:hAnsi="Book Antiqua" w:cs="Arial"/>
          </w:rPr>
          <w:t>United Kingdom</w:t>
        </w:r>
      </w:smartTag>
      <w:r>
        <w:rPr>
          <w:rFonts w:ascii="Book Antiqua" w:hAnsi="Book Antiqua" w:cs="Arial"/>
        </w:rPr>
        <w:t xml:space="preserve"> for most of his life, the judge had nonetheless given sust</w:t>
      </w:r>
      <w:r w:rsidR="002A5747">
        <w:rPr>
          <w:rFonts w:ascii="Book Antiqua" w:hAnsi="Book Antiqua" w:cs="Arial"/>
        </w:rPr>
        <w:t>ainable reasons for his finding</w:t>
      </w:r>
      <w:r>
        <w:rPr>
          <w:rFonts w:ascii="Book Antiqua" w:hAnsi="Book Antiqua" w:cs="Arial"/>
        </w:rPr>
        <w:t xml:space="preserve"> that there would not be very significant obstacles to his </w:t>
      </w:r>
      <w:r w:rsidR="00B258DE">
        <w:rPr>
          <w:rFonts w:ascii="Book Antiqua" w:hAnsi="Book Antiqua" w:cs="Arial"/>
        </w:rPr>
        <w:t>integration</w:t>
      </w:r>
      <w:r>
        <w:rPr>
          <w:rFonts w:ascii="Book Antiqua" w:hAnsi="Book Antiqua" w:cs="Arial"/>
        </w:rPr>
        <w:t xml:space="preserve"> into </w:t>
      </w:r>
      <w:smartTag w:uri="urn:schemas-microsoft-com:office:smarttags" w:element="country-region">
        <w:smartTag w:uri="urn:schemas-microsoft-com:office:smarttags" w:element="place">
          <w:r>
            <w:rPr>
              <w:rFonts w:ascii="Book Antiqua" w:hAnsi="Book Antiqua" w:cs="Arial"/>
            </w:rPr>
            <w:t>Jamaica</w:t>
          </w:r>
        </w:smartTag>
      </w:smartTag>
      <w:r w:rsidR="006B1262">
        <w:rPr>
          <w:rFonts w:ascii="Book Antiqua" w:hAnsi="Book Antiqua" w:cs="Arial"/>
        </w:rPr>
        <w:t xml:space="preserve"> on return.  It is notable</w:t>
      </w:r>
      <w:r>
        <w:rPr>
          <w:rFonts w:ascii="Book Antiqua" w:hAnsi="Book Antiqua" w:cs="Arial"/>
        </w:rPr>
        <w:t xml:space="preserve"> that Judge Shaerf when giving his reasons had considered that the judge had given “sustainable reasons for making an extensive </w:t>
      </w:r>
      <w:r>
        <w:rPr>
          <w:rFonts w:ascii="Book Antiqua" w:hAnsi="Book Antiqua" w:cs="Arial"/>
        </w:rPr>
        <w:lastRenderedPageBreak/>
        <w:t xml:space="preserve">adverse credibility finding against the appellant” and that he had also “addressed the issue of any potential claim based on </w:t>
      </w:r>
      <w:r w:rsidR="00B258DE">
        <w:rPr>
          <w:rFonts w:ascii="Book Antiqua" w:hAnsi="Book Antiqua" w:cs="Arial"/>
        </w:rPr>
        <w:t>destitution</w:t>
      </w:r>
      <w:r>
        <w:rPr>
          <w:rFonts w:ascii="Book Antiqua" w:hAnsi="Book Antiqua" w:cs="Arial"/>
        </w:rPr>
        <w:t xml:space="preserve"> on return to </w:t>
      </w:r>
      <w:smartTag w:uri="urn:schemas-microsoft-com:office:smarttags" w:element="country-region">
        <w:smartTag w:uri="urn:schemas-microsoft-com:office:smarttags" w:element="place">
          <w:r>
            <w:rPr>
              <w:rFonts w:ascii="Book Antiqua" w:hAnsi="Book Antiqua" w:cs="Arial"/>
            </w:rPr>
            <w:t>Jamaica</w:t>
          </w:r>
        </w:smartTag>
      </w:smartTag>
      <w:r w:rsidR="005B076A">
        <w:rPr>
          <w:rFonts w:ascii="Book Antiqua" w:hAnsi="Book Antiqua" w:cs="Arial"/>
        </w:rPr>
        <w:t xml:space="preserve">”.  The criticism that he makes is </w:t>
      </w:r>
      <w:r>
        <w:rPr>
          <w:rFonts w:ascii="Book Antiqua" w:hAnsi="Book Antiqua" w:cs="Arial"/>
        </w:rPr>
        <w:t xml:space="preserve">that the judge had not addressed the “extent or otherwise of the appellant’s family and private life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and that he had not conducted a balancing exercise.  However, that will only arise where there are very significant obstacles to an applicant’s </w:t>
      </w:r>
      <w:r w:rsidR="00B258DE">
        <w:rPr>
          <w:rFonts w:ascii="Book Antiqua" w:hAnsi="Book Antiqua" w:cs="Arial"/>
        </w:rPr>
        <w:t>integration</w:t>
      </w:r>
      <w:r>
        <w:rPr>
          <w:rFonts w:ascii="Book Antiqua" w:hAnsi="Book Antiqua" w:cs="Arial"/>
        </w:rPr>
        <w:t xml:space="preserve"> back into his home country because if there are not such obstacles first, </w:t>
      </w:r>
      <w:r w:rsidR="00B258DE">
        <w:rPr>
          <w:rFonts w:ascii="Book Antiqua" w:hAnsi="Book Antiqua" w:cs="Arial"/>
        </w:rPr>
        <w:t>exception</w:t>
      </w:r>
      <w:r>
        <w:rPr>
          <w:rFonts w:ascii="Book Antiqua" w:hAnsi="Book Antiqua" w:cs="Arial"/>
        </w:rPr>
        <w:t xml:space="preserve"> 1 could not apply anyway, and secondly, it could not conceivably be said that there are compelling reasons over and above such </w:t>
      </w:r>
      <w:r w:rsidR="00B258DE">
        <w:rPr>
          <w:rFonts w:ascii="Book Antiqua" w:hAnsi="Book Antiqua" w:cs="Arial"/>
        </w:rPr>
        <w:t>obstacles</w:t>
      </w:r>
      <w:r>
        <w:rPr>
          <w:rFonts w:ascii="Book Antiqua" w:hAnsi="Book Antiqua" w:cs="Arial"/>
        </w:rPr>
        <w:t xml:space="preserve">.  In this case this appellant has on any view failed to provide any evidence of such private life as he has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because none of his witnesses attended and the judge made adverse credibility findings in respect of the reasons why none of those witnesses appeared.  The judge also did not accept that he did not have any parent able to give him support within </w:t>
      </w:r>
      <w:smartTag w:uri="urn:schemas-microsoft-com:office:smarttags" w:element="country-region">
        <w:smartTag w:uri="urn:schemas-microsoft-com:office:smarttags" w:element="place">
          <w:r>
            <w:rPr>
              <w:rFonts w:ascii="Book Antiqua" w:hAnsi="Book Antiqua" w:cs="Arial"/>
            </w:rPr>
            <w:t>Jamaica</w:t>
          </w:r>
        </w:smartTag>
      </w:smartTag>
      <w:r>
        <w:rPr>
          <w:rFonts w:ascii="Book Antiqua" w:hAnsi="Book Antiqua" w:cs="Arial"/>
        </w:rPr>
        <w:t xml:space="preserve"> and as Judge Shaerf has noted, the judge’s reasons for making the adverse credibility findings which he did were sustainable.  </w:t>
      </w:r>
    </w:p>
    <w:p w:rsidR="00A54AF8" w:rsidRPr="00B258DE" w:rsidRDefault="00A54AF8"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these circumstances, this appellant’s appeal </w:t>
      </w:r>
      <w:r w:rsidR="00B258DE">
        <w:rPr>
          <w:rFonts w:ascii="Book Antiqua" w:hAnsi="Book Antiqua" w:cs="Arial"/>
        </w:rPr>
        <w:t>simply</w:t>
      </w:r>
      <w:r>
        <w:rPr>
          <w:rFonts w:ascii="Book Antiqua" w:hAnsi="Book Antiqua" w:cs="Arial"/>
        </w:rPr>
        <w:t xml:space="preserve"> could not succeed.  </w:t>
      </w:r>
      <w:r w:rsidR="00B258DE">
        <w:rPr>
          <w:rFonts w:ascii="Book Antiqua" w:hAnsi="Book Antiqua" w:cs="Arial"/>
        </w:rPr>
        <w:t>Exception</w:t>
      </w:r>
      <w:r>
        <w:rPr>
          <w:rFonts w:ascii="Book Antiqua" w:hAnsi="Book Antiqua" w:cs="Arial"/>
        </w:rPr>
        <w:t xml:space="preserve"> 1 </w:t>
      </w:r>
      <w:r w:rsidR="00B258DE">
        <w:rPr>
          <w:rFonts w:ascii="Book Antiqua" w:hAnsi="Book Antiqua" w:cs="Arial"/>
        </w:rPr>
        <w:t>clearly</w:t>
      </w:r>
      <w:r>
        <w:rPr>
          <w:rFonts w:ascii="Book Antiqua" w:hAnsi="Book Antiqua" w:cs="Arial"/>
        </w:rPr>
        <w:t xml:space="preserve"> does not apply, both because he has not been lawfully resident in the UK for most of his life, but even more </w:t>
      </w:r>
      <w:r w:rsidR="00B258DE">
        <w:rPr>
          <w:rFonts w:ascii="Book Antiqua" w:hAnsi="Book Antiqua" w:cs="Arial"/>
        </w:rPr>
        <w:t>importantly</w:t>
      </w:r>
      <w:r>
        <w:rPr>
          <w:rFonts w:ascii="Book Antiqua" w:hAnsi="Book Antiqua" w:cs="Arial"/>
        </w:rPr>
        <w:t xml:space="preserve"> because he has not shown </w:t>
      </w:r>
      <w:r w:rsidR="008852A2">
        <w:rPr>
          <w:rFonts w:ascii="Book Antiqua" w:hAnsi="Book Antiqua" w:cs="Arial"/>
        </w:rPr>
        <w:t xml:space="preserve">that </w:t>
      </w:r>
      <w:r>
        <w:rPr>
          <w:rFonts w:ascii="Book Antiqua" w:hAnsi="Book Antiqua" w:cs="Arial"/>
        </w:rPr>
        <w:t xml:space="preserve">there would be very </w:t>
      </w:r>
      <w:r w:rsidR="00B258DE">
        <w:rPr>
          <w:rFonts w:ascii="Book Antiqua" w:hAnsi="Book Antiqua" w:cs="Arial"/>
        </w:rPr>
        <w:t>significant</w:t>
      </w:r>
      <w:r>
        <w:rPr>
          <w:rFonts w:ascii="Book Antiqua" w:hAnsi="Book Antiqua" w:cs="Arial"/>
        </w:rPr>
        <w:t xml:space="preserve"> obstacles to reintegration </w:t>
      </w:r>
      <w:r w:rsidR="008852A2">
        <w:rPr>
          <w:rFonts w:ascii="Book Antiqua" w:hAnsi="Book Antiqua" w:cs="Arial"/>
        </w:rPr>
        <w:t>in</w:t>
      </w:r>
      <w:r>
        <w:rPr>
          <w:rFonts w:ascii="Book Antiqua" w:hAnsi="Book Antiqua" w:cs="Arial"/>
        </w:rPr>
        <w:t xml:space="preserve">to Jamaica.  Furthermore, on the facts of this </w:t>
      </w:r>
      <w:r w:rsidR="00B258DE">
        <w:rPr>
          <w:rFonts w:ascii="Book Antiqua" w:hAnsi="Book Antiqua" w:cs="Arial"/>
        </w:rPr>
        <w:t>case</w:t>
      </w:r>
      <w:r>
        <w:rPr>
          <w:rFonts w:ascii="Book Antiqua" w:hAnsi="Book Antiqua" w:cs="Arial"/>
        </w:rPr>
        <w:t xml:space="preserve"> he </w:t>
      </w:r>
      <w:r w:rsidR="00B258DE">
        <w:rPr>
          <w:rFonts w:ascii="Book Antiqua" w:hAnsi="Book Antiqua" w:cs="Arial"/>
        </w:rPr>
        <w:t>clearly</w:t>
      </w:r>
      <w:r>
        <w:rPr>
          <w:rFonts w:ascii="Book Antiqua" w:hAnsi="Book Antiqua" w:cs="Arial"/>
        </w:rPr>
        <w:t xml:space="preserve"> has not </w:t>
      </w:r>
      <w:r w:rsidR="00B258DE">
        <w:rPr>
          <w:rFonts w:ascii="Book Antiqua" w:hAnsi="Book Antiqua" w:cs="Arial"/>
        </w:rPr>
        <w:t>established</w:t>
      </w:r>
      <w:r>
        <w:rPr>
          <w:rFonts w:ascii="Book Antiqua" w:hAnsi="Book Antiqua" w:cs="Arial"/>
        </w:rPr>
        <w:t xml:space="preserve"> that there would be very compelling reasons over and above the reasons set out in exception 1 why </w:t>
      </w:r>
      <w:r w:rsidR="00167686">
        <w:rPr>
          <w:rFonts w:ascii="Book Antiqua" w:hAnsi="Book Antiqua" w:cs="Arial"/>
        </w:rPr>
        <w:t xml:space="preserve">he should not be deported (as required in both </w:t>
      </w:r>
      <w:r w:rsidR="00B258DE">
        <w:rPr>
          <w:rFonts w:ascii="Book Antiqua" w:hAnsi="Book Antiqua" w:cs="Arial"/>
        </w:rPr>
        <w:t>Section 117</w:t>
      </w:r>
      <w:proofErr w:type="gramStart"/>
      <w:r w:rsidR="00B258DE">
        <w:rPr>
          <w:rFonts w:ascii="Book Antiqua" w:hAnsi="Book Antiqua" w:cs="Arial"/>
        </w:rPr>
        <w:t>C(</w:t>
      </w:r>
      <w:proofErr w:type="gramEnd"/>
      <w:r w:rsidR="00B258DE">
        <w:rPr>
          <w:rFonts w:ascii="Book Antiqua" w:hAnsi="Book Antiqua" w:cs="Arial"/>
        </w:rPr>
        <w:t>6) of the 2002 Act and also in paragraph 39</w:t>
      </w:r>
      <w:r w:rsidR="002F3304">
        <w:rPr>
          <w:rFonts w:ascii="Book Antiqua" w:hAnsi="Book Antiqua" w:cs="Arial"/>
        </w:rPr>
        <w:t xml:space="preserve">8 </w:t>
      </w:r>
      <w:r w:rsidR="00B258DE">
        <w:rPr>
          <w:rFonts w:ascii="Book Antiqua" w:hAnsi="Book Antiqua" w:cs="Arial"/>
        </w:rPr>
        <w:t>of the Rules).  As Mr Wilding correctly noted during the course of his arguments, the proportio</w:t>
      </w:r>
      <w:r w:rsidR="00B258DE" w:rsidRPr="00B258DE">
        <w:rPr>
          <w:rFonts w:ascii="Book Antiqua" w:hAnsi="Book Antiqua" w:cs="Arial"/>
        </w:rPr>
        <w:t xml:space="preserve">nality exercise which </w:t>
      </w:r>
      <w:proofErr w:type="gramStart"/>
      <w:r w:rsidR="00B258DE" w:rsidRPr="00B258DE">
        <w:rPr>
          <w:rFonts w:ascii="Book Antiqua" w:hAnsi="Book Antiqua" w:cs="Arial"/>
        </w:rPr>
        <w:t>pre 2014</w:t>
      </w:r>
      <w:proofErr w:type="gramEnd"/>
      <w:r w:rsidR="00B258DE" w:rsidRPr="00B258DE">
        <w:rPr>
          <w:rFonts w:ascii="Book Antiqua" w:hAnsi="Book Antiqua" w:cs="Arial"/>
        </w:rPr>
        <w:t xml:space="preserve"> would usually be conducted on </w:t>
      </w:r>
      <w:r w:rsidR="00B258DE" w:rsidRPr="00B258DE">
        <w:rPr>
          <w:rFonts w:ascii="Book Antiqua" w:hAnsi="Book Antiqua" w:cs="Arial"/>
          <w:i/>
        </w:rPr>
        <w:t>Razgar</w:t>
      </w:r>
      <w:r w:rsidR="00B258DE" w:rsidRPr="00B258DE">
        <w:rPr>
          <w:rFonts w:ascii="Book Antiqua" w:hAnsi="Book Antiqua"/>
        </w:rPr>
        <w:t xml:space="preserve"> principles </w:t>
      </w:r>
      <w:r w:rsidR="00B258DE">
        <w:rPr>
          <w:rFonts w:ascii="Book Antiqua" w:hAnsi="Book Antiqua"/>
        </w:rPr>
        <w:t xml:space="preserve">is properly conducted by reference to the factors now set out within the new Part BA of the 2002 Act (from paragraphs 117A to 117D). </w:t>
      </w:r>
    </w:p>
    <w:p w:rsidR="00B258DE" w:rsidRPr="00EE3EE9" w:rsidRDefault="00B258DE" w:rsidP="00EA79AF">
      <w:pPr>
        <w:numPr>
          <w:ilvl w:val="0"/>
          <w:numId w:val="1"/>
        </w:numPr>
        <w:tabs>
          <w:tab w:val="clear" w:pos="567"/>
        </w:tabs>
        <w:spacing w:before="240"/>
        <w:jc w:val="both"/>
        <w:rPr>
          <w:rFonts w:ascii="Book Antiqua" w:hAnsi="Book Antiqua" w:cs="Arial"/>
        </w:rPr>
      </w:pPr>
      <w:r>
        <w:rPr>
          <w:rFonts w:ascii="Book Antiqua" w:hAnsi="Book Antiqua"/>
        </w:rPr>
        <w:t>It follows that there being no material error of law in Judge Lawrence’s decision, this appeal must be dismissed and I accordingly make the following decision:</w:t>
      </w:r>
    </w:p>
    <w:p w:rsidR="00EE3EE9" w:rsidRDefault="00EE3EE9" w:rsidP="00B258DE">
      <w:pPr>
        <w:spacing w:before="240"/>
        <w:ind w:left="567"/>
        <w:jc w:val="both"/>
        <w:rPr>
          <w:rFonts w:ascii="Book Antiqua" w:hAnsi="Book Antiqua"/>
          <w:b/>
          <w:u w:val="single"/>
        </w:rPr>
      </w:pPr>
      <w:r>
        <w:rPr>
          <w:rFonts w:ascii="Book Antiqua" w:hAnsi="Book Antiqua"/>
          <w:b/>
          <w:u w:val="single"/>
        </w:rPr>
        <w:t>Decision</w:t>
      </w:r>
    </w:p>
    <w:p w:rsidR="00B258DE" w:rsidRPr="00B258DE" w:rsidRDefault="00B258DE" w:rsidP="00B258DE">
      <w:pPr>
        <w:spacing w:before="240"/>
        <w:ind w:left="567"/>
        <w:jc w:val="both"/>
        <w:rPr>
          <w:rFonts w:ascii="Book Antiqua" w:hAnsi="Book Antiqua" w:cs="Arial"/>
          <w:b/>
        </w:rPr>
      </w:pPr>
      <w:r w:rsidRPr="00B258DE">
        <w:rPr>
          <w:rFonts w:ascii="Book Antiqua" w:hAnsi="Book Antiqua"/>
          <w:b/>
        </w:rPr>
        <w:t xml:space="preserve">There being no material error of law in the decision of First-tier Tribunal Judge N M K Lawrence, the appellant’s appeal is dismissed and Judge Lawrence’s decision, dismissing the appellant’s appeal against the decision of the respondent </w:t>
      </w:r>
      <w:r w:rsidR="002A5747">
        <w:rPr>
          <w:rFonts w:ascii="Book Antiqua" w:hAnsi="Book Antiqua"/>
          <w:b/>
        </w:rPr>
        <w:t>to deport</w:t>
      </w:r>
      <w:r w:rsidRPr="00B258DE">
        <w:rPr>
          <w:rFonts w:ascii="Book Antiqua" w:hAnsi="Book Antiqua"/>
          <w:b/>
        </w:rPr>
        <w:t xml:space="preserve"> him, is affirmed.</w:t>
      </w:r>
    </w:p>
    <w:p w:rsidR="00EE3EE9" w:rsidRDefault="00EE3EE9" w:rsidP="00C659D4">
      <w:pPr>
        <w:ind w:left="540" w:hanging="540"/>
        <w:jc w:val="both"/>
        <w:rPr>
          <w:rFonts w:ascii="Book Antiqua" w:hAnsi="Book Antiqua" w:cs="Arial"/>
        </w:rPr>
      </w:pPr>
    </w:p>
    <w:p w:rsidR="00EE3EE9" w:rsidRDefault="00EE3EE9" w:rsidP="00C659D4">
      <w:pPr>
        <w:ind w:left="540" w:hanging="540"/>
        <w:jc w:val="both"/>
        <w:rPr>
          <w:rFonts w:ascii="Book Antiqua" w:hAnsi="Book Antiqua" w:cs="Arial"/>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304B8A" w:rsidP="00C659D4">
      <w:pPr>
        <w:ind w:left="2138" w:firstLine="22"/>
        <w:jc w:val="both"/>
        <w:rPr>
          <w:rFonts w:ascii="Book Antiqua" w:hAnsi="Book Antiqua"/>
        </w:rPr>
      </w:pPr>
      <w:r w:rsidRPr="004A2519">
        <w:rPr>
          <w:rFonts w:ascii="Book Antiqua" w:hAnsi="Book Antiqua"/>
          <w:noProof/>
        </w:rPr>
        <w:drawing>
          <wp:inline distT="0" distB="0" distL="0" distR="0">
            <wp:extent cx="3131820" cy="754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754380"/>
                    </a:xfrm>
                    <a:prstGeom prst="rect">
                      <a:avLst/>
                    </a:prstGeom>
                    <a:noFill/>
                    <a:ln>
                      <a:noFill/>
                    </a:ln>
                  </pic:spPr>
                </pic:pic>
              </a:graphicData>
            </a:graphic>
          </wp:inline>
        </w:drawing>
      </w:r>
    </w:p>
    <w:p w:rsidR="00C659D4" w:rsidRDefault="00C659D4" w:rsidP="005E64D0">
      <w:pPr>
        <w:tabs>
          <w:tab w:val="left" w:pos="7371"/>
        </w:tabs>
        <w:ind w:left="540" w:hanging="540"/>
        <w:jc w:val="both"/>
        <w:rPr>
          <w:rFonts w:ascii="Book Antiqua" w:hAnsi="Book Antiqua" w:cs="Arial"/>
          <w:b/>
          <w:u w:val="single"/>
        </w:rPr>
      </w:pPr>
      <w:r w:rsidRPr="004A2519">
        <w:rPr>
          <w:rFonts w:ascii="Book Antiqua" w:hAnsi="Book Antiqua"/>
        </w:rPr>
        <w:t>Upper Tribunal Judge Craig</w:t>
      </w:r>
      <w:r w:rsidR="002A5747">
        <w:rPr>
          <w:rFonts w:ascii="Book Antiqua" w:hAnsi="Book Antiqua"/>
        </w:rPr>
        <w:t xml:space="preserve">                                                             </w:t>
      </w:r>
      <w:r>
        <w:rPr>
          <w:rFonts w:ascii="Book Antiqua" w:hAnsi="Book Antiqua"/>
        </w:rPr>
        <w:t>Date</w:t>
      </w:r>
      <w:r w:rsidR="002A5747">
        <w:rPr>
          <w:rFonts w:ascii="Book Antiqua" w:hAnsi="Book Antiqua"/>
        </w:rPr>
        <w:t xml:space="preserve">: </w:t>
      </w:r>
      <w:r>
        <w:rPr>
          <w:rFonts w:ascii="Book Antiqua" w:hAnsi="Book Antiqua"/>
        </w:rPr>
        <w:tab/>
      </w:r>
      <w:r w:rsidR="002A5747">
        <w:rPr>
          <w:rFonts w:ascii="Book Antiqua" w:hAnsi="Book Antiqua"/>
        </w:rPr>
        <w:t>25</w:t>
      </w:r>
      <w:r w:rsidR="00B258DE">
        <w:rPr>
          <w:rFonts w:ascii="Book Antiqua" w:hAnsi="Book Antiqua"/>
        </w:rPr>
        <w:t xml:space="preserve"> June 2018 </w:t>
      </w:r>
      <w:r w:rsidR="00F94398">
        <w:rPr>
          <w:rFonts w:ascii="Book Antiqua" w:hAnsi="Book Antiqua"/>
        </w:rPr>
        <w:t xml:space="preserve">  </w:t>
      </w:r>
    </w:p>
    <w:sectPr w:rsidR="00C659D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E3E" w:rsidRDefault="00326E3E">
      <w:r>
        <w:separator/>
      </w:r>
    </w:p>
  </w:endnote>
  <w:endnote w:type="continuationSeparator" w:id="0">
    <w:p w:rsidR="00326E3E" w:rsidRDefault="0032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0E5" w:rsidRPr="009B7433" w:rsidRDefault="009740E5"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7B774A">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0E5" w:rsidRPr="009B7433" w:rsidRDefault="009740E5"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E3E" w:rsidRDefault="00326E3E">
      <w:r>
        <w:separator/>
      </w:r>
    </w:p>
  </w:footnote>
  <w:footnote w:type="continuationSeparator" w:id="0">
    <w:p w:rsidR="00326E3E" w:rsidRDefault="00326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0E5" w:rsidRPr="00305752" w:rsidRDefault="009740E5"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305752">
      <w:rPr>
        <w:rFonts w:ascii="Book Antiqua" w:hAnsi="Book Antiqua" w:cs="Arial"/>
        <w:sz w:val="16"/>
        <w:szCs w:val="16"/>
      </w:rPr>
      <w:t>HU/04014/2018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0E5" w:rsidRPr="009B7433" w:rsidRDefault="009740E5">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1B6"/>
    <w:rsid w:val="00000621"/>
    <w:rsid w:val="000036C2"/>
    <w:rsid w:val="00016C1A"/>
    <w:rsid w:val="00033588"/>
    <w:rsid w:val="00033D3D"/>
    <w:rsid w:val="00043AC7"/>
    <w:rsid w:val="0004776F"/>
    <w:rsid w:val="0005265B"/>
    <w:rsid w:val="00052895"/>
    <w:rsid w:val="00062F02"/>
    <w:rsid w:val="0006636B"/>
    <w:rsid w:val="00071A7E"/>
    <w:rsid w:val="000746C0"/>
    <w:rsid w:val="00074D1D"/>
    <w:rsid w:val="00092580"/>
    <w:rsid w:val="00093D4D"/>
    <w:rsid w:val="000A0743"/>
    <w:rsid w:val="000D5D94"/>
    <w:rsid w:val="000F1A0E"/>
    <w:rsid w:val="001165A7"/>
    <w:rsid w:val="0016508E"/>
    <w:rsid w:val="00167686"/>
    <w:rsid w:val="00167D3A"/>
    <w:rsid w:val="00173F50"/>
    <w:rsid w:val="00185986"/>
    <w:rsid w:val="00194CE2"/>
    <w:rsid w:val="001A3082"/>
    <w:rsid w:val="001A53AD"/>
    <w:rsid w:val="001B186A"/>
    <w:rsid w:val="001B2F75"/>
    <w:rsid w:val="001C6F5F"/>
    <w:rsid w:val="001D6167"/>
    <w:rsid w:val="001F2716"/>
    <w:rsid w:val="001F3AC0"/>
    <w:rsid w:val="001F68F6"/>
    <w:rsid w:val="00207617"/>
    <w:rsid w:val="0023134B"/>
    <w:rsid w:val="002670D0"/>
    <w:rsid w:val="00283659"/>
    <w:rsid w:val="002A5747"/>
    <w:rsid w:val="002B7F16"/>
    <w:rsid w:val="002C6BD4"/>
    <w:rsid w:val="002D68BF"/>
    <w:rsid w:val="002E4541"/>
    <w:rsid w:val="002F3304"/>
    <w:rsid w:val="002F6B98"/>
    <w:rsid w:val="00304B8A"/>
    <w:rsid w:val="00305752"/>
    <w:rsid w:val="00326E3E"/>
    <w:rsid w:val="00336CBF"/>
    <w:rsid w:val="00342555"/>
    <w:rsid w:val="00343FE3"/>
    <w:rsid w:val="003546C8"/>
    <w:rsid w:val="003825D4"/>
    <w:rsid w:val="003A7CF2"/>
    <w:rsid w:val="003B68A8"/>
    <w:rsid w:val="003C5CE5"/>
    <w:rsid w:val="003D6FAD"/>
    <w:rsid w:val="003E267B"/>
    <w:rsid w:val="003E7CD1"/>
    <w:rsid w:val="00402B9E"/>
    <w:rsid w:val="00405831"/>
    <w:rsid w:val="004249CB"/>
    <w:rsid w:val="0044127D"/>
    <w:rsid w:val="004448DB"/>
    <w:rsid w:val="00446C9A"/>
    <w:rsid w:val="00452F2B"/>
    <w:rsid w:val="0046334B"/>
    <w:rsid w:val="00477193"/>
    <w:rsid w:val="00492E0F"/>
    <w:rsid w:val="004A1848"/>
    <w:rsid w:val="004A2D15"/>
    <w:rsid w:val="004A534C"/>
    <w:rsid w:val="004A6F4A"/>
    <w:rsid w:val="004B70D7"/>
    <w:rsid w:val="004D6B45"/>
    <w:rsid w:val="004E4717"/>
    <w:rsid w:val="00507FEC"/>
    <w:rsid w:val="00510F0E"/>
    <w:rsid w:val="005479E1"/>
    <w:rsid w:val="00553028"/>
    <w:rsid w:val="00553E0A"/>
    <w:rsid w:val="005570FD"/>
    <w:rsid w:val="005575EA"/>
    <w:rsid w:val="0057790C"/>
    <w:rsid w:val="00593795"/>
    <w:rsid w:val="005A75FF"/>
    <w:rsid w:val="005B076A"/>
    <w:rsid w:val="005B08F5"/>
    <w:rsid w:val="005D10AB"/>
    <w:rsid w:val="005E64D0"/>
    <w:rsid w:val="00601D8F"/>
    <w:rsid w:val="00605582"/>
    <w:rsid w:val="00606A60"/>
    <w:rsid w:val="00611F34"/>
    <w:rsid w:val="00621FE8"/>
    <w:rsid w:val="006434B6"/>
    <w:rsid w:val="00653E97"/>
    <w:rsid w:val="006667DB"/>
    <w:rsid w:val="00667AD5"/>
    <w:rsid w:val="00681B1C"/>
    <w:rsid w:val="00684A74"/>
    <w:rsid w:val="0068620A"/>
    <w:rsid w:val="00690B8A"/>
    <w:rsid w:val="00694E86"/>
    <w:rsid w:val="00696692"/>
    <w:rsid w:val="006B1262"/>
    <w:rsid w:val="006D7A19"/>
    <w:rsid w:val="006F2CF1"/>
    <w:rsid w:val="007038ED"/>
    <w:rsid w:val="00703BC3"/>
    <w:rsid w:val="00704B61"/>
    <w:rsid w:val="00715A64"/>
    <w:rsid w:val="007351B6"/>
    <w:rsid w:val="00740C1F"/>
    <w:rsid w:val="007552A9"/>
    <w:rsid w:val="0075658A"/>
    <w:rsid w:val="00761858"/>
    <w:rsid w:val="00767D59"/>
    <w:rsid w:val="00776E97"/>
    <w:rsid w:val="00780F86"/>
    <w:rsid w:val="00782928"/>
    <w:rsid w:val="007912AD"/>
    <w:rsid w:val="007B0824"/>
    <w:rsid w:val="007B5D3C"/>
    <w:rsid w:val="007B774A"/>
    <w:rsid w:val="00815011"/>
    <w:rsid w:val="00821B72"/>
    <w:rsid w:val="00823EF2"/>
    <w:rsid w:val="008303B8"/>
    <w:rsid w:val="00833DCE"/>
    <w:rsid w:val="00833E86"/>
    <w:rsid w:val="008457A9"/>
    <w:rsid w:val="00871D34"/>
    <w:rsid w:val="008852A2"/>
    <w:rsid w:val="00893D95"/>
    <w:rsid w:val="008A25EC"/>
    <w:rsid w:val="008A6059"/>
    <w:rsid w:val="008B270C"/>
    <w:rsid w:val="008B5078"/>
    <w:rsid w:val="008C3D3D"/>
    <w:rsid w:val="008D4131"/>
    <w:rsid w:val="008F1932"/>
    <w:rsid w:val="0090151B"/>
    <w:rsid w:val="009042A9"/>
    <w:rsid w:val="00921062"/>
    <w:rsid w:val="009433A1"/>
    <w:rsid w:val="009722BC"/>
    <w:rsid w:val="009727A3"/>
    <w:rsid w:val="009740E5"/>
    <w:rsid w:val="00987774"/>
    <w:rsid w:val="00996B75"/>
    <w:rsid w:val="009A11E8"/>
    <w:rsid w:val="009B7433"/>
    <w:rsid w:val="009C57C8"/>
    <w:rsid w:val="009D556B"/>
    <w:rsid w:val="009F5220"/>
    <w:rsid w:val="00A07919"/>
    <w:rsid w:val="00A15234"/>
    <w:rsid w:val="00A172F5"/>
    <w:rsid w:val="00A201AB"/>
    <w:rsid w:val="00A2448D"/>
    <w:rsid w:val="00A245E4"/>
    <w:rsid w:val="00A31C8B"/>
    <w:rsid w:val="00A509FA"/>
    <w:rsid w:val="00A54AF8"/>
    <w:rsid w:val="00A845DC"/>
    <w:rsid w:val="00AE4CE0"/>
    <w:rsid w:val="00B258DE"/>
    <w:rsid w:val="00B26AA2"/>
    <w:rsid w:val="00B3524D"/>
    <w:rsid w:val="00B40F69"/>
    <w:rsid w:val="00B4538A"/>
    <w:rsid w:val="00B46616"/>
    <w:rsid w:val="00B47B0C"/>
    <w:rsid w:val="00B528BB"/>
    <w:rsid w:val="00B7040A"/>
    <w:rsid w:val="00B81492"/>
    <w:rsid w:val="00B83391"/>
    <w:rsid w:val="00B95326"/>
    <w:rsid w:val="00BD4196"/>
    <w:rsid w:val="00BF1734"/>
    <w:rsid w:val="00BF22CA"/>
    <w:rsid w:val="00BF23BB"/>
    <w:rsid w:val="00C23DFC"/>
    <w:rsid w:val="00C26032"/>
    <w:rsid w:val="00C345E1"/>
    <w:rsid w:val="00C43BFD"/>
    <w:rsid w:val="00C6048A"/>
    <w:rsid w:val="00C659D4"/>
    <w:rsid w:val="00C86DC3"/>
    <w:rsid w:val="00CB6E35"/>
    <w:rsid w:val="00CD4E66"/>
    <w:rsid w:val="00CE09B1"/>
    <w:rsid w:val="00CE1A46"/>
    <w:rsid w:val="00D05EA6"/>
    <w:rsid w:val="00D20757"/>
    <w:rsid w:val="00D22636"/>
    <w:rsid w:val="00D40FD9"/>
    <w:rsid w:val="00D53769"/>
    <w:rsid w:val="00D606FA"/>
    <w:rsid w:val="00D6602D"/>
    <w:rsid w:val="00D85C13"/>
    <w:rsid w:val="00D9111A"/>
    <w:rsid w:val="00D91BE3"/>
    <w:rsid w:val="00D949B7"/>
    <w:rsid w:val="00D94AFC"/>
    <w:rsid w:val="00DB70AE"/>
    <w:rsid w:val="00DD242A"/>
    <w:rsid w:val="00DD3443"/>
    <w:rsid w:val="00DD5071"/>
    <w:rsid w:val="00DD5C39"/>
    <w:rsid w:val="00DE5CD4"/>
    <w:rsid w:val="00DE7DB7"/>
    <w:rsid w:val="00E00A0A"/>
    <w:rsid w:val="00E066DE"/>
    <w:rsid w:val="00E06F42"/>
    <w:rsid w:val="00E07F57"/>
    <w:rsid w:val="00E30683"/>
    <w:rsid w:val="00E403E4"/>
    <w:rsid w:val="00E42107"/>
    <w:rsid w:val="00E453D8"/>
    <w:rsid w:val="00E50BCE"/>
    <w:rsid w:val="00E574BF"/>
    <w:rsid w:val="00E61292"/>
    <w:rsid w:val="00E62953"/>
    <w:rsid w:val="00E77C4D"/>
    <w:rsid w:val="00E81D01"/>
    <w:rsid w:val="00EA79AF"/>
    <w:rsid w:val="00EB485A"/>
    <w:rsid w:val="00EE3EE9"/>
    <w:rsid w:val="00EE45D8"/>
    <w:rsid w:val="00F147AA"/>
    <w:rsid w:val="00F22EDA"/>
    <w:rsid w:val="00F470D6"/>
    <w:rsid w:val="00F5589A"/>
    <w:rsid w:val="00F72841"/>
    <w:rsid w:val="00F768D4"/>
    <w:rsid w:val="00F94398"/>
    <w:rsid w:val="00FB4EED"/>
    <w:rsid w:val="00FC40FA"/>
    <w:rsid w:val="00FE5C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C029A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2018-07-17T08:44:00Z</dcterms:created>
  <dcterms:modified xsi:type="dcterms:W3CDTF">2018-07-17T08:44:00Z</dcterms:modified>
</cp:coreProperties>
</file>