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AA4" w:rsidRPr="0086791D" w:rsidRDefault="008F7AA4" w:rsidP="008F7AA4">
      <w:pPr>
        <w:tabs>
          <w:tab w:val="left" w:pos="1440"/>
          <w:tab w:val="right" w:pos="9630"/>
        </w:tabs>
        <w:ind w:left="0" w:right="-82" w:firstLine="0"/>
        <w:jc w:val="center"/>
        <w:rPr>
          <w:rFonts w:ascii="Book Antiqua" w:eastAsia="Times New Roman" w:hAnsi="Book Antiqua" w:cs="Arial"/>
          <w:b/>
          <w:color w:val="000000"/>
          <w:sz w:val="16"/>
          <w:szCs w:val="16"/>
          <w:lang w:eastAsia="en-GB"/>
        </w:rPr>
      </w:pPr>
      <w:r w:rsidRPr="0086791D">
        <w:rPr>
          <w:rFonts w:ascii="Book Antiqua" w:eastAsia="Times New Roman" w:hAnsi="Book Antiqua" w:cs="Times New Roman"/>
          <w:noProof/>
          <w:sz w:val="16"/>
          <w:szCs w:val="16"/>
          <w:lang w:eastAsia="en-GB"/>
        </w:rPr>
        <w:drawing>
          <wp:inline distT="0" distB="0" distL="0" distR="0" wp14:anchorId="0CED295B" wp14:editId="01584282">
            <wp:extent cx="1496060" cy="1136650"/>
            <wp:effectExtent l="0" t="0" r="889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A4" w:rsidRPr="0086791D" w:rsidRDefault="008F7AA4" w:rsidP="008F7AA4">
      <w:pPr>
        <w:tabs>
          <w:tab w:val="left" w:pos="1440"/>
          <w:tab w:val="right" w:pos="9630"/>
        </w:tabs>
        <w:ind w:left="0" w:right="-82" w:firstLine="0"/>
        <w:jc w:val="left"/>
        <w:rPr>
          <w:rFonts w:ascii="Book Antiqua" w:eastAsia="Times New Roman" w:hAnsi="Book Antiqua" w:cs="Arial"/>
          <w:b/>
          <w:color w:val="000000"/>
          <w:sz w:val="16"/>
          <w:szCs w:val="16"/>
          <w:lang w:eastAsia="en-GB"/>
        </w:rPr>
      </w:pPr>
    </w:p>
    <w:p w:rsidR="008F7AA4" w:rsidRPr="00C961F7" w:rsidRDefault="008F7AA4" w:rsidP="008F7AA4">
      <w:pPr>
        <w:tabs>
          <w:tab w:val="left" w:pos="1440"/>
          <w:tab w:val="right" w:pos="9630"/>
        </w:tabs>
        <w:ind w:left="0" w:right="-82" w:firstLine="0"/>
        <w:jc w:val="left"/>
        <w:rPr>
          <w:rFonts w:ascii="Book Antiqua" w:eastAsia="Times New Roman" w:hAnsi="Book Antiqua" w:cs="Arial"/>
          <w:b/>
          <w:color w:val="000000"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color w:val="000000"/>
          <w:sz w:val="24"/>
          <w:szCs w:val="24"/>
          <w:lang w:eastAsia="en-GB"/>
        </w:rPr>
        <w:t xml:space="preserve">Upper Tribunal </w:t>
      </w:r>
    </w:p>
    <w:p w:rsidR="008F7AA4" w:rsidRPr="00C961F7" w:rsidRDefault="008F7AA4" w:rsidP="008F7AA4">
      <w:pPr>
        <w:ind w:left="0" w:firstLine="0"/>
        <w:jc w:val="left"/>
        <w:rPr>
          <w:rFonts w:ascii="Book Antiqua" w:eastAsia="Times New Roman" w:hAnsi="Book Antiqua" w:cs="Arial"/>
          <w:color w:val="000000"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color w:val="000000"/>
          <w:sz w:val="24"/>
          <w:szCs w:val="24"/>
          <w:lang w:eastAsia="en-GB"/>
        </w:rPr>
        <w:t>(Immigration and Asylum Chamber)</w:t>
      </w:r>
    </w:p>
    <w:p w:rsidR="008F7AA4" w:rsidRPr="00C961F7" w:rsidRDefault="008F7AA4" w:rsidP="008F7AA4">
      <w:pPr>
        <w:tabs>
          <w:tab w:val="right" w:pos="9720"/>
        </w:tabs>
        <w:ind w:left="0" w:right="-82" w:firstLine="0"/>
        <w:jc w:val="left"/>
        <w:rPr>
          <w:rFonts w:ascii="Book Antiqua" w:eastAsia="Times New Roman" w:hAnsi="Book Antiqua" w:cs="Arial"/>
          <w:color w:val="000000"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color w:val="000000"/>
          <w:sz w:val="24"/>
          <w:szCs w:val="24"/>
          <w:lang w:eastAsia="en-GB"/>
        </w:rPr>
        <w:tab/>
      </w:r>
      <w:r w:rsidRPr="00C961F7">
        <w:rPr>
          <w:rFonts w:ascii="Book Antiqua" w:eastAsia="Times New Roman" w:hAnsi="Book Antiqua" w:cs="Arial"/>
          <w:color w:val="000000"/>
          <w:sz w:val="24"/>
          <w:szCs w:val="24"/>
          <w:lang w:eastAsia="en-GB"/>
        </w:rPr>
        <w:t xml:space="preserve">Appeal Number: </w:t>
      </w:r>
      <w:bookmarkStart w:id="0" w:name="_Hlk523395428"/>
      <w:bookmarkStart w:id="1" w:name="_GoBack"/>
      <w:r w:rsidR="006929A3">
        <w:rPr>
          <w:rFonts w:ascii="Book Antiqua" w:eastAsia="Times New Roman" w:hAnsi="Book Antiqua" w:cs="Arial"/>
          <w:color w:val="000000"/>
          <w:sz w:val="24"/>
          <w:szCs w:val="24"/>
          <w:lang w:eastAsia="en-GB"/>
        </w:rPr>
        <w:t>HU</w:t>
      </w:r>
      <w:r w:rsidRPr="00C961F7">
        <w:rPr>
          <w:rFonts w:ascii="Book Antiqua" w:eastAsia="Times New Roman" w:hAnsi="Book Antiqua" w:cs="Arial"/>
          <w:caps/>
          <w:color w:val="000000"/>
          <w:sz w:val="24"/>
          <w:szCs w:val="24"/>
          <w:lang w:eastAsia="en-GB"/>
        </w:rPr>
        <w:t>/</w:t>
      </w:r>
      <w:r>
        <w:rPr>
          <w:rFonts w:ascii="Book Antiqua" w:eastAsia="Times New Roman" w:hAnsi="Book Antiqua" w:cs="Arial"/>
          <w:caps/>
          <w:color w:val="000000"/>
          <w:sz w:val="24"/>
          <w:szCs w:val="24"/>
          <w:lang w:eastAsia="en-GB"/>
        </w:rPr>
        <w:t>04066/2017</w:t>
      </w:r>
      <w:bookmarkEnd w:id="0"/>
      <w:bookmarkEnd w:id="1"/>
    </w:p>
    <w:p w:rsidR="008F7AA4" w:rsidRPr="00C961F7" w:rsidRDefault="008F7AA4" w:rsidP="008F7AA4">
      <w:pPr>
        <w:ind w:left="7740" w:firstLine="0"/>
        <w:jc w:val="center"/>
        <w:rPr>
          <w:rFonts w:ascii="Book Antiqua" w:eastAsia="Times New Roman" w:hAnsi="Book Antiqua" w:cs="Arial"/>
          <w:color w:val="000000"/>
          <w:sz w:val="24"/>
          <w:szCs w:val="24"/>
          <w:lang w:eastAsia="en-GB"/>
        </w:rPr>
      </w:pP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color w:val="000000"/>
          <w:sz w:val="24"/>
          <w:szCs w:val="24"/>
          <w:u w:val="single"/>
          <w:lang w:eastAsia="en-GB"/>
        </w:rPr>
      </w:pPr>
      <w:r w:rsidRPr="00C961F7">
        <w:rPr>
          <w:rFonts w:ascii="Book Antiqua" w:eastAsia="Times New Roman" w:hAnsi="Book Antiqua" w:cs="Arial"/>
          <w:b/>
          <w:color w:val="000000"/>
          <w:sz w:val="24"/>
          <w:szCs w:val="24"/>
          <w:u w:val="single"/>
          <w:lang w:eastAsia="en-GB"/>
        </w:rPr>
        <w:t>THE IMMIGRATION ACTS</w:t>
      </w: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5"/>
        <w:gridCol w:w="1096"/>
        <w:gridCol w:w="3717"/>
      </w:tblGrid>
      <w:tr w:rsidR="008F7AA4" w:rsidRPr="00C961F7" w:rsidTr="00451F36">
        <w:tc>
          <w:tcPr>
            <w:tcW w:w="4815" w:type="dxa"/>
          </w:tcPr>
          <w:p w:rsidR="008F7AA4" w:rsidRDefault="008F7AA4" w:rsidP="00F04769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Heard a</w:t>
            </w:r>
            <w:r w:rsidRPr="00C961F7">
              <w:rPr>
                <w:rFonts w:ascii="Book Antiqua" w:hAnsi="Book Antiqua" w:cs="Arial"/>
                <w:b/>
                <w:sz w:val="24"/>
                <w:szCs w:val="24"/>
              </w:rPr>
              <w:t>t Field House</w:t>
            </w:r>
          </w:p>
          <w:p w:rsidR="008F7AA4" w:rsidRPr="00C961F7" w:rsidRDefault="008F7AA4" w:rsidP="00F04769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On: 10 August 2018</w:t>
            </w:r>
          </w:p>
        </w:tc>
        <w:tc>
          <w:tcPr>
            <w:tcW w:w="4813" w:type="dxa"/>
            <w:gridSpan w:val="2"/>
          </w:tcPr>
          <w:p w:rsidR="008F7AA4" w:rsidRDefault="00451F36" w:rsidP="00451F36">
            <w:pPr>
              <w:ind w:left="0" w:firstLine="0"/>
              <w:rPr>
                <w:rFonts w:ascii="Book Antiqua" w:hAnsi="Book Antiqua" w:cs="Arial"/>
                <w:b/>
                <w:color w:val="000000"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color w:val="000000"/>
                <w:sz w:val="24"/>
                <w:szCs w:val="24"/>
              </w:rPr>
              <w:t>Decision and R</w:t>
            </w:r>
            <w:r w:rsidR="008F7AA4">
              <w:rPr>
                <w:rFonts w:ascii="Book Antiqua" w:hAnsi="Book Antiqua" w:cs="Arial"/>
                <w:b/>
                <w:color w:val="000000"/>
                <w:sz w:val="24"/>
                <w:szCs w:val="24"/>
              </w:rPr>
              <w:t xml:space="preserve">easons </w:t>
            </w:r>
            <w:r w:rsidR="008F7AA4" w:rsidRPr="00C961F7">
              <w:rPr>
                <w:rFonts w:ascii="Book Antiqua" w:hAnsi="Book Antiqua" w:cs="Arial"/>
                <w:b/>
                <w:color w:val="000000"/>
                <w:sz w:val="24"/>
                <w:szCs w:val="24"/>
              </w:rPr>
              <w:t>Promulgated</w:t>
            </w:r>
          </w:p>
          <w:p w:rsidR="00451F36" w:rsidRPr="00C961F7" w:rsidRDefault="00451F36" w:rsidP="00451F36">
            <w:pPr>
              <w:ind w:left="0" w:firstLine="0"/>
              <w:rPr>
                <w:rFonts w:ascii="Book Antiqua" w:hAnsi="Book Antiqua" w:cs="Arial"/>
                <w:b/>
                <w:color w:val="000000"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color w:val="000000"/>
                <w:sz w:val="24"/>
                <w:szCs w:val="24"/>
              </w:rPr>
              <w:t xml:space="preserve">On: 03 September 2018 </w:t>
            </w:r>
          </w:p>
        </w:tc>
      </w:tr>
      <w:tr w:rsidR="008F7AA4" w:rsidRPr="00C961F7" w:rsidTr="00451F36">
        <w:tc>
          <w:tcPr>
            <w:tcW w:w="5911" w:type="dxa"/>
            <w:gridSpan w:val="2"/>
          </w:tcPr>
          <w:p w:rsidR="008F7AA4" w:rsidRPr="00C961F7" w:rsidRDefault="008F7AA4" w:rsidP="00F04769">
            <w:pPr>
              <w:ind w:left="0" w:firstLine="0"/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  <w:tc>
          <w:tcPr>
            <w:tcW w:w="3717" w:type="dxa"/>
          </w:tcPr>
          <w:p w:rsidR="008F7AA4" w:rsidRPr="00C961F7" w:rsidRDefault="008F7AA4" w:rsidP="00F04769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</w:tr>
      <w:tr w:rsidR="008F7AA4" w:rsidRPr="00C961F7" w:rsidTr="00451F36">
        <w:tc>
          <w:tcPr>
            <w:tcW w:w="5911" w:type="dxa"/>
            <w:gridSpan w:val="2"/>
          </w:tcPr>
          <w:p w:rsidR="008F7AA4" w:rsidRPr="00C961F7" w:rsidRDefault="008F7AA4" w:rsidP="00F04769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  <w:tc>
          <w:tcPr>
            <w:tcW w:w="3717" w:type="dxa"/>
          </w:tcPr>
          <w:p w:rsidR="008F7AA4" w:rsidRPr="00C961F7" w:rsidRDefault="008F7AA4" w:rsidP="00F04769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</w:tr>
    </w:tbl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sz w:val="24"/>
          <w:szCs w:val="24"/>
          <w:lang w:eastAsia="en-GB"/>
        </w:rPr>
        <w:t>Before</w:t>
      </w: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sz w:val="24"/>
          <w:szCs w:val="24"/>
          <w:lang w:eastAsia="en-GB"/>
        </w:rPr>
        <w:t>DEPUTY JUDGE OF THE UPPER TRIBUNAL CHANA</w:t>
      </w:r>
    </w:p>
    <w:p w:rsidR="008F7AA4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</w:p>
    <w:p w:rsidR="0086791D" w:rsidRPr="00C961F7" w:rsidRDefault="0086791D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sz w:val="24"/>
          <w:szCs w:val="24"/>
          <w:lang w:eastAsia="en-GB"/>
        </w:rPr>
        <w:t>Between</w:t>
      </w: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M</w:t>
      </w:r>
      <w:r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RS Karim rostam chiman</w:t>
      </w:r>
    </w:p>
    <w:p w:rsidR="008F7AA4" w:rsidRPr="0086791D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caps/>
          <w:szCs w:val="24"/>
          <w:lang w:eastAsia="en-GB"/>
        </w:rPr>
      </w:pPr>
      <w:r w:rsidRPr="0086791D">
        <w:rPr>
          <w:rFonts w:ascii="Book Antiqua" w:eastAsia="Times New Roman" w:hAnsi="Book Antiqua" w:cs="Arial"/>
          <w:b/>
          <w:caps/>
          <w:szCs w:val="24"/>
          <w:lang w:eastAsia="en-GB"/>
        </w:rPr>
        <w:t>(anonymity direction not made)</w:t>
      </w:r>
    </w:p>
    <w:p w:rsidR="008F7AA4" w:rsidRPr="00C961F7" w:rsidRDefault="008F7AA4" w:rsidP="008F7AA4">
      <w:pPr>
        <w:ind w:left="0" w:firstLine="0"/>
        <w:jc w:val="right"/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</w:pPr>
      <w:r w:rsidRPr="00C961F7"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  <w:t>Appellant</w:t>
      </w: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sz w:val="24"/>
          <w:szCs w:val="24"/>
          <w:lang w:eastAsia="en-GB"/>
        </w:rPr>
        <w:t>and</w:t>
      </w: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sz w:val="24"/>
          <w:szCs w:val="24"/>
          <w:lang w:eastAsia="en-GB"/>
        </w:rPr>
        <w:t>THE SECRETARY OF STATE FOR THE HOME DEPARTMENT</w:t>
      </w:r>
    </w:p>
    <w:p w:rsidR="008F7AA4" w:rsidRPr="00C961F7" w:rsidRDefault="008F7AA4" w:rsidP="008F7AA4">
      <w:pPr>
        <w:ind w:left="0" w:firstLine="0"/>
        <w:jc w:val="right"/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</w:pPr>
      <w:r w:rsidRPr="00C961F7"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  <w:t>Respondent</w:t>
      </w:r>
    </w:p>
    <w:p w:rsidR="0086791D" w:rsidRDefault="0086791D" w:rsidP="008F7AA4">
      <w:pPr>
        <w:ind w:left="0" w:firstLine="0"/>
        <w:jc w:val="left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</w:p>
    <w:p w:rsidR="0086791D" w:rsidRDefault="0086791D" w:rsidP="008F7AA4">
      <w:pPr>
        <w:ind w:left="0" w:firstLine="0"/>
        <w:jc w:val="left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</w:p>
    <w:p w:rsidR="008F7AA4" w:rsidRPr="00C961F7" w:rsidRDefault="008F7AA4" w:rsidP="008F7AA4">
      <w:pPr>
        <w:ind w:left="0" w:firstLine="0"/>
        <w:jc w:val="left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  <w:t>Representation</w:t>
      </w:r>
      <w:r w:rsidRPr="00C961F7">
        <w:rPr>
          <w:rFonts w:ascii="Book Antiqua" w:eastAsia="Times New Roman" w:hAnsi="Book Antiqua" w:cs="Arial"/>
          <w:b/>
          <w:sz w:val="24"/>
          <w:szCs w:val="24"/>
          <w:lang w:eastAsia="en-GB"/>
        </w:rPr>
        <w:t>:</w:t>
      </w:r>
    </w:p>
    <w:p w:rsidR="008F7AA4" w:rsidRDefault="008F7AA4" w:rsidP="008F7AA4">
      <w:pPr>
        <w:tabs>
          <w:tab w:val="left" w:pos="2520"/>
        </w:tabs>
        <w:ind w:left="0" w:firstLine="0"/>
        <w:jc w:val="left"/>
        <w:rPr>
          <w:rFonts w:ascii="Book Antiqua" w:eastAsia="Times New Roman" w:hAnsi="Book Antiqua" w:cs="Arial"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sz w:val="24"/>
          <w:szCs w:val="24"/>
          <w:lang w:eastAsia="en-GB"/>
        </w:rPr>
        <w:t>For the appellant: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ab/>
        <w:t xml:space="preserve">Mr </w:t>
      </w:r>
      <w:proofErr w:type="spellStart"/>
      <w:r>
        <w:rPr>
          <w:rFonts w:ascii="Book Antiqua" w:eastAsia="Times New Roman" w:hAnsi="Book Antiqua" w:cs="Arial"/>
          <w:sz w:val="24"/>
          <w:szCs w:val="24"/>
          <w:lang w:eastAsia="en-GB"/>
        </w:rPr>
        <w:t>Gherman</w:t>
      </w:r>
      <w:proofErr w:type="spellEnd"/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 of Counsel</w:t>
      </w:r>
    </w:p>
    <w:p w:rsidR="008F7AA4" w:rsidRPr="00C961F7" w:rsidRDefault="008F7AA4" w:rsidP="008F7AA4">
      <w:pPr>
        <w:tabs>
          <w:tab w:val="left" w:pos="2520"/>
        </w:tabs>
        <w:ind w:left="0" w:firstLine="0"/>
        <w:jc w:val="left"/>
        <w:rPr>
          <w:rFonts w:ascii="Book Antiqua" w:eastAsia="Times New Roman" w:hAnsi="Book Antiqua" w:cs="Arial"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sz w:val="24"/>
          <w:szCs w:val="24"/>
          <w:lang w:eastAsia="en-GB"/>
        </w:rPr>
        <w:t>For the respondent: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ab/>
        <w:t xml:space="preserve">Ms A </w:t>
      </w:r>
      <w:proofErr w:type="spellStart"/>
      <w:r>
        <w:rPr>
          <w:rFonts w:ascii="Book Antiqua" w:eastAsia="Times New Roman" w:hAnsi="Book Antiqua" w:cs="Arial"/>
          <w:sz w:val="24"/>
          <w:szCs w:val="24"/>
          <w:lang w:eastAsia="en-GB"/>
        </w:rPr>
        <w:t>Fijiwala</w:t>
      </w:r>
      <w:proofErr w:type="spellEnd"/>
      <w:r w:rsidRPr="00C961F7">
        <w:rPr>
          <w:rFonts w:ascii="Book Antiqua" w:eastAsia="Times New Roman" w:hAnsi="Book Antiqua" w:cs="Arial"/>
          <w:sz w:val="24"/>
          <w:szCs w:val="24"/>
          <w:lang w:eastAsia="en-GB"/>
        </w:rPr>
        <w:t xml:space="preserve">, Senior Office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Presenting </w:t>
      </w:r>
      <w:r w:rsidRPr="00C961F7">
        <w:rPr>
          <w:rFonts w:ascii="Book Antiqua" w:eastAsia="Times New Roman" w:hAnsi="Book Antiqua" w:cs="Arial"/>
          <w:sz w:val="24"/>
          <w:szCs w:val="24"/>
          <w:lang w:eastAsia="en-GB"/>
        </w:rPr>
        <w:t>Officer</w:t>
      </w:r>
    </w:p>
    <w:p w:rsidR="008F7AA4" w:rsidRDefault="008F7AA4" w:rsidP="008F7AA4">
      <w:pPr>
        <w:tabs>
          <w:tab w:val="left" w:pos="2520"/>
        </w:tabs>
        <w:ind w:left="0" w:firstLine="0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6791D" w:rsidRPr="00C961F7" w:rsidRDefault="0086791D" w:rsidP="008F7AA4">
      <w:pPr>
        <w:tabs>
          <w:tab w:val="left" w:pos="2520"/>
        </w:tabs>
        <w:ind w:left="0" w:firstLine="0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F7AA4" w:rsidRPr="00C961F7" w:rsidRDefault="008F7AA4" w:rsidP="008F7AA4">
      <w:pPr>
        <w:tabs>
          <w:tab w:val="left" w:pos="2520"/>
        </w:tabs>
        <w:ind w:left="0" w:firstLine="0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  <w:t xml:space="preserve">DECISION </w:t>
      </w:r>
      <w:r w:rsidRPr="00C961F7"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  <w:t>AND REASONS</w:t>
      </w:r>
    </w:p>
    <w:p w:rsidR="008F7AA4" w:rsidRDefault="008F7AA4" w:rsidP="008F7AA4">
      <w:pPr>
        <w:pStyle w:val="ListParagraph"/>
        <w:numPr>
          <w:ilvl w:val="0"/>
          <w:numId w:val="1"/>
        </w:numPr>
        <w:tabs>
          <w:tab w:val="left" w:pos="567"/>
        </w:tabs>
        <w:spacing w:before="240"/>
        <w:rPr>
          <w:rFonts w:ascii="Book Antiqua" w:eastAsia="Times New Roman" w:hAnsi="Book Antiqua" w:cs="Arial"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The appellant, a citizen of Iraq, appealed </w:t>
      </w:r>
      <w:r w:rsidRPr="006A5BE5">
        <w:rPr>
          <w:rFonts w:ascii="Book Antiqua" w:eastAsia="Times New Roman" w:hAnsi="Book Antiqua" w:cs="Arial"/>
          <w:sz w:val="24"/>
          <w:szCs w:val="24"/>
          <w:lang w:eastAsia="en-GB"/>
        </w:rPr>
        <w:t>against the decision of the respondent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 dated 21 February 2017</w:t>
      </w:r>
      <w:r w:rsidRPr="006A5BE5">
        <w:rPr>
          <w:rFonts w:ascii="Book Antiqua" w:eastAsia="Times New Roman" w:hAnsi="Book Antiqua" w:cs="Arial"/>
          <w:sz w:val="24"/>
          <w:szCs w:val="24"/>
          <w:lang w:eastAsia="en-GB"/>
        </w:rPr>
        <w:t xml:space="preserve">, refusing to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grant the appellant leave to remain in the United Kingdom under the five-year partner route pursuant to paragraph 276 ADE</w:t>
      </w:r>
      <w:r w:rsidR="00792C3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of the immigration rules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. First-tier Tribunal Judge Richards-Clarke dismissed the appellant’s appeal in a decision dated 2 February 2018.</w:t>
      </w:r>
    </w:p>
    <w:p w:rsidR="008F7AA4" w:rsidRDefault="008F7AA4" w:rsidP="008F7AA4">
      <w:pPr>
        <w:pStyle w:val="ListParagraph"/>
        <w:tabs>
          <w:tab w:val="left" w:pos="567"/>
        </w:tabs>
        <w:spacing w:before="240"/>
        <w:ind w:left="360" w:firstLine="0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F7AA4" w:rsidRPr="00E62B5B" w:rsidRDefault="008F7AA4" w:rsidP="008F7AA4">
      <w:pPr>
        <w:pStyle w:val="ListParagraph"/>
        <w:numPr>
          <w:ilvl w:val="0"/>
          <w:numId w:val="1"/>
        </w:numPr>
        <w:tabs>
          <w:tab w:val="left" w:pos="567"/>
        </w:tabs>
        <w:spacing w:before="240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E62B5B">
        <w:rPr>
          <w:rFonts w:ascii="Book Antiqua" w:eastAsia="Times New Roman" w:hAnsi="Book Antiqua" w:cs="Arial"/>
          <w:sz w:val="24"/>
          <w:szCs w:val="24"/>
          <w:lang w:eastAsia="en-GB"/>
        </w:rPr>
        <w:lastRenderedPageBreak/>
        <w:t>Permission to appeal was granted by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 Designated First- tier </w:t>
      </w:r>
      <w:r w:rsidRPr="00E62B5B">
        <w:rPr>
          <w:rFonts w:ascii="Book Antiqua" w:eastAsia="Times New Roman" w:hAnsi="Book Antiqua" w:cs="Arial"/>
          <w:sz w:val="24"/>
          <w:szCs w:val="24"/>
          <w:lang w:eastAsia="en-GB"/>
        </w:rPr>
        <w:t xml:space="preserve">Tribunal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Judge Shaerf stating that it is arguable that the </w:t>
      </w:r>
      <w:r w:rsidR="00792C3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Judge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erred by not taking into account the best interests of the appellant’s children and the position of the appellant’s older British citizen</w:t>
      </w:r>
      <w:r w:rsidR="00CD299B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child by birth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and whether it would be reasonable to expect the appellant’s child to leave the United Kingdom, which child is referred to is made clear in the grounds.</w:t>
      </w:r>
    </w:p>
    <w:p w:rsidR="008F7AA4" w:rsidRPr="006A5BE5" w:rsidRDefault="008F7AA4" w:rsidP="008F7AA4">
      <w:pPr>
        <w:pStyle w:val="ListParagrap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F7AA4" w:rsidRDefault="008F7AA4" w:rsidP="008F7AA4">
      <w:pPr>
        <w:pStyle w:val="ListParagraph"/>
        <w:numPr>
          <w:ilvl w:val="0"/>
          <w:numId w:val="1"/>
        </w:numPr>
        <w:tabs>
          <w:tab w:val="left" w:pos="567"/>
        </w:tabs>
        <w:spacing w:before="240"/>
        <w:rPr>
          <w:rFonts w:ascii="Book Antiqua" w:eastAsia="Times New Roman" w:hAnsi="Book Antiqua" w:cs="Arial"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At the hearing it was agreed by the parties that there has been a material error of law in the decision because the Judge did not take into account the appellant’s children in respect of EX 1 (b) of the immigration rules and s55 of the Boarder’s Citizenship Act and the appeal be sent back to the First-tier Tribunal. </w:t>
      </w:r>
    </w:p>
    <w:p w:rsidR="008F7AA4" w:rsidRPr="008F7AA4" w:rsidRDefault="008F7AA4" w:rsidP="008F7AA4">
      <w:pPr>
        <w:pStyle w:val="ListParagrap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F7AA4" w:rsidRDefault="008F7AA4" w:rsidP="008F7AA4">
      <w:pPr>
        <w:pStyle w:val="ListParagraph"/>
        <w:numPr>
          <w:ilvl w:val="0"/>
          <w:numId w:val="1"/>
        </w:numPr>
        <w:tabs>
          <w:tab w:val="left" w:pos="567"/>
        </w:tabs>
        <w:spacing w:before="240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2B6BE3">
        <w:rPr>
          <w:rFonts w:ascii="Book Antiqua" w:eastAsia="Times New Roman" w:hAnsi="Book Antiqua" w:cs="Arial"/>
          <w:sz w:val="24"/>
          <w:szCs w:val="24"/>
          <w:lang w:eastAsia="en-GB"/>
        </w:rPr>
        <w:t xml:space="preserve">I find that there has been a material error of law in the decision as the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Judge</w:t>
      </w:r>
      <w:r w:rsidRPr="002B6BE3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has not fully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 made findings on the appellant’s children’s rights. Therefore, as it stands the decision is not safe and findings of fact need to be made on the evidence.</w:t>
      </w:r>
    </w:p>
    <w:p w:rsidR="008F7AA4" w:rsidRPr="002B6BE3" w:rsidRDefault="008F7AA4" w:rsidP="008F7AA4">
      <w:pPr>
        <w:pStyle w:val="ListParagrap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F7AA4" w:rsidRPr="002B6BE3" w:rsidRDefault="008F7AA4" w:rsidP="008F7AA4">
      <w:pPr>
        <w:pStyle w:val="ListParagraph"/>
        <w:numPr>
          <w:ilvl w:val="0"/>
          <w:numId w:val="1"/>
        </w:numPr>
        <w:tabs>
          <w:tab w:val="left" w:pos="567"/>
        </w:tabs>
        <w:spacing w:before="240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6A5BE5">
        <w:rPr>
          <w:rFonts w:ascii="Book Antiqua" w:eastAsia="Times New Roman" w:hAnsi="Book Antiqua" w:cs="Arial"/>
          <w:sz w:val="24"/>
          <w:szCs w:val="24"/>
          <w:lang w:eastAsia="en-GB"/>
        </w:rPr>
        <w:t xml:space="preserve">In the circumstances, I direct that the appeal be placed before any First-tier Tribunal Judge </w:t>
      </w:r>
      <w:r w:rsidRPr="006A5BE5">
        <w:rPr>
          <w:rFonts w:ascii="Book Antiqua" w:eastAsia="Calibri" w:hAnsi="Book Antiqua" w:cs="Arial"/>
          <w:sz w:val="24"/>
          <w:szCs w:val="24"/>
        </w:rPr>
        <w:t xml:space="preserve">apart from </w:t>
      </w:r>
      <w:r>
        <w:rPr>
          <w:rFonts w:ascii="Book Antiqua" w:eastAsia="Calibri" w:hAnsi="Book Antiqua" w:cs="Arial"/>
          <w:sz w:val="24"/>
          <w:szCs w:val="24"/>
        </w:rPr>
        <w:t xml:space="preserve">first-tier Tribunal Judge Richards-Clarke for </w:t>
      </w:r>
      <w:r w:rsidRPr="006A5BE5">
        <w:rPr>
          <w:rFonts w:ascii="Book Antiqua" w:eastAsia="Calibri" w:hAnsi="Book Antiqua" w:cs="Arial"/>
          <w:sz w:val="24"/>
          <w:szCs w:val="24"/>
        </w:rPr>
        <w:t xml:space="preserve">the appeal </w:t>
      </w:r>
      <w:r>
        <w:rPr>
          <w:rFonts w:ascii="Book Antiqua" w:eastAsia="Calibri" w:hAnsi="Book Antiqua" w:cs="Arial"/>
          <w:sz w:val="24"/>
          <w:szCs w:val="24"/>
        </w:rPr>
        <w:t xml:space="preserve">to be heard </w:t>
      </w:r>
      <w:r w:rsidRPr="006A5BE5">
        <w:rPr>
          <w:rFonts w:ascii="Book Antiqua" w:eastAsia="Calibri" w:hAnsi="Book Antiqua" w:cs="Arial"/>
          <w:sz w:val="24"/>
          <w:szCs w:val="24"/>
        </w:rPr>
        <w:t xml:space="preserve">de novo. </w:t>
      </w:r>
    </w:p>
    <w:p w:rsidR="008F7AA4" w:rsidRPr="002B6BE3" w:rsidRDefault="008F7AA4" w:rsidP="008F7AA4">
      <w:pPr>
        <w:pStyle w:val="ListParagrap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F7AA4" w:rsidRDefault="008F7AA4" w:rsidP="008F7AA4">
      <w:pPr>
        <w:pStyle w:val="ListParagraph"/>
        <w:tabs>
          <w:tab w:val="left" w:pos="567"/>
        </w:tabs>
        <w:spacing w:before="240"/>
        <w:ind w:left="360" w:firstLine="0"/>
        <w:rPr>
          <w:rFonts w:ascii="Book Antiqua" w:eastAsia="Times New Roman" w:hAnsi="Book Antiqua" w:cs="Arial"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sz w:val="24"/>
          <w:szCs w:val="24"/>
          <w:lang w:eastAsia="en-GB"/>
        </w:rPr>
        <w:t>Decision</w:t>
      </w:r>
    </w:p>
    <w:p w:rsidR="008F7AA4" w:rsidRDefault="008F7AA4" w:rsidP="008F7AA4">
      <w:pPr>
        <w:pStyle w:val="ListParagraph"/>
        <w:tabs>
          <w:tab w:val="left" w:pos="567"/>
        </w:tabs>
        <w:spacing w:before="240"/>
        <w:ind w:left="360" w:firstLine="0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F7AA4" w:rsidRPr="006A5BE5" w:rsidRDefault="008F7AA4" w:rsidP="008F7AA4">
      <w:pPr>
        <w:pStyle w:val="ListParagraph"/>
        <w:tabs>
          <w:tab w:val="left" w:pos="567"/>
        </w:tabs>
        <w:spacing w:before="240"/>
        <w:ind w:left="360" w:firstLine="0"/>
        <w:rPr>
          <w:rFonts w:ascii="Book Antiqua" w:eastAsia="Times New Roman" w:hAnsi="Book Antiqua" w:cs="Arial"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sz w:val="24"/>
          <w:szCs w:val="24"/>
          <w:lang w:eastAsia="en-GB"/>
        </w:rPr>
        <w:t>Appeal remitted to the First-tier Tribunal</w:t>
      </w:r>
    </w:p>
    <w:p w:rsidR="008F7AA4" w:rsidRPr="00D20E0A" w:rsidRDefault="008F7AA4" w:rsidP="008F7AA4">
      <w:pPr>
        <w:tabs>
          <w:tab w:val="left" w:pos="567"/>
        </w:tabs>
        <w:spacing w:before="240"/>
        <w:ind w:left="540" w:firstLine="0"/>
        <w:contextualSpacing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D20E0A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     </w:t>
      </w:r>
    </w:p>
    <w:p w:rsidR="008F7AA4" w:rsidRPr="00C961F7" w:rsidRDefault="008F7AA4" w:rsidP="008F7AA4">
      <w:pPr>
        <w:ind w:left="540" w:hanging="540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sz w:val="24"/>
          <w:szCs w:val="24"/>
          <w:lang w:eastAsia="en-GB"/>
        </w:rPr>
        <w:t>Signed by</w:t>
      </w:r>
    </w:p>
    <w:p w:rsidR="008F7AA4" w:rsidRPr="00C961F7" w:rsidRDefault="008F7AA4" w:rsidP="008F7AA4">
      <w:pPr>
        <w:ind w:left="0" w:firstLine="0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F7AA4" w:rsidRPr="00C961F7" w:rsidRDefault="008F7AA4" w:rsidP="008F7AA4">
      <w:pPr>
        <w:ind w:left="0" w:firstLine="0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sz w:val="24"/>
          <w:szCs w:val="24"/>
          <w:lang w:eastAsia="en-GB"/>
        </w:rPr>
        <w:t>A Deputy Judge of the Upper Tribunal</w:t>
      </w:r>
    </w:p>
    <w:p w:rsidR="008F7AA4" w:rsidRPr="00C961F7" w:rsidRDefault="008F7AA4" w:rsidP="008F7AA4">
      <w:pPr>
        <w:ind w:left="540" w:hanging="540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sz w:val="24"/>
          <w:szCs w:val="24"/>
          <w:lang w:eastAsia="en-GB"/>
        </w:rPr>
        <w:t>……………………………………</w:t>
      </w:r>
    </w:p>
    <w:p w:rsidR="008F7AA4" w:rsidRPr="00C961F7" w:rsidRDefault="008F7AA4" w:rsidP="008F7AA4">
      <w:pPr>
        <w:ind w:left="540" w:hanging="540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CD299B" w:rsidRPr="00C961F7" w:rsidRDefault="008F7AA4" w:rsidP="00CD299B">
      <w:pPr>
        <w:ind w:left="540" w:hanging="540"/>
        <w:jc w:val="right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961F7">
        <w:rPr>
          <w:rFonts w:ascii="Book Antiqua" w:eastAsia="Times New Roman" w:hAnsi="Book Antiqua" w:cs="Arial"/>
          <w:color w:val="000000"/>
          <w:sz w:val="24"/>
          <w:szCs w:val="24"/>
          <w:lang w:eastAsia="en-GB"/>
        </w:rPr>
        <w:t>Ms S Chana</w:t>
      </w:r>
      <w:r w:rsidR="00CD299B">
        <w:rPr>
          <w:rFonts w:ascii="Book Antiqua" w:eastAsia="Times New Roman" w:hAnsi="Book Antiqua" w:cs="Arial"/>
          <w:color w:val="000000"/>
          <w:sz w:val="24"/>
          <w:szCs w:val="24"/>
          <w:lang w:eastAsia="en-GB"/>
        </w:rPr>
        <w:t xml:space="preserve">                                                                                  </w:t>
      </w:r>
      <w:r w:rsidR="00CD299B">
        <w:rPr>
          <w:rFonts w:ascii="Book Antiqua" w:eastAsia="Times New Roman" w:hAnsi="Book Antiqua" w:cs="Arial"/>
          <w:sz w:val="24"/>
          <w:szCs w:val="24"/>
          <w:lang w:eastAsia="en-GB"/>
        </w:rPr>
        <w:t>Dated 23rd day of August 2018</w:t>
      </w:r>
    </w:p>
    <w:p w:rsidR="008F7AA4" w:rsidRPr="00C961F7" w:rsidRDefault="008F7AA4" w:rsidP="008F7AA4">
      <w:pPr>
        <w:ind w:left="567" w:hanging="567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:rsidR="008F7AA4" w:rsidRPr="00C961F7" w:rsidRDefault="008F7AA4" w:rsidP="008F7AA4">
      <w:pPr>
        <w:ind w:left="0" w:firstLine="0"/>
        <w:jc w:val="center"/>
        <w:rPr>
          <w:rFonts w:ascii="Book Antiqua" w:eastAsia="Times New Roman" w:hAnsi="Book Antiqua" w:cs="Times New Roman"/>
          <w:sz w:val="24"/>
          <w:szCs w:val="24"/>
          <w:lang w:eastAsia="en-GB"/>
        </w:rPr>
      </w:pPr>
    </w:p>
    <w:p w:rsidR="008F7AA4" w:rsidRDefault="008F7AA4" w:rsidP="008F7AA4"/>
    <w:p w:rsidR="008F7AA4" w:rsidRDefault="008F7AA4" w:rsidP="008F7AA4"/>
    <w:p w:rsidR="008F7AA4" w:rsidRDefault="008F7AA4" w:rsidP="008F7AA4"/>
    <w:p w:rsidR="008F7AA4" w:rsidRDefault="008F7AA4" w:rsidP="008F7AA4"/>
    <w:p w:rsidR="008F7AA4" w:rsidRDefault="008F7AA4" w:rsidP="008F7AA4"/>
    <w:p w:rsidR="0034051A" w:rsidRDefault="0034051A"/>
    <w:sectPr w:rsidR="0034051A" w:rsidSect="00B407CA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8D1" w:rsidRDefault="00BE08D1">
      <w:r>
        <w:separator/>
      </w:r>
    </w:p>
  </w:endnote>
  <w:endnote w:type="continuationSeparator" w:id="0">
    <w:p w:rsidR="00BE08D1" w:rsidRDefault="00BE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304" w:rsidRDefault="00BE08D1" w:rsidP="00B407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5304" w:rsidRDefault="00831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651897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327" w:rsidRPr="0086791D" w:rsidRDefault="00DE3327">
        <w:pPr>
          <w:pStyle w:val="Footer"/>
          <w:jc w:val="center"/>
          <w:rPr>
            <w:sz w:val="20"/>
            <w:szCs w:val="20"/>
          </w:rPr>
        </w:pPr>
        <w:r w:rsidRPr="0086791D">
          <w:rPr>
            <w:sz w:val="20"/>
            <w:szCs w:val="20"/>
          </w:rPr>
          <w:fldChar w:fldCharType="begin"/>
        </w:r>
        <w:r w:rsidRPr="0086791D">
          <w:rPr>
            <w:sz w:val="20"/>
            <w:szCs w:val="20"/>
          </w:rPr>
          <w:instrText xml:space="preserve"> PAGE   \* MERGEFORMAT </w:instrText>
        </w:r>
        <w:r w:rsidRPr="0086791D">
          <w:rPr>
            <w:sz w:val="20"/>
            <w:szCs w:val="20"/>
          </w:rPr>
          <w:fldChar w:fldCharType="separate"/>
        </w:r>
        <w:r w:rsidR="0083163B">
          <w:rPr>
            <w:noProof/>
            <w:sz w:val="20"/>
            <w:szCs w:val="20"/>
          </w:rPr>
          <w:t>2</w:t>
        </w:r>
        <w:r w:rsidRPr="0086791D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304" w:rsidRPr="0086791D" w:rsidRDefault="00DE3327" w:rsidP="00B407CA">
    <w:pPr>
      <w:pStyle w:val="Footer"/>
      <w:jc w:val="center"/>
      <w:rPr>
        <w:rFonts w:ascii="Arial" w:hAnsi="Arial" w:cs="Arial"/>
        <w:b/>
        <w:sz w:val="24"/>
        <w:szCs w:val="24"/>
      </w:rPr>
    </w:pPr>
    <w:r w:rsidRPr="0086791D">
      <w:rPr>
        <w:rFonts w:ascii="Arial" w:hAnsi="Arial" w:cs="Arial"/>
        <w:b/>
        <w:sz w:val="24"/>
        <w:szCs w:val="24"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8D1" w:rsidRDefault="00BE08D1">
      <w:r>
        <w:separator/>
      </w:r>
    </w:p>
  </w:footnote>
  <w:footnote w:type="continuationSeparator" w:id="0">
    <w:p w:rsidR="00BE08D1" w:rsidRDefault="00BE0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9A3" w:rsidRPr="006929A3" w:rsidRDefault="00F5537E" w:rsidP="006929A3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Appeal number: </w:t>
    </w:r>
    <w:r w:rsidR="006929A3" w:rsidRPr="006929A3">
      <w:rPr>
        <w:sz w:val="20"/>
        <w:szCs w:val="20"/>
      </w:rPr>
      <w:t>HU/04066/2017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67DDE"/>
    <w:multiLevelType w:val="hybridMultilevel"/>
    <w:tmpl w:val="F87403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E3BC9FB-13C0-45A6-A7A3-E4D9E927C7E6}"/>
    <w:docVar w:name="dgnword-eventsink" w:val="671689192"/>
  </w:docVars>
  <w:rsids>
    <w:rsidRoot w:val="008F7AA4"/>
    <w:rsid w:val="0034051A"/>
    <w:rsid w:val="00451F36"/>
    <w:rsid w:val="006929A3"/>
    <w:rsid w:val="00792C31"/>
    <w:rsid w:val="0083163B"/>
    <w:rsid w:val="0086791D"/>
    <w:rsid w:val="008E2C60"/>
    <w:rsid w:val="008F7AA4"/>
    <w:rsid w:val="00BE08D1"/>
    <w:rsid w:val="00BE5878"/>
    <w:rsid w:val="00C73517"/>
    <w:rsid w:val="00CD299B"/>
    <w:rsid w:val="00D66C93"/>
    <w:rsid w:val="00DE3327"/>
    <w:rsid w:val="00F5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CD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AA4"/>
    <w:pPr>
      <w:spacing w:after="0" w:line="240" w:lineRule="auto"/>
      <w:ind w:left="357" w:hanging="35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F7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AA4"/>
  </w:style>
  <w:style w:type="character" w:styleId="PageNumber">
    <w:name w:val="page number"/>
    <w:basedOn w:val="DefaultParagraphFont"/>
    <w:rsid w:val="008F7AA4"/>
  </w:style>
  <w:style w:type="table" w:styleId="TableGrid">
    <w:name w:val="Table Grid"/>
    <w:basedOn w:val="TableNormal"/>
    <w:rsid w:val="008F7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A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9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2018-09-17T11:40:00Z</dcterms:created>
  <dcterms:modified xsi:type="dcterms:W3CDTF">2018-09-17T11:41:00Z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