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F72" w:rsidRDefault="00585F72" w:rsidP="0050388A">
      <w:pPr>
        <w:jc w:val="center"/>
        <w:rPr>
          <w:rFonts w:ascii="Book Antiqua" w:hAnsi="Book Antiqua" w:cs="Arial"/>
          <w:caps/>
          <w:color w:val="000000"/>
          <w:sz w:val="16"/>
          <w:szCs w:val="16"/>
        </w:rPr>
      </w:pPr>
    </w:p>
    <w:p w:rsidR="00863FF0" w:rsidRDefault="00863FF0" w:rsidP="00585F72">
      <w:pPr>
        <w:jc w:val="center"/>
        <w:rPr>
          <w:rFonts w:ascii="Book Antiqua" w:hAnsi="Book Antiqua" w:cs="Arial"/>
          <w:caps/>
          <w:color w:val="000000"/>
          <w:sz w:val="16"/>
          <w:szCs w:val="16"/>
        </w:rPr>
      </w:pPr>
    </w:p>
    <w:p w:rsidR="003257CA" w:rsidRPr="00AE6DDE" w:rsidRDefault="00A53185" w:rsidP="00585F72">
      <w:pPr>
        <w:jc w:val="center"/>
        <w:rPr>
          <w:rFonts w:ascii="Book Antiqua" w:hAnsi="Book Antiqua" w:cs="Arial"/>
          <w:caps/>
          <w:color w:val="000000"/>
          <w:sz w:val="16"/>
          <w:szCs w:val="16"/>
        </w:rPr>
      </w:pPr>
      <w:r>
        <w:rPr>
          <w:noProof/>
        </w:rPr>
        <w:drawing>
          <wp:inline distT="0" distB="0" distL="0" distR="0" wp14:anchorId="092DEA82" wp14:editId="43B2AF34">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rsidR="003257CA" w:rsidRPr="002630D9" w:rsidRDefault="003257CA" w:rsidP="00585F72">
      <w:pPr>
        <w:tabs>
          <w:tab w:val="right" w:pos="9720"/>
        </w:tabs>
        <w:rPr>
          <w:rFonts w:cs="Arial"/>
          <w:b/>
          <w:color w:val="000000"/>
        </w:rPr>
      </w:pPr>
      <w:r w:rsidRPr="002630D9">
        <w:rPr>
          <w:rFonts w:cs="Arial"/>
          <w:b/>
          <w:color w:val="000000"/>
        </w:rPr>
        <w:t xml:space="preserve">Upper Tribunal </w:t>
      </w:r>
    </w:p>
    <w:p w:rsidR="003257CA" w:rsidRDefault="003257CA" w:rsidP="00585F72">
      <w:pPr>
        <w:tabs>
          <w:tab w:val="right" w:pos="9720"/>
        </w:tabs>
        <w:rPr>
          <w:rFonts w:cs="Arial"/>
          <w:b/>
          <w:color w:val="000000"/>
        </w:rPr>
      </w:pPr>
      <w:r w:rsidRPr="002630D9">
        <w:rPr>
          <w:rFonts w:cs="Arial"/>
          <w:b/>
          <w:color w:val="000000"/>
        </w:rPr>
        <w:t>(</w:t>
      </w:r>
      <w:r w:rsidR="00585F72">
        <w:rPr>
          <w:rFonts w:cs="Arial"/>
          <w:b/>
          <w:color w:val="000000"/>
        </w:rPr>
        <w:t xml:space="preserve">Immigration and Asylum </w:t>
      </w:r>
      <w:proofErr w:type="gramStart"/>
      <w:r w:rsidR="00585F72">
        <w:rPr>
          <w:rFonts w:cs="Arial"/>
          <w:b/>
          <w:color w:val="000000"/>
        </w:rPr>
        <w:t xml:space="preserve">Chamber)   </w:t>
      </w:r>
      <w:proofErr w:type="gramEnd"/>
      <w:r w:rsidR="00585F72">
        <w:rPr>
          <w:rFonts w:cs="Arial"/>
          <w:b/>
          <w:color w:val="000000"/>
        </w:rPr>
        <w:t xml:space="preserve">                     </w:t>
      </w:r>
      <w:r>
        <w:rPr>
          <w:rFonts w:cs="Arial"/>
          <w:b/>
          <w:color w:val="000000"/>
        </w:rPr>
        <w:t xml:space="preserve">Appeal Number: </w:t>
      </w:r>
      <w:r w:rsidR="007B3613">
        <w:rPr>
          <w:rFonts w:cs="Arial"/>
          <w:b/>
          <w:color w:val="000000"/>
        </w:rPr>
        <w:t>HU/04117/2018</w:t>
      </w:r>
    </w:p>
    <w:p w:rsidR="003257CA" w:rsidRPr="00FB66A9" w:rsidRDefault="00CB6CFF" w:rsidP="00585F72">
      <w:pPr>
        <w:tabs>
          <w:tab w:val="right" w:pos="9720"/>
        </w:tabs>
        <w:rPr>
          <w:rFonts w:cs="Arial"/>
          <w:b/>
          <w:i/>
          <w:color w:val="000000"/>
        </w:rPr>
      </w:pPr>
      <w:r>
        <w:rPr>
          <w:rFonts w:cs="Arial"/>
          <w:b/>
          <w:color w:val="000000"/>
        </w:rPr>
        <w:t xml:space="preserve">                                                                                                                                                                                                                                                                   </w:t>
      </w:r>
    </w:p>
    <w:p w:rsidR="003257CA" w:rsidRDefault="003257CA" w:rsidP="002630D9">
      <w:pPr>
        <w:spacing w:line="360" w:lineRule="auto"/>
        <w:jc w:val="center"/>
        <w:rPr>
          <w:rFonts w:cs="Arial"/>
          <w:b/>
          <w:color w:val="000000"/>
          <w:u w:val="single"/>
        </w:rPr>
      </w:pPr>
      <w:r w:rsidRPr="00217865">
        <w:rPr>
          <w:rFonts w:cs="Arial"/>
          <w:b/>
          <w:color w:val="000000"/>
          <w:u w:val="single"/>
        </w:rPr>
        <w:t>THE IMMIGRATION ACTS</w:t>
      </w:r>
    </w:p>
    <w:tbl>
      <w:tblPr>
        <w:tblW w:w="0" w:type="auto"/>
        <w:tblLook w:val="01E0" w:firstRow="1" w:lastRow="1" w:firstColumn="1" w:lastColumn="1" w:noHBand="0" w:noVBand="0"/>
      </w:tblPr>
      <w:tblGrid>
        <w:gridCol w:w="5103"/>
        <w:gridCol w:w="4535"/>
      </w:tblGrid>
      <w:tr w:rsidR="003257CA" w:rsidRPr="002630D9" w:rsidTr="00585F72">
        <w:tc>
          <w:tcPr>
            <w:tcW w:w="5103" w:type="dxa"/>
          </w:tcPr>
          <w:p w:rsidR="003257CA" w:rsidRPr="002630D9" w:rsidRDefault="003257CA" w:rsidP="002630D9">
            <w:pPr>
              <w:spacing w:line="360" w:lineRule="auto"/>
              <w:jc w:val="both"/>
              <w:rPr>
                <w:rFonts w:cs="Arial"/>
                <w:b/>
              </w:rPr>
            </w:pPr>
            <w:r w:rsidRPr="002630D9">
              <w:rPr>
                <w:rFonts w:cs="Arial"/>
                <w:b/>
              </w:rPr>
              <w:t xml:space="preserve">Heard at </w:t>
            </w:r>
            <w:r>
              <w:rPr>
                <w:rFonts w:cs="Arial"/>
                <w:b/>
              </w:rPr>
              <w:t>Field House</w:t>
            </w:r>
          </w:p>
        </w:tc>
        <w:tc>
          <w:tcPr>
            <w:tcW w:w="4535" w:type="dxa"/>
          </w:tcPr>
          <w:p w:rsidR="003257CA" w:rsidRPr="002630D9" w:rsidRDefault="003257CA" w:rsidP="002630D9">
            <w:pPr>
              <w:spacing w:line="360" w:lineRule="auto"/>
              <w:jc w:val="both"/>
              <w:rPr>
                <w:rFonts w:cs="Arial"/>
                <w:b/>
                <w:color w:val="000000"/>
              </w:rPr>
            </w:pPr>
            <w:r w:rsidRPr="002630D9">
              <w:rPr>
                <w:rFonts w:cs="Arial"/>
                <w:b/>
                <w:color w:val="000000"/>
              </w:rPr>
              <w:t>Decision &amp; Reasons Promulgated</w:t>
            </w:r>
          </w:p>
        </w:tc>
      </w:tr>
      <w:tr w:rsidR="003257CA" w:rsidRPr="002630D9" w:rsidTr="00585F72">
        <w:tc>
          <w:tcPr>
            <w:tcW w:w="5103" w:type="dxa"/>
          </w:tcPr>
          <w:p w:rsidR="003257CA" w:rsidRPr="002630D9" w:rsidRDefault="003257CA" w:rsidP="002630D9">
            <w:pPr>
              <w:spacing w:line="360" w:lineRule="auto"/>
              <w:jc w:val="both"/>
              <w:rPr>
                <w:rFonts w:cs="Arial"/>
                <w:b/>
              </w:rPr>
            </w:pPr>
            <w:r w:rsidRPr="002630D9">
              <w:rPr>
                <w:rFonts w:cs="Arial"/>
                <w:b/>
              </w:rPr>
              <w:t xml:space="preserve">On </w:t>
            </w:r>
            <w:r w:rsidR="007B3613">
              <w:rPr>
                <w:rFonts w:cs="Arial"/>
                <w:b/>
              </w:rPr>
              <w:t>30 July</w:t>
            </w:r>
            <w:r>
              <w:rPr>
                <w:rFonts w:cs="Arial"/>
                <w:b/>
              </w:rPr>
              <w:t xml:space="preserve"> 2018</w:t>
            </w:r>
          </w:p>
        </w:tc>
        <w:tc>
          <w:tcPr>
            <w:tcW w:w="4535" w:type="dxa"/>
          </w:tcPr>
          <w:p w:rsidR="003257CA" w:rsidRPr="002630D9" w:rsidRDefault="00B301AC" w:rsidP="002630D9">
            <w:pPr>
              <w:spacing w:line="360" w:lineRule="auto"/>
              <w:jc w:val="both"/>
              <w:rPr>
                <w:rFonts w:cs="Arial"/>
                <w:b/>
              </w:rPr>
            </w:pPr>
            <w:r>
              <w:rPr>
                <w:rFonts w:cs="Arial"/>
                <w:b/>
              </w:rPr>
              <w:t>On 9 August 2018</w:t>
            </w:r>
          </w:p>
        </w:tc>
      </w:tr>
    </w:tbl>
    <w:p w:rsidR="00585F72" w:rsidRDefault="00585F72" w:rsidP="002630D9">
      <w:pPr>
        <w:spacing w:line="360" w:lineRule="auto"/>
        <w:jc w:val="center"/>
        <w:rPr>
          <w:rFonts w:cs="Arial"/>
          <w:b/>
        </w:rPr>
      </w:pPr>
    </w:p>
    <w:p w:rsidR="003257CA" w:rsidRDefault="003257CA" w:rsidP="002630D9">
      <w:pPr>
        <w:spacing w:line="360" w:lineRule="auto"/>
        <w:jc w:val="center"/>
        <w:rPr>
          <w:rFonts w:cs="Arial"/>
          <w:b/>
        </w:rPr>
      </w:pPr>
      <w:r w:rsidRPr="002630D9">
        <w:rPr>
          <w:rFonts w:cs="Arial"/>
          <w:b/>
        </w:rPr>
        <w:t>Before</w:t>
      </w:r>
    </w:p>
    <w:p w:rsidR="00585F72" w:rsidRPr="002630D9" w:rsidRDefault="00585F72" w:rsidP="00585F72">
      <w:pPr>
        <w:jc w:val="center"/>
        <w:rPr>
          <w:rFonts w:cs="Arial"/>
          <w:b/>
        </w:rPr>
      </w:pPr>
    </w:p>
    <w:p w:rsidR="003257CA" w:rsidRPr="002630D9" w:rsidRDefault="003257CA" w:rsidP="002630D9">
      <w:pPr>
        <w:spacing w:line="360" w:lineRule="auto"/>
        <w:jc w:val="center"/>
        <w:rPr>
          <w:rFonts w:cs="Arial"/>
          <w:b/>
          <w:color w:val="000000"/>
        </w:rPr>
      </w:pPr>
      <w:r w:rsidRPr="002630D9">
        <w:rPr>
          <w:rFonts w:cs="Arial"/>
          <w:b/>
          <w:color w:val="000000"/>
        </w:rPr>
        <w:t>UPPER TRIBUNAL JUDGE FINCH</w:t>
      </w:r>
    </w:p>
    <w:p w:rsidR="00530B1F" w:rsidRDefault="00530B1F" w:rsidP="00585F72">
      <w:pPr>
        <w:jc w:val="center"/>
        <w:rPr>
          <w:rFonts w:cs="Arial"/>
          <w:b/>
        </w:rPr>
      </w:pPr>
    </w:p>
    <w:p w:rsidR="003257CA" w:rsidRDefault="003257CA" w:rsidP="002630D9">
      <w:pPr>
        <w:spacing w:line="360" w:lineRule="auto"/>
        <w:jc w:val="center"/>
        <w:rPr>
          <w:rFonts w:cs="Arial"/>
          <w:b/>
        </w:rPr>
      </w:pPr>
      <w:r w:rsidRPr="002630D9">
        <w:rPr>
          <w:rFonts w:cs="Arial"/>
          <w:b/>
        </w:rPr>
        <w:t>Between</w:t>
      </w:r>
    </w:p>
    <w:p w:rsidR="00585F72" w:rsidRDefault="00585F72" w:rsidP="00585F72">
      <w:pPr>
        <w:jc w:val="center"/>
        <w:rPr>
          <w:rFonts w:cs="Arial"/>
          <w:b/>
        </w:rPr>
      </w:pPr>
    </w:p>
    <w:p w:rsidR="00DD4868" w:rsidRDefault="00DD4868" w:rsidP="002630D9">
      <w:pPr>
        <w:spacing w:line="360" w:lineRule="auto"/>
        <w:jc w:val="center"/>
        <w:rPr>
          <w:rFonts w:cs="Arial"/>
          <w:b/>
        </w:rPr>
      </w:pPr>
      <w:r>
        <w:rPr>
          <w:rFonts w:cs="Arial"/>
          <w:b/>
        </w:rPr>
        <w:t xml:space="preserve">THE SECRETARY OF STATE FOR THE HOME DEPARTMENT </w:t>
      </w:r>
    </w:p>
    <w:p w:rsidR="00DD4868" w:rsidRPr="00585F72" w:rsidRDefault="00DD4868" w:rsidP="002630D9">
      <w:pPr>
        <w:spacing w:line="360" w:lineRule="auto"/>
        <w:jc w:val="center"/>
        <w:rPr>
          <w:rFonts w:cs="Arial"/>
          <w:u w:val="single"/>
        </w:rPr>
      </w:pPr>
      <w:r>
        <w:rPr>
          <w:rFonts w:cs="Arial"/>
          <w:b/>
        </w:rPr>
        <w:t xml:space="preserve">                                                                                                                                      </w:t>
      </w:r>
      <w:r w:rsidRPr="00585F72">
        <w:rPr>
          <w:rFonts w:cs="Arial"/>
          <w:u w:val="single"/>
        </w:rPr>
        <w:t xml:space="preserve">Appellant </w:t>
      </w:r>
    </w:p>
    <w:p w:rsidR="00DD4868" w:rsidRDefault="00585F72" w:rsidP="002630D9">
      <w:pPr>
        <w:spacing w:line="360" w:lineRule="auto"/>
        <w:jc w:val="center"/>
        <w:rPr>
          <w:rFonts w:cs="Arial"/>
          <w:b/>
        </w:rPr>
      </w:pPr>
      <w:r>
        <w:rPr>
          <w:rFonts w:cs="Arial"/>
          <w:b/>
        </w:rPr>
        <w:t>A</w:t>
      </w:r>
      <w:r w:rsidR="00DD4868">
        <w:rPr>
          <w:rFonts w:cs="Arial"/>
          <w:b/>
        </w:rPr>
        <w:t>nd</w:t>
      </w:r>
    </w:p>
    <w:p w:rsidR="00585F72" w:rsidRDefault="00585F72" w:rsidP="00585F72">
      <w:pPr>
        <w:jc w:val="center"/>
        <w:rPr>
          <w:rFonts w:cs="Arial"/>
          <w:b/>
        </w:rPr>
      </w:pPr>
    </w:p>
    <w:p w:rsidR="007B3613" w:rsidRDefault="007B3613" w:rsidP="00585F72">
      <w:pPr>
        <w:jc w:val="center"/>
        <w:rPr>
          <w:rFonts w:cs="Arial"/>
          <w:b/>
        </w:rPr>
      </w:pPr>
      <w:r>
        <w:rPr>
          <w:rFonts w:cs="Arial"/>
          <w:b/>
        </w:rPr>
        <w:t>KHALID CHUDRY</w:t>
      </w:r>
    </w:p>
    <w:p w:rsidR="00DD4868" w:rsidRPr="00585F72" w:rsidRDefault="00DD4868" w:rsidP="00585F72">
      <w:pPr>
        <w:jc w:val="center"/>
        <w:rPr>
          <w:rFonts w:cs="Arial"/>
          <w:u w:val="single"/>
        </w:rPr>
      </w:pPr>
      <w:r>
        <w:rPr>
          <w:rFonts w:cs="Arial"/>
          <w:b/>
        </w:rPr>
        <w:t xml:space="preserve">                                       </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sidRPr="00585F72">
        <w:rPr>
          <w:rFonts w:cs="Arial"/>
        </w:rPr>
        <w:t xml:space="preserve">  </w:t>
      </w:r>
      <w:r w:rsidRPr="00585F72">
        <w:rPr>
          <w:rFonts w:cs="Arial"/>
          <w:u w:val="single"/>
        </w:rPr>
        <w:t xml:space="preserve">Respondent </w:t>
      </w:r>
    </w:p>
    <w:p w:rsidR="00585F72" w:rsidRDefault="00585F72" w:rsidP="002630D9">
      <w:pPr>
        <w:spacing w:line="360" w:lineRule="auto"/>
        <w:rPr>
          <w:rFonts w:cs="Arial"/>
          <w:b/>
          <w:u w:val="single"/>
        </w:rPr>
      </w:pPr>
    </w:p>
    <w:p w:rsidR="003257CA" w:rsidRPr="002630D9" w:rsidRDefault="003257CA" w:rsidP="002630D9">
      <w:pPr>
        <w:spacing w:line="360" w:lineRule="auto"/>
        <w:rPr>
          <w:rFonts w:cs="Arial"/>
        </w:rPr>
      </w:pPr>
      <w:r w:rsidRPr="002630D9">
        <w:rPr>
          <w:rFonts w:cs="Arial"/>
          <w:b/>
          <w:u w:val="single"/>
        </w:rPr>
        <w:t>Representation</w:t>
      </w:r>
      <w:r w:rsidRPr="002630D9">
        <w:rPr>
          <w:rFonts w:cs="Arial"/>
          <w:b/>
        </w:rPr>
        <w:t>:</w:t>
      </w:r>
      <w:r>
        <w:rPr>
          <w:rFonts w:cs="Arial"/>
          <w:b/>
        </w:rPr>
        <w:t xml:space="preserve"> </w:t>
      </w:r>
    </w:p>
    <w:p w:rsidR="005D603D" w:rsidRDefault="003257CA" w:rsidP="00DC30E0">
      <w:pPr>
        <w:tabs>
          <w:tab w:val="left" w:pos="2520"/>
        </w:tabs>
        <w:spacing w:line="360" w:lineRule="auto"/>
        <w:rPr>
          <w:rFonts w:cs="Arial"/>
        </w:rPr>
      </w:pPr>
      <w:r w:rsidRPr="002630D9">
        <w:rPr>
          <w:rFonts w:cs="Arial"/>
        </w:rPr>
        <w:t>For the Appellant:</w:t>
      </w:r>
      <w:r w:rsidRPr="002630D9">
        <w:rPr>
          <w:rFonts w:cs="Arial"/>
        </w:rPr>
        <w:tab/>
      </w:r>
      <w:r>
        <w:rPr>
          <w:rFonts w:cs="Arial"/>
        </w:rPr>
        <w:tab/>
      </w:r>
      <w:r>
        <w:rPr>
          <w:rFonts w:cs="Arial"/>
        </w:rPr>
        <w:tab/>
      </w:r>
      <w:r w:rsidR="005D603D">
        <w:rPr>
          <w:rFonts w:cs="Arial"/>
        </w:rPr>
        <w:t xml:space="preserve"> </w:t>
      </w:r>
      <w:r w:rsidR="00175141">
        <w:rPr>
          <w:rFonts w:cs="Arial"/>
        </w:rPr>
        <w:t xml:space="preserve">Mr. S. </w:t>
      </w:r>
      <w:proofErr w:type="spellStart"/>
      <w:r w:rsidR="00175141">
        <w:rPr>
          <w:rFonts w:cs="Arial"/>
        </w:rPr>
        <w:t>Kotas</w:t>
      </w:r>
      <w:proofErr w:type="spellEnd"/>
      <w:r w:rsidR="00175141">
        <w:rPr>
          <w:rFonts w:cs="Arial"/>
        </w:rPr>
        <w:t>,</w:t>
      </w:r>
      <w:r w:rsidR="005D603D">
        <w:rPr>
          <w:rFonts w:cs="Arial"/>
        </w:rPr>
        <w:t xml:space="preserve"> Home Office Presenting Officer</w:t>
      </w:r>
    </w:p>
    <w:p w:rsidR="005D603D" w:rsidRPr="002630D9" w:rsidRDefault="003257CA" w:rsidP="00DC30E0">
      <w:pPr>
        <w:tabs>
          <w:tab w:val="left" w:pos="2520"/>
        </w:tabs>
        <w:spacing w:line="360" w:lineRule="auto"/>
        <w:rPr>
          <w:rFonts w:cs="Arial"/>
        </w:rPr>
      </w:pPr>
      <w:r w:rsidRPr="002630D9">
        <w:rPr>
          <w:rFonts w:cs="Arial"/>
        </w:rPr>
        <w:t>For the Respondent</w:t>
      </w:r>
      <w:r w:rsidR="005D603D">
        <w:rPr>
          <w:rFonts w:cs="Arial"/>
        </w:rPr>
        <w:t>s</w:t>
      </w:r>
      <w:r w:rsidRPr="002630D9">
        <w:rPr>
          <w:rFonts w:cs="Arial"/>
        </w:rPr>
        <w:t>:</w:t>
      </w:r>
      <w:r w:rsidRPr="002630D9">
        <w:rPr>
          <w:rFonts w:cs="Arial"/>
        </w:rPr>
        <w:tab/>
      </w:r>
      <w:r>
        <w:rPr>
          <w:rFonts w:cs="Arial"/>
        </w:rPr>
        <w:t xml:space="preserve">               </w:t>
      </w:r>
      <w:r w:rsidR="00175141">
        <w:rPr>
          <w:rFonts w:cs="Arial"/>
        </w:rPr>
        <w:t xml:space="preserve">Ms F. Shaw </w:t>
      </w:r>
      <w:r w:rsidR="005D603D">
        <w:rPr>
          <w:rFonts w:cs="Arial"/>
        </w:rPr>
        <w:t xml:space="preserve">of counsel, instructed by </w:t>
      </w:r>
      <w:proofErr w:type="spellStart"/>
      <w:r w:rsidR="00175141">
        <w:rPr>
          <w:rFonts w:cs="Arial"/>
        </w:rPr>
        <w:t>Farani</w:t>
      </w:r>
      <w:proofErr w:type="spellEnd"/>
      <w:r w:rsidR="00175141">
        <w:rPr>
          <w:rFonts w:cs="Arial"/>
        </w:rPr>
        <w:t xml:space="preserve"> Taylor</w:t>
      </w:r>
      <w:r w:rsidR="007B3613">
        <w:rPr>
          <w:rFonts w:cs="Arial"/>
        </w:rPr>
        <w:t xml:space="preserve"> </w:t>
      </w:r>
      <w:r w:rsidR="005D603D">
        <w:rPr>
          <w:rFonts w:cs="Arial"/>
        </w:rPr>
        <w:t>Solicitors</w:t>
      </w:r>
    </w:p>
    <w:p w:rsidR="003257CA" w:rsidRPr="002630D9" w:rsidRDefault="003257CA" w:rsidP="002630D9">
      <w:pPr>
        <w:tabs>
          <w:tab w:val="left" w:pos="2520"/>
        </w:tabs>
        <w:spacing w:line="360" w:lineRule="auto"/>
        <w:rPr>
          <w:rFonts w:cs="Arial"/>
        </w:rPr>
      </w:pPr>
    </w:p>
    <w:p w:rsidR="003257CA" w:rsidRDefault="003257CA" w:rsidP="002630D9">
      <w:pPr>
        <w:spacing w:line="360" w:lineRule="auto"/>
        <w:jc w:val="center"/>
        <w:rPr>
          <w:rFonts w:cs="Arial"/>
          <w:b/>
          <w:u w:val="single"/>
        </w:rPr>
      </w:pPr>
      <w:r w:rsidRPr="002630D9">
        <w:rPr>
          <w:rFonts w:cs="Arial"/>
          <w:b/>
          <w:u w:val="single"/>
        </w:rPr>
        <w:t>DECISION AND REASONS</w:t>
      </w:r>
    </w:p>
    <w:p w:rsidR="003257CA" w:rsidRPr="00303BAF" w:rsidRDefault="003257CA" w:rsidP="002630D9">
      <w:pPr>
        <w:spacing w:line="360" w:lineRule="auto"/>
        <w:jc w:val="both"/>
        <w:rPr>
          <w:rFonts w:cs="Arial"/>
          <w:b/>
        </w:rPr>
      </w:pPr>
      <w:r>
        <w:rPr>
          <w:rFonts w:cs="Arial"/>
          <w:b/>
        </w:rPr>
        <w:t xml:space="preserve">                                                                                                                                                                                                                                                                                                                                                                                                                                                            </w:t>
      </w:r>
    </w:p>
    <w:p w:rsidR="003257CA" w:rsidRDefault="003257CA" w:rsidP="002630D9">
      <w:pPr>
        <w:spacing w:line="360" w:lineRule="auto"/>
        <w:jc w:val="both"/>
        <w:rPr>
          <w:rFonts w:cs="Arial"/>
          <w:b/>
        </w:rPr>
      </w:pPr>
      <w:r w:rsidRPr="009D341B">
        <w:rPr>
          <w:rFonts w:cs="Arial"/>
          <w:b/>
        </w:rPr>
        <w:t xml:space="preserve">BACKGROUND TO THE APPEAL </w:t>
      </w:r>
    </w:p>
    <w:p w:rsidR="00D56507" w:rsidRDefault="00D56507" w:rsidP="002630D9">
      <w:pPr>
        <w:spacing w:line="360" w:lineRule="auto"/>
        <w:jc w:val="both"/>
        <w:rPr>
          <w:rFonts w:cs="Arial"/>
          <w:b/>
        </w:rPr>
      </w:pPr>
    </w:p>
    <w:p w:rsidR="003257CA" w:rsidRDefault="003257CA" w:rsidP="002630D9">
      <w:pPr>
        <w:spacing w:line="360" w:lineRule="auto"/>
        <w:ind w:left="567" w:hanging="567"/>
        <w:jc w:val="both"/>
        <w:rPr>
          <w:rFonts w:cs="Arial"/>
        </w:rPr>
      </w:pPr>
      <w:r w:rsidRPr="002630D9">
        <w:rPr>
          <w:rFonts w:cs="Arial"/>
        </w:rPr>
        <w:t>1.</w:t>
      </w:r>
      <w:r w:rsidRPr="002630D9">
        <w:rPr>
          <w:rFonts w:cs="Arial"/>
        </w:rPr>
        <w:tab/>
        <w:t xml:space="preserve">The </w:t>
      </w:r>
      <w:r w:rsidR="006B2C82">
        <w:rPr>
          <w:rFonts w:cs="Arial"/>
        </w:rPr>
        <w:t>Respondent</w:t>
      </w:r>
      <w:r w:rsidR="008130CE">
        <w:rPr>
          <w:rFonts w:cs="Arial"/>
        </w:rPr>
        <w:t xml:space="preserve"> </w:t>
      </w:r>
      <w:r w:rsidR="007B3613">
        <w:rPr>
          <w:rFonts w:cs="Arial"/>
        </w:rPr>
        <w:t>is a national of Pakistan. It is his case that he entered the United Kingdom in May 1993 and applied for asylum on 4 May 1993. His application was refused on 6 December 1993 but he did not appeal against this decision. He applied for indefinite leave to remain 14 November 2008 and on 30 November 2012 he was granted leave to remain on family and private life grounds until 29 May 2015.</w:t>
      </w:r>
      <w:r>
        <w:rPr>
          <w:rFonts w:cs="Arial"/>
        </w:rPr>
        <w:t xml:space="preserve"> </w:t>
      </w:r>
    </w:p>
    <w:p w:rsidR="003257CA" w:rsidRDefault="003257CA" w:rsidP="002630D9">
      <w:pPr>
        <w:spacing w:line="360" w:lineRule="auto"/>
        <w:ind w:left="567" w:hanging="567"/>
        <w:jc w:val="both"/>
        <w:rPr>
          <w:rFonts w:cs="Arial"/>
        </w:rPr>
      </w:pPr>
    </w:p>
    <w:p w:rsidR="003257CA" w:rsidRDefault="003257CA" w:rsidP="002630D9">
      <w:pPr>
        <w:spacing w:line="360" w:lineRule="auto"/>
        <w:ind w:left="567" w:hanging="567"/>
        <w:jc w:val="both"/>
        <w:rPr>
          <w:rFonts w:cs="Arial"/>
        </w:rPr>
      </w:pPr>
      <w:r>
        <w:rPr>
          <w:rFonts w:cs="Arial"/>
        </w:rPr>
        <w:t>2.</w:t>
      </w:r>
      <w:r>
        <w:rPr>
          <w:rFonts w:cs="Arial"/>
        </w:rPr>
        <w:tab/>
      </w:r>
      <w:r w:rsidR="007B3613">
        <w:rPr>
          <w:rFonts w:cs="Arial"/>
        </w:rPr>
        <w:t xml:space="preserve">On 28 February 2017 the Appellant was convicted </w:t>
      </w:r>
      <w:r w:rsidR="00E63C44">
        <w:rPr>
          <w:rFonts w:cs="Arial"/>
        </w:rPr>
        <w:t xml:space="preserve">of </w:t>
      </w:r>
      <w:r w:rsidR="0089553D">
        <w:rPr>
          <w:rFonts w:cs="Arial"/>
        </w:rPr>
        <w:t xml:space="preserve">one count of </w:t>
      </w:r>
      <w:r w:rsidR="00E63C44">
        <w:rPr>
          <w:rFonts w:cs="Arial"/>
        </w:rPr>
        <w:t xml:space="preserve">carrying on the business of a company with intent to defraud creditors or for other fraudulent purposes. He was also convicted on 14 counts of making false representations to make gain for self or another or cause loss to other/expose other to loss. He was then </w:t>
      </w:r>
      <w:r w:rsidR="007B3613">
        <w:rPr>
          <w:rFonts w:cs="Arial"/>
        </w:rPr>
        <w:t>served with a decision to deport on 13 March 2017.</w:t>
      </w:r>
      <w:r w:rsidR="008130CE">
        <w:rPr>
          <w:rFonts w:cs="Arial"/>
        </w:rPr>
        <w:t xml:space="preserve"> </w:t>
      </w:r>
    </w:p>
    <w:p w:rsidR="003257CA" w:rsidRDefault="003257CA" w:rsidP="002630D9">
      <w:pPr>
        <w:spacing w:line="360" w:lineRule="auto"/>
        <w:ind w:left="567" w:hanging="567"/>
        <w:jc w:val="both"/>
        <w:rPr>
          <w:rFonts w:cs="Arial"/>
        </w:rPr>
      </w:pPr>
    </w:p>
    <w:p w:rsidR="003257CA" w:rsidRDefault="003257CA" w:rsidP="002630D9">
      <w:pPr>
        <w:spacing w:line="360" w:lineRule="auto"/>
        <w:ind w:left="567" w:hanging="567"/>
        <w:jc w:val="both"/>
        <w:rPr>
          <w:rFonts w:cs="Arial"/>
        </w:rPr>
      </w:pPr>
      <w:r>
        <w:rPr>
          <w:rFonts w:cs="Arial"/>
        </w:rPr>
        <w:t>3.</w:t>
      </w:r>
      <w:r>
        <w:rPr>
          <w:rFonts w:cs="Arial"/>
        </w:rPr>
        <w:tab/>
      </w:r>
      <w:r w:rsidR="00E63C44">
        <w:rPr>
          <w:rFonts w:cs="Arial"/>
        </w:rPr>
        <w:t>On 22 January 2018 he was served with a deportation order and a decision that his deportation would not breach his Article 8 rights. He appealed and</w:t>
      </w:r>
      <w:r w:rsidR="0089553D">
        <w:rPr>
          <w:rFonts w:cs="Arial"/>
        </w:rPr>
        <w:t>,</w:t>
      </w:r>
      <w:r w:rsidR="00E63C44">
        <w:rPr>
          <w:rFonts w:cs="Arial"/>
        </w:rPr>
        <w:t xml:space="preserve"> i</w:t>
      </w:r>
      <w:r w:rsidR="008130CE">
        <w:rPr>
          <w:rFonts w:cs="Arial"/>
        </w:rPr>
        <w:t xml:space="preserve">n a decision promulgated on </w:t>
      </w:r>
      <w:r w:rsidR="00E63C44">
        <w:rPr>
          <w:rFonts w:cs="Arial"/>
        </w:rPr>
        <w:t>8 May 2018</w:t>
      </w:r>
      <w:r w:rsidR="008130CE">
        <w:rPr>
          <w:rFonts w:cs="Arial"/>
        </w:rPr>
        <w:t xml:space="preserve">, First-tier Tribunal Judge Hussain </w:t>
      </w:r>
      <w:r w:rsidR="00E63C44">
        <w:rPr>
          <w:rFonts w:cs="Arial"/>
        </w:rPr>
        <w:t xml:space="preserve">Raikes </w:t>
      </w:r>
      <w:r w:rsidR="008130CE">
        <w:rPr>
          <w:rFonts w:cs="Arial"/>
        </w:rPr>
        <w:t xml:space="preserve">allowed </w:t>
      </w:r>
      <w:r w:rsidR="00E63C44">
        <w:rPr>
          <w:rFonts w:cs="Arial"/>
        </w:rPr>
        <w:t xml:space="preserve">his </w:t>
      </w:r>
      <w:r w:rsidR="008130CE">
        <w:rPr>
          <w:rFonts w:cs="Arial"/>
        </w:rPr>
        <w:t xml:space="preserve">appeal. The </w:t>
      </w:r>
      <w:r w:rsidR="006B2C82">
        <w:rPr>
          <w:rFonts w:cs="Arial"/>
        </w:rPr>
        <w:t>Appellant</w:t>
      </w:r>
      <w:r w:rsidR="008130CE">
        <w:rPr>
          <w:rFonts w:cs="Arial"/>
        </w:rPr>
        <w:t xml:space="preserve"> </w:t>
      </w:r>
      <w:r w:rsidR="00E63C44">
        <w:rPr>
          <w:rFonts w:cs="Arial"/>
        </w:rPr>
        <w:t xml:space="preserve">sought permission to </w:t>
      </w:r>
      <w:r w:rsidR="008130CE">
        <w:rPr>
          <w:rFonts w:cs="Arial"/>
        </w:rPr>
        <w:t xml:space="preserve">appeal on </w:t>
      </w:r>
      <w:r w:rsidR="00E63C44">
        <w:rPr>
          <w:rFonts w:cs="Arial"/>
        </w:rPr>
        <w:t>17 May</w:t>
      </w:r>
      <w:r w:rsidR="008130CE">
        <w:rPr>
          <w:rFonts w:cs="Arial"/>
        </w:rPr>
        <w:t xml:space="preserve"> 201</w:t>
      </w:r>
      <w:r w:rsidR="00E63C44">
        <w:rPr>
          <w:rFonts w:cs="Arial"/>
        </w:rPr>
        <w:t>8</w:t>
      </w:r>
      <w:r w:rsidR="008130CE">
        <w:rPr>
          <w:rFonts w:cs="Arial"/>
        </w:rPr>
        <w:t xml:space="preserve"> and First-tier Tribunal Judge </w:t>
      </w:r>
      <w:r w:rsidR="00E63C44">
        <w:rPr>
          <w:rFonts w:cs="Arial"/>
        </w:rPr>
        <w:t>Woodcraft</w:t>
      </w:r>
      <w:r w:rsidR="008130CE">
        <w:rPr>
          <w:rFonts w:cs="Arial"/>
        </w:rPr>
        <w:t xml:space="preserve"> granted h</w:t>
      </w:r>
      <w:r w:rsidR="00E63C44">
        <w:rPr>
          <w:rFonts w:cs="Arial"/>
        </w:rPr>
        <w:t>im</w:t>
      </w:r>
      <w:r w:rsidR="008130CE">
        <w:rPr>
          <w:rFonts w:cs="Arial"/>
        </w:rPr>
        <w:t xml:space="preserve"> permission to appeal on </w:t>
      </w:r>
      <w:r w:rsidR="00E63C44">
        <w:rPr>
          <w:rFonts w:cs="Arial"/>
        </w:rPr>
        <w:t>30 May 2018</w:t>
      </w:r>
      <w:r w:rsidR="008130CE">
        <w:rPr>
          <w:rFonts w:cs="Arial"/>
        </w:rPr>
        <w:t xml:space="preserve">. </w:t>
      </w:r>
    </w:p>
    <w:p w:rsidR="003257CA" w:rsidRDefault="003257CA" w:rsidP="002630D9">
      <w:pPr>
        <w:spacing w:line="360" w:lineRule="auto"/>
        <w:ind w:left="567" w:hanging="567"/>
        <w:jc w:val="both"/>
        <w:rPr>
          <w:rFonts w:cs="Arial"/>
        </w:rPr>
      </w:pPr>
      <w:r>
        <w:rPr>
          <w:rFonts w:cs="Arial"/>
        </w:rPr>
        <w:t xml:space="preserve">                                                                                                                                                                                                                                                                                 </w:t>
      </w:r>
    </w:p>
    <w:p w:rsidR="003257CA" w:rsidRPr="009D341B" w:rsidRDefault="003257CA" w:rsidP="002630D9">
      <w:pPr>
        <w:spacing w:line="360" w:lineRule="auto"/>
        <w:ind w:left="567" w:hanging="567"/>
        <w:jc w:val="both"/>
        <w:rPr>
          <w:rFonts w:cs="Arial"/>
          <w:b/>
        </w:rPr>
      </w:pPr>
      <w:r w:rsidRPr="009D341B">
        <w:rPr>
          <w:rFonts w:cs="Arial"/>
          <w:b/>
        </w:rPr>
        <w:t xml:space="preserve">ERROR OF LAW HEARING </w:t>
      </w:r>
    </w:p>
    <w:p w:rsidR="003257CA" w:rsidRDefault="003257CA" w:rsidP="002630D9">
      <w:pPr>
        <w:spacing w:line="360" w:lineRule="auto"/>
        <w:ind w:left="567" w:hanging="567"/>
        <w:jc w:val="both"/>
        <w:rPr>
          <w:rFonts w:cs="Arial"/>
        </w:rPr>
      </w:pPr>
    </w:p>
    <w:p w:rsidR="003257CA" w:rsidRDefault="00DD4868" w:rsidP="002630D9">
      <w:pPr>
        <w:spacing w:line="360" w:lineRule="auto"/>
        <w:ind w:left="567" w:hanging="567"/>
        <w:jc w:val="both"/>
        <w:rPr>
          <w:rFonts w:cs="Arial"/>
        </w:rPr>
      </w:pPr>
      <w:r>
        <w:rPr>
          <w:rFonts w:cs="Arial"/>
        </w:rPr>
        <w:t>4</w:t>
      </w:r>
      <w:r w:rsidR="003257CA">
        <w:rPr>
          <w:rFonts w:cs="Arial"/>
        </w:rPr>
        <w:t>.</w:t>
      </w:r>
      <w:r w:rsidR="003257CA">
        <w:rPr>
          <w:rFonts w:cs="Arial"/>
        </w:rPr>
        <w:tab/>
      </w:r>
      <w:r w:rsidR="00845B37">
        <w:rPr>
          <w:rFonts w:cs="Arial"/>
        </w:rPr>
        <w:t xml:space="preserve">Counsel for the Respondent relied on a skeleton argument which outlined </w:t>
      </w:r>
      <w:r w:rsidR="00736820">
        <w:rPr>
          <w:rFonts w:cs="Arial"/>
        </w:rPr>
        <w:t>generic case law relating to deportation cases as it was written without the benefit of seeing the Respondent’s Bundle</w:t>
      </w:r>
      <w:r w:rsidR="00EB4A6D">
        <w:rPr>
          <w:rFonts w:cs="Arial"/>
        </w:rPr>
        <w:t>,</w:t>
      </w:r>
      <w:r w:rsidR="00736820">
        <w:rPr>
          <w:rFonts w:cs="Arial"/>
        </w:rPr>
        <w:t xml:space="preserve"> the grounds of appeal and the basis upon which permission to appeal was granted. I put her case back in the list so that she could read and consider these documents. </w:t>
      </w:r>
      <w:r w:rsidR="003257CA">
        <w:rPr>
          <w:rFonts w:cs="Arial"/>
        </w:rPr>
        <w:t xml:space="preserve">Both </w:t>
      </w:r>
      <w:r>
        <w:rPr>
          <w:rFonts w:cs="Arial"/>
        </w:rPr>
        <w:t xml:space="preserve">the Home Office Presenting Office and </w:t>
      </w:r>
      <w:r w:rsidR="003257CA">
        <w:rPr>
          <w:rFonts w:cs="Arial"/>
        </w:rPr>
        <w:t xml:space="preserve">counsel for the </w:t>
      </w:r>
      <w:r w:rsidR="006B2C82">
        <w:rPr>
          <w:rFonts w:cs="Arial"/>
        </w:rPr>
        <w:t>Respondent</w:t>
      </w:r>
      <w:r w:rsidR="003257CA">
        <w:rPr>
          <w:rFonts w:cs="Arial"/>
        </w:rPr>
        <w:t xml:space="preserve"> </w:t>
      </w:r>
      <w:r w:rsidR="00EB4A6D">
        <w:rPr>
          <w:rFonts w:cs="Arial"/>
        </w:rPr>
        <w:t xml:space="preserve">subsequently </w:t>
      </w:r>
      <w:r w:rsidR="003257CA">
        <w:rPr>
          <w:rFonts w:cs="Arial"/>
        </w:rPr>
        <w:t xml:space="preserve">made oral submissions and I have referred to the content of these submissions, where relevant, in my decision below.   </w:t>
      </w:r>
    </w:p>
    <w:p w:rsidR="003257CA" w:rsidRDefault="003257CA" w:rsidP="00590558">
      <w:pPr>
        <w:spacing w:line="360" w:lineRule="auto"/>
        <w:ind w:left="567" w:hanging="567"/>
        <w:jc w:val="both"/>
        <w:rPr>
          <w:rFonts w:cs="Arial"/>
          <w:b/>
        </w:rPr>
      </w:pPr>
    </w:p>
    <w:p w:rsidR="003257CA" w:rsidRDefault="003257CA" w:rsidP="00590558">
      <w:pPr>
        <w:spacing w:line="360" w:lineRule="auto"/>
        <w:ind w:left="567" w:hanging="567"/>
        <w:jc w:val="both"/>
        <w:rPr>
          <w:rFonts w:cs="Arial"/>
          <w:b/>
        </w:rPr>
      </w:pPr>
      <w:r>
        <w:rPr>
          <w:rFonts w:cs="Arial"/>
          <w:b/>
        </w:rPr>
        <w:t xml:space="preserve">ERROR OF LAW </w:t>
      </w:r>
      <w:r w:rsidRPr="009D341B">
        <w:rPr>
          <w:rFonts w:cs="Arial"/>
          <w:b/>
        </w:rPr>
        <w:t xml:space="preserve">DECISION </w:t>
      </w:r>
    </w:p>
    <w:p w:rsidR="003257CA" w:rsidRPr="00590558" w:rsidRDefault="003257CA" w:rsidP="00590558">
      <w:pPr>
        <w:spacing w:line="360" w:lineRule="auto"/>
        <w:ind w:left="567" w:hanging="567"/>
        <w:jc w:val="both"/>
        <w:rPr>
          <w:rFonts w:cs="Arial"/>
          <w:b/>
        </w:rPr>
      </w:pPr>
    </w:p>
    <w:p w:rsidR="005D603D" w:rsidRDefault="006B2C82" w:rsidP="002D56FD">
      <w:pPr>
        <w:spacing w:line="360" w:lineRule="auto"/>
        <w:ind w:left="567" w:hanging="567"/>
        <w:jc w:val="both"/>
        <w:rPr>
          <w:rFonts w:cs="Arial"/>
        </w:rPr>
      </w:pPr>
      <w:r>
        <w:rPr>
          <w:rFonts w:cs="Arial"/>
        </w:rPr>
        <w:t>5.</w:t>
      </w:r>
      <w:r>
        <w:rPr>
          <w:rFonts w:cs="Arial"/>
        </w:rPr>
        <w:tab/>
        <w:t xml:space="preserve">The Respondent was </w:t>
      </w:r>
      <w:r w:rsidR="0089553D">
        <w:rPr>
          <w:rFonts w:cs="Arial"/>
        </w:rPr>
        <w:t>sentenced to 32 months imprisonment and, therefore, he was subject to automatic deportation under section 32 of the UK Borders Act 2007.</w:t>
      </w:r>
      <w:r>
        <w:rPr>
          <w:rFonts w:cs="Arial"/>
        </w:rPr>
        <w:t xml:space="preserve"> </w:t>
      </w:r>
    </w:p>
    <w:p w:rsidR="005D603D" w:rsidRDefault="005D603D" w:rsidP="00DC30E0">
      <w:pPr>
        <w:ind w:left="567" w:hanging="567"/>
        <w:jc w:val="both"/>
        <w:rPr>
          <w:rFonts w:cs="Arial"/>
        </w:rPr>
      </w:pPr>
    </w:p>
    <w:p w:rsidR="002D56FD" w:rsidRDefault="005D603D" w:rsidP="002D56FD">
      <w:pPr>
        <w:spacing w:line="360" w:lineRule="auto"/>
        <w:ind w:left="567" w:hanging="567"/>
        <w:jc w:val="both"/>
        <w:rPr>
          <w:rFonts w:cs="Arial"/>
        </w:rPr>
      </w:pPr>
      <w:r>
        <w:rPr>
          <w:rFonts w:cs="Arial"/>
        </w:rPr>
        <w:t>6.</w:t>
      </w:r>
      <w:r>
        <w:rPr>
          <w:rFonts w:cs="Arial"/>
        </w:rPr>
        <w:tab/>
      </w:r>
      <w:r w:rsidR="0089553D">
        <w:rPr>
          <w:rFonts w:cs="Arial"/>
        </w:rPr>
        <w:t>Paragraph 398 of the Immigration Rules states that:</w:t>
      </w:r>
    </w:p>
    <w:p w:rsidR="0089553D" w:rsidRDefault="0089553D" w:rsidP="00530B1F">
      <w:pPr>
        <w:spacing w:before="120" w:after="120" w:line="360" w:lineRule="auto"/>
        <w:ind w:left="567" w:hanging="567"/>
        <w:jc w:val="both"/>
        <w:rPr>
          <w:rFonts w:cs="Arial"/>
        </w:rPr>
      </w:pPr>
      <w:r>
        <w:rPr>
          <w:rFonts w:cs="Arial"/>
        </w:rPr>
        <w:tab/>
        <w:t>“Where a person claims that their deportation would be contrary to the UK’s obligations under Article 8 of the Human Rights Convention, and</w:t>
      </w:r>
    </w:p>
    <w:p w:rsidR="0089553D" w:rsidRDefault="0089553D" w:rsidP="00530B1F">
      <w:pPr>
        <w:spacing w:before="120" w:after="120" w:line="360" w:lineRule="auto"/>
        <w:ind w:left="567" w:hanging="567"/>
        <w:jc w:val="both"/>
        <w:rPr>
          <w:rFonts w:cs="Arial"/>
        </w:rPr>
      </w:pPr>
      <w:r>
        <w:rPr>
          <w:rFonts w:cs="Arial"/>
        </w:rPr>
        <w:tab/>
        <w:t>(b) the deportation of the person from the UK is conducive to the public good and in the public interest because they have been convicted of an offence for which they have been sentenced to a period of imprisonment of less than 4 years but at least 18 months”.</w:t>
      </w:r>
    </w:p>
    <w:p w:rsidR="00DC30E0" w:rsidRDefault="00DC30E0" w:rsidP="002D56FD">
      <w:pPr>
        <w:spacing w:line="360" w:lineRule="auto"/>
        <w:ind w:left="567" w:hanging="567"/>
        <w:jc w:val="both"/>
        <w:rPr>
          <w:rFonts w:cs="Arial"/>
        </w:rPr>
      </w:pPr>
    </w:p>
    <w:p w:rsidR="00DC30E0" w:rsidRDefault="00DC30E0" w:rsidP="002D56FD">
      <w:pPr>
        <w:spacing w:line="360" w:lineRule="auto"/>
        <w:ind w:left="567" w:hanging="567"/>
        <w:jc w:val="both"/>
        <w:rPr>
          <w:rFonts w:cs="Arial"/>
        </w:rPr>
      </w:pPr>
    </w:p>
    <w:p w:rsidR="0089553D" w:rsidRDefault="0089553D" w:rsidP="002D56FD">
      <w:pPr>
        <w:spacing w:line="360" w:lineRule="auto"/>
        <w:ind w:left="567" w:hanging="567"/>
        <w:jc w:val="both"/>
        <w:rPr>
          <w:rFonts w:cs="Arial"/>
        </w:rPr>
      </w:pPr>
      <w:r>
        <w:rPr>
          <w:rFonts w:cs="Arial"/>
        </w:rPr>
        <w:t>7.</w:t>
      </w:r>
      <w:r>
        <w:rPr>
          <w:rFonts w:cs="Arial"/>
        </w:rPr>
        <w:tab/>
        <w:t>Paragraph 399 of the Immigration Rules states that:</w:t>
      </w:r>
    </w:p>
    <w:p w:rsidR="0089553D" w:rsidRDefault="0089553D" w:rsidP="00530B1F">
      <w:pPr>
        <w:spacing w:before="120" w:after="120" w:line="360" w:lineRule="auto"/>
        <w:ind w:left="567" w:hanging="567"/>
        <w:jc w:val="both"/>
        <w:rPr>
          <w:rFonts w:cs="Arial"/>
        </w:rPr>
      </w:pPr>
      <w:r>
        <w:rPr>
          <w:rFonts w:cs="Arial"/>
        </w:rPr>
        <w:tab/>
        <w:t>“This paragraph applies where paragraph 398(b)…applies if-</w:t>
      </w:r>
    </w:p>
    <w:p w:rsidR="0089553D" w:rsidRDefault="0089553D" w:rsidP="00530B1F">
      <w:pPr>
        <w:spacing w:before="120" w:after="120" w:line="360" w:lineRule="auto"/>
        <w:ind w:left="567" w:hanging="567"/>
        <w:jc w:val="both"/>
        <w:rPr>
          <w:rFonts w:cs="Arial"/>
        </w:rPr>
      </w:pPr>
      <w:r>
        <w:rPr>
          <w:rFonts w:cs="Arial"/>
        </w:rPr>
        <w:tab/>
        <w:t>(a) the person has a genuine and subsisting parental relationship with a child under the age of 18 who is in the UK, and</w:t>
      </w:r>
    </w:p>
    <w:p w:rsidR="0089553D" w:rsidRDefault="0089553D" w:rsidP="00530B1F">
      <w:pPr>
        <w:spacing w:before="120" w:after="120" w:line="360" w:lineRule="auto"/>
        <w:ind w:left="567" w:hanging="567"/>
        <w:jc w:val="both"/>
        <w:rPr>
          <w:rFonts w:cs="Arial"/>
        </w:rPr>
      </w:pPr>
      <w:r>
        <w:rPr>
          <w:rFonts w:cs="Arial"/>
        </w:rPr>
        <w:tab/>
        <w:t>(</w:t>
      </w:r>
      <w:proofErr w:type="spellStart"/>
      <w:r>
        <w:rPr>
          <w:rFonts w:cs="Arial"/>
        </w:rPr>
        <w:t>i</w:t>
      </w:r>
      <w:proofErr w:type="spellEnd"/>
      <w:r>
        <w:rPr>
          <w:rFonts w:cs="Arial"/>
        </w:rPr>
        <w:t xml:space="preserve">) </w:t>
      </w:r>
      <w:r>
        <w:rPr>
          <w:rFonts w:cs="Arial"/>
        </w:rPr>
        <w:tab/>
        <w:t>the child is a British citizen; or</w:t>
      </w:r>
    </w:p>
    <w:p w:rsidR="0089553D" w:rsidRDefault="0089553D" w:rsidP="00530B1F">
      <w:pPr>
        <w:spacing w:before="120" w:after="120" w:line="360" w:lineRule="auto"/>
        <w:ind w:left="567" w:hanging="567"/>
        <w:jc w:val="both"/>
        <w:rPr>
          <w:rFonts w:cs="Arial"/>
        </w:rPr>
      </w:pPr>
      <w:r>
        <w:rPr>
          <w:rFonts w:cs="Arial"/>
        </w:rPr>
        <w:tab/>
        <w:t>(ii)</w:t>
      </w:r>
      <w:r>
        <w:rPr>
          <w:rFonts w:cs="Arial"/>
        </w:rPr>
        <w:tab/>
        <w:t>the child has lived in the UK continuously for at least 7 years immediately preceding the date of the immigration decision; and in either case</w:t>
      </w:r>
    </w:p>
    <w:p w:rsidR="0089553D" w:rsidRDefault="0089553D" w:rsidP="00530B1F">
      <w:pPr>
        <w:spacing w:before="120" w:after="120" w:line="360" w:lineRule="auto"/>
        <w:ind w:left="567" w:hanging="567"/>
        <w:jc w:val="both"/>
        <w:rPr>
          <w:rFonts w:cs="Arial"/>
        </w:rPr>
      </w:pPr>
      <w:r>
        <w:rPr>
          <w:rFonts w:cs="Arial"/>
        </w:rPr>
        <w:tab/>
      </w:r>
      <w:r>
        <w:rPr>
          <w:rFonts w:cs="Arial"/>
        </w:rPr>
        <w:tab/>
        <w:t>(a)</w:t>
      </w:r>
      <w:r>
        <w:rPr>
          <w:rFonts w:cs="Arial"/>
        </w:rPr>
        <w:tab/>
        <w:t xml:space="preserve">it would be unduly harsh for the child to remain in the UK without the person who </w:t>
      </w:r>
      <w:r w:rsidR="00DE5000">
        <w:rPr>
          <w:rFonts w:cs="Arial"/>
        </w:rPr>
        <w:tab/>
      </w:r>
      <w:r w:rsidR="00DE5000">
        <w:rPr>
          <w:rFonts w:cs="Arial"/>
        </w:rPr>
        <w:tab/>
      </w:r>
      <w:r>
        <w:rPr>
          <w:rFonts w:cs="Arial"/>
        </w:rPr>
        <w:t>is to be deported</w:t>
      </w:r>
      <w:r w:rsidR="00DE5000">
        <w:rPr>
          <w:rFonts w:cs="Arial"/>
        </w:rPr>
        <w:t>; or</w:t>
      </w:r>
    </w:p>
    <w:p w:rsidR="00DE5000" w:rsidRDefault="00DE5000" w:rsidP="00530B1F">
      <w:pPr>
        <w:spacing w:before="120" w:after="120" w:line="360" w:lineRule="auto"/>
        <w:ind w:left="567" w:hanging="567"/>
        <w:jc w:val="both"/>
        <w:rPr>
          <w:rFonts w:cs="Arial"/>
        </w:rPr>
      </w:pPr>
      <w:r>
        <w:rPr>
          <w:rFonts w:cs="Arial"/>
        </w:rPr>
        <w:tab/>
      </w:r>
      <w:r>
        <w:rPr>
          <w:rFonts w:cs="Arial"/>
        </w:rPr>
        <w:tab/>
        <w:t>(b)</w:t>
      </w:r>
      <w:r>
        <w:rPr>
          <w:rFonts w:cs="Arial"/>
        </w:rPr>
        <w:tab/>
        <w:t xml:space="preserve">it would be unduly harsh for the child to remain in the UK without the person who </w:t>
      </w:r>
      <w:r>
        <w:rPr>
          <w:rFonts w:cs="Arial"/>
        </w:rPr>
        <w:tab/>
      </w:r>
      <w:r>
        <w:rPr>
          <w:rFonts w:cs="Arial"/>
        </w:rPr>
        <w:tab/>
        <w:t>is to be deported…”</w:t>
      </w:r>
    </w:p>
    <w:p w:rsidR="00DE5000" w:rsidRDefault="00DE5000" w:rsidP="002D56FD">
      <w:pPr>
        <w:spacing w:line="360" w:lineRule="auto"/>
        <w:ind w:left="567" w:hanging="567"/>
        <w:jc w:val="both"/>
        <w:rPr>
          <w:rFonts w:cs="Arial"/>
        </w:rPr>
      </w:pPr>
      <w:r>
        <w:rPr>
          <w:rFonts w:cs="Arial"/>
        </w:rPr>
        <w:t>8.</w:t>
      </w:r>
      <w:r>
        <w:rPr>
          <w:rFonts w:cs="Arial"/>
        </w:rPr>
        <w:tab/>
        <w:t>Section 117C of the Nationality, Immigration and Asylum Act 2002 states that:</w:t>
      </w:r>
    </w:p>
    <w:p w:rsidR="00DE5000" w:rsidRDefault="00DE5000" w:rsidP="00530B1F">
      <w:pPr>
        <w:spacing w:before="120" w:after="120" w:line="360" w:lineRule="auto"/>
        <w:ind w:left="567" w:hanging="567"/>
        <w:jc w:val="both"/>
        <w:rPr>
          <w:rFonts w:cs="Arial"/>
        </w:rPr>
      </w:pPr>
      <w:r>
        <w:rPr>
          <w:rFonts w:cs="Arial"/>
        </w:rPr>
        <w:tab/>
        <w:t>(1)</w:t>
      </w:r>
      <w:r>
        <w:rPr>
          <w:rFonts w:cs="Arial"/>
        </w:rPr>
        <w:tab/>
        <w:t>The deportation of foreign criminals is in the public interest.</w:t>
      </w:r>
    </w:p>
    <w:p w:rsidR="00DE5000" w:rsidRDefault="00DE5000" w:rsidP="00530B1F">
      <w:pPr>
        <w:spacing w:before="120" w:after="120" w:line="360" w:lineRule="auto"/>
        <w:ind w:left="567" w:hanging="567"/>
        <w:jc w:val="both"/>
        <w:rPr>
          <w:rFonts w:cs="Arial"/>
        </w:rPr>
      </w:pPr>
      <w:r>
        <w:rPr>
          <w:rFonts w:cs="Arial"/>
        </w:rPr>
        <w:tab/>
        <w:t>(2)</w:t>
      </w:r>
      <w:r>
        <w:rPr>
          <w:rFonts w:cs="Arial"/>
        </w:rPr>
        <w:tab/>
        <w:t xml:space="preserve">The more serious the offence committed by a foreign criminal, the greater is the public </w:t>
      </w:r>
      <w:r>
        <w:rPr>
          <w:rFonts w:cs="Arial"/>
        </w:rPr>
        <w:tab/>
        <w:t>interest in deportation of the criminal.</w:t>
      </w:r>
    </w:p>
    <w:p w:rsidR="00DE5000" w:rsidRDefault="00DE5000" w:rsidP="00530B1F">
      <w:pPr>
        <w:spacing w:before="120" w:after="120" w:line="360" w:lineRule="auto"/>
        <w:ind w:left="567" w:hanging="567"/>
        <w:jc w:val="both"/>
        <w:rPr>
          <w:rFonts w:cs="Arial"/>
        </w:rPr>
      </w:pPr>
      <w:r>
        <w:rPr>
          <w:rFonts w:cs="Arial"/>
        </w:rPr>
        <w:tab/>
        <w:t>(3)</w:t>
      </w:r>
      <w:r>
        <w:rPr>
          <w:rFonts w:cs="Arial"/>
        </w:rPr>
        <w:tab/>
        <w:t xml:space="preserve">In the case of a foreign criminal (“C”) who has not been sentenced to a period of </w:t>
      </w:r>
      <w:r>
        <w:rPr>
          <w:rFonts w:cs="Arial"/>
        </w:rPr>
        <w:tab/>
        <w:t xml:space="preserve">imprisonment of four years or more, the public interest requires C’s deportation unless </w:t>
      </w:r>
      <w:r>
        <w:rPr>
          <w:rFonts w:cs="Arial"/>
        </w:rPr>
        <w:tab/>
        <w:t>Exception 1 or Exception 2 applies.</w:t>
      </w:r>
    </w:p>
    <w:p w:rsidR="00DE5000" w:rsidRDefault="00DE5000" w:rsidP="00530B1F">
      <w:pPr>
        <w:spacing w:before="120" w:after="120" w:line="360" w:lineRule="auto"/>
        <w:ind w:left="567" w:hanging="567"/>
        <w:jc w:val="both"/>
        <w:rPr>
          <w:rFonts w:cs="Arial"/>
        </w:rPr>
      </w:pPr>
      <w:r>
        <w:rPr>
          <w:rFonts w:cs="Arial"/>
        </w:rPr>
        <w:tab/>
        <w:t>…</w:t>
      </w:r>
    </w:p>
    <w:p w:rsidR="00DE5000" w:rsidRDefault="00DE5000" w:rsidP="00530B1F">
      <w:pPr>
        <w:spacing w:before="120" w:after="120" w:line="360" w:lineRule="auto"/>
        <w:ind w:left="567" w:hanging="567"/>
        <w:jc w:val="both"/>
        <w:rPr>
          <w:rFonts w:cs="Arial"/>
        </w:rPr>
      </w:pPr>
      <w:r>
        <w:rPr>
          <w:rFonts w:cs="Arial"/>
        </w:rPr>
        <w:tab/>
        <w:t>(5)</w:t>
      </w:r>
      <w:r>
        <w:rPr>
          <w:rFonts w:cs="Arial"/>
        </w:rPr>
        <w:tab/>
        <w:t xml:space="preserve">Exception 2 applies where C has a genuine and subsisting relationship with a qualifying partner, or a genuine and subsisting parental relationship with a qualifying child, and the effect of C’s deportation </w:t>
      </w:r>
      <w:r w:rsidR="00B23D2D">
        <w:rPr>
          <w:rFonts w:cs="Arial"/>
        </w:rPr>
        <w:t xml:space="preserve">on the partner or the child would be unduly harsh”.                                   </w:t>
      </w:r>
    </w:p>
    <w:p w:rsidR="00B23D2D" w:rsidRDefault="00B23D2D" w:rsidP="002D56FD">
      <w:pPr>
        <w:spacing w:line="360" w:lineRule="auto"/>
        <w:ind w:left="567" w:hanging="567"/>
        <w:jc w:val="both"/>
        <w:rPr>
          <w:rFonts w:cs="Arial"/>
        </w:rPr>
      </w:pPr>
      <w:r>
        <w:rPr>
          <w:rFonts w:cs="Arial"/>
        </w:rPr>
        <w:t>9.</w:t>
      </w:r>
      <w:r>
        <w:rPr>
          <w:rFonts w:cs="Arial"/>
        </w:rPr>
        <w:tab/>
        <w:t xml:space="preserve">First-tier Tribunal Judge Raikes found in paragraph 31 of her decision that it would not be unduly harsh for his partner to remain in the United Kingdom without the </w:t>
      </w:r>
      <w:r w:rsidR="00EB4A6D">
        <w:rPr>
          <w:rFonts w:cs="Arial"/>
        </w:rPr>
        <w:t>Respondent</w:t>
      </w:r>
      <w:r>
        <w:rPr>
          <w:rFonts w:cs="Arial"/>
        </w:rPr>
        <w:t xml:space="preserve"> and that it would also not be unduly harsh for her to move to Pakistan.</w:t>
      </w:r>
      <w:r w:rsidR="00845B37">
        <w:rPr>
          <w:rFonts w:cs="Arial"/>
        </w:rPr>
        <w:t xml:space="preserve"> Counsel for the </w:t>
      </w:r>
      <w:r w:rsidR="00EB4A6D">
        <w:rPr>
          <w:rFonts w:cs="Arial"/>
        </w:rPr>
        <w:t>Respondent</w:t>
      </w:r>
      <w:r w:rsidR="00845B37">
        <w:rPr>
          <w:rFonts w:cs="Arial"/>
        </w:rPr>
        <w:t xml:space="preserve"> did not dispute this finding,</w:t>
      </w:r>
    </w:p>
    <w:p w:rsidR="00B23D2D" w:rsidRDefault="00B23D2D" w:rsidP="002D56FD">
      <w:pPr>
        <w:spacing w:line="360" w:lineRule="auto"/>
        <w:ind w:left="567" w:hanging="567"/>
        <w:jc w:val="both"/>
        <w:rPr>
          <w:rFonts w:cs="Arial"/>
        </w:rPr>
      </w:pPr>
    </w:p>
    <w:p w:rsidR="00B23D2D" w:rsidRDefault="00B23D2D" w:rsidP="002D56FD">
      <w:pPr>
        <w:spacing w:line="360" w:lineRule="auto"/>
        <w:ind w:left="567" w:hanging="567"/>
        <w:jc w:val="both"/>
        <w:rPr>
          <w:rFonts w:cs="Arial"/>
        </w:rPr>
      </w:pPr>
      <w:r>
        <w:rPr>
          <w:rFonts w:cs="Arial"/>
        </w:rPr>
        <w:t>10.</w:t>
      </w:r>
      <w:r>
        <w:rPr>
          <w:rFonts w:cs="Arial"/>
        </w:rPr>
        <w:tab/>
      </w:r>
      <w:r w:rsidR="00EB4A6D">
        <w:rPr>
          <w:rFonts w:cs="Arial"/>
        </w:rPr>
        <w:t xml:space="preserve">The First-tier Tribunal Judge </w:t>
      </w:r>
      <w:r>
        <w:rPr>
          <w:rFonts w:cs="Arial"/>
        </w:rPr>
        <w:t xml:space="preserve">went on to find that Exception 2 applied in relation to </w:t>
      </w:r>
      <w:r w:rsidR="00EB4A6D">
        <w:rPr>
          <w:rFonts w:cs="Arial"/>
        </w:rPr>
        <w:t>the Respondent’s</w:t>
      </w:r>
      <w:r>
        <w:rPr>
          <w:rFonts w:cs="Arial"/>
        </w:rPr>
        <w:t xml:space="preserve"> own child and his </w:t>
      </w:r>
      <w:r w:rsidR="00845B37">
        <w:rPr>
          <w:rFonts w:cs="Arial"/>
        </w:rPr>
        <w:t xml:space="preserve">two </w:t>
      </w:r>
      <w:r>
        <w:rPr>
          <w:rFonts w:cs="Arial"/>
        </w:rPr>
        <w:t xml:space="preserve">step-children. In paragraph 32 she considered the circumstances of his </w:t>
      </w:r>
      <w:r w:rsidR="009324B2">
        <w:rPr>
          <w:rFonts w:cs="Arial"/>
        </w:rPr>
        <w:t xml:space="preserve">oldest step-child. However, </w:t>
      </w:r>
      <w:r w:rsidR="00845B37">
        <w:rPr>
          <w:rFonts w:cs="Arial"/>
        </w:rPr>
        <w:t xml:space="preserve">as the Home Office </w:t>
      </w:r>
      <w:r w:rsidR="00EB4A6D">
        <w:rPr>
          <w:rFonts w:cs="Arial"/>
        </w:rPr>
        <w:t xml:space="preserve">submitted </w:t>
      </w:r>
      <w:r w:rsidR="009324B2">
        <w:rPr>
          <w:rFonts w:cs="Arial"/>
        </w:rPr>
        <w:t xml:space="preserve">when doing so </w:t>
      </w:r>
      <w:r w:rsidR="009324B2">
        <w:rPr>
          <w:rFonts w:cs="Arial"/>
        </w:rPr>
        <w:lastRenderedPageBreak/>
        <w:t xml:space="preserve">she failed to take into account that paragraph 399 </w:t>
      </w:r>
      <w:r w:rsidR="00736820">
        <w:rPr>
          <w:rFonts w:cs="Arial"/>
        </w:rPr>
        <w:t xml:space="preserve">and also section 117D of the Nationality, Immigration and Asylum Act 2002 </w:t>
      </w:r>
      <w:r w:rsidR="009324B2">
        <w:rPr>
          <w:rFonts w:cs="Arial"/>
        </w:rPr>
        <w:t xml:space="preserve">limits </w:t>
      </w:r>
      <w:r w:rsidR="00736820">
        <w:rPr>
          <w:rFonts w:cs="Arial"/>
        </w:rPr>
        <w:t xml:space="preserve">reliance on </w:t>
      </w:r>
      <w:r w:rsidR="009324B2">
        <w:rPr>
          <w:rFonts w:cs="Arial"/>
        </w:rPr>
        <w:t xml:space="preserve">a genuine and subsisting parental relationship with a child </w:t>
      </w:r>
      <w:r w:rsidR="00736820">
        <w:rPr>
          <w:rFonts w:cs="Arial"/>
        </w:rPr>
        <w:t xml:space="preserve">to persons who are still </w:t>
      </w:r>
      <w:r w:rsidR="009324B2">
        <w:rPr>
          <w:rFonts w:cs="Arial"/>
        </w:rPr>
        <w:t>under the age of 18</w:t>
      </w:r>
      <w:r w:rsidR="00736820">
        <w:rPr>
          <w:rFonts w:cs="Arial"/>
        </w:rPr>
        <w:t xml:space="preserve"> and the </w:t>
      </w:r>
      <w:r w:rsidR="00EB4A6D">
        <w:rPr>
          <w:rFonts w:cs="Arial"/>
        </w:rPr>
        <w:t>Respondent</w:t>
      </w:r>
      <w:r w:rsidR="00736820">
        <w:rPr>
          <w:rFonts w:cs="Arial"/>
        </w:rPr>
        <w:t>’s oldest step-child was already 18 at the date of the appeal hearing before the First-tier Tribunal</w:t>
      </w:r>
      <w:r w:rsidR="009324B2">
        <w:rPr>
          <w:rFonts w:cs="Arial"/>
        </w:rPr>
        <w:t xml:space="preserve">. Therefore, </w:t>
      </w:r>
      <w:r w:rsidR="00736820">
        <w:rPr>
          <w:rFonts w:cs="Arial"/>
        </w:rPr>
        <w:t xml:space="preserve">First-tier Tribunal Judge Raikes </w:t>
      </w:r>
      <w:r w:rsidR="009324B2">
        <w:rPr>
          <w:rFonts w:cs="Arial"/>
        </w:rPr>
        <w:t>erred in law in finding that Exception 2 applied to her.</w:t>
      </w:r>
      <w:r w:rsidR="001C4EB3">
        <w:rPr>
          <w:rFonts w:cs="Arial"/>
        </w:rPr>
        <w:t xml:space="preserve"> The fact that she did not fall within the Exception also undermined the First-tier Tribunal Judge’s overall assessment of whether the deportation of the</w:t>
      </w:r>
      <w:r w:rsidR="00EB4A6D">
        <w:rPr>
          <w:rFonts w:cs="Arial"/>
        </w:rPr>
        <w:t xml:space="preserve"> Respondent</w:t>
      </w:r>
      <w:r w:rsidR="001C4EB3">
        <w:rPr>
          <w:rFonts w:cs="Arial"/>
        </w:rPr>
        <w:t xml:space="preserve"> would be unduly harsh on the children as a group. </w:t>
      </w:r>
    </w:p>
    <w:p w:rsidR="000C7E4D" w:rsidRDefault="000C7E4D" w:rsidP="002D56FD">
      <w:pPr>
        <w:spacing w:line="360" w:lineRule="auto"/>
        <w:ind w:left="567" w:hanging="567"/>
        <w:jc w:val="both"/>
        <w:rPr>
          <w:rFonts w:cs="Arial"/>
        </w:rPr>
      </w:pPr>
    </w:p>
    <w:p w:rsidR="00727FFD" w:rsidRDefault="000C7E4D" w:rsidP="00727FFD">
      <w:pPr>
        <w:spacing w:line="360" w:lineRule="auto"/>
        <w:ind w:left="567" w:hanging="567"/>
        <w:jc w:val="both"/>
        <w:rPr>
          <w:rFonts w:cs="Arial"/>
        </w:rPr>
      </w:pPr>
      <w:r>
        <w:rPr>
          <w:rFonts w:cs="Arial"/>
        </w:rPr>
        <w:t>11.</w:t>
      </w:r>
      <w:r>
        <w:rPr>
          <w:rFonts w:cs="Arial"/>
        </w:rPr>
        <w:tab/>
      </w:r>
      <w:r w:rsidR="00727FFD">
        <w:rPr>
          <w:rFonts w:cs="Arial"/>
        </w:rPr>
        <w:t xml:space="preserve">In paragraphs 33 – 37 </w:t>
      </w:r>
      <w:r w:rsidR="001C4EB3">
        <w:rPr>
          <w:rFonts w:cs="Arial"/>
        </w:rPr>
        <w:t xml:space="preserve">First-tier Tribunal Judge Raikes </w:t>
      </w:r>
      <w:r w:rsidR="00727FFD">
        <w:rPr>
          <w:rFonts w:cs="Arial"/>
        </w:rPr>
        <w:t xml:space="preserve">also found that Exception 2 applied to the two younger children. </w:t>
      </w:r>
      <w:r w:rsidR="001C4EB3">
        <w:rPr>
          <w:rFonts w:cs="Arial"/>
        </w:rPr>
        <w:t xml:space="preserve">When doing so she relied on the short report provided by </w:t>
      </w:r>
      <w:proofErr w:type="spellStart"/>
      <w:r w:rsidR="00EB4A6D">
        <w:rPr>
          <w:rFonts w:cs="Arial"/>
        </w:rPr>
        <w:t>D</w:t>
      </w:r>
      <w:r w:rsidR="001C4EB3">
        <w:rPr>
          <w:rFonts w:cs="Arial"/>
        </w:rPr>
        <w:t>r.</w:t>
      </w:r>
      <w:proofErr w:type="spellEnd"/>
      <w:r w:rsidR="001C4EB3">
        <w:rPr>
          <w:rFonts w:cs="Arial"/>
        </w:rPr>
        <w:t xml:space="preserve"> Mohamm</w:t>
      </w:r>
      <w:r w:rsidR="00EB4A6D">
        <w:rPr>
          <w:rFonts w:cs="Arial"/>
        </w:rPr>
        <w:t>ad</w:t>
      </w:r>
      <w:r w:rsidR="001C4EB3">
        <w:rPr>
          <w:rFonts w:cs="Arial"/>
        </w:rPr>
        <w:t xml:space="preserve">, a consultant psychiatrist, who had examined the mother and the children. He noted that </w:t>
      </w:r>
      <w:r w:rsidR="00EB4A6D">
        <w:rPr>
          <w:rFonts w:cs="Arial"/>
        </w:rPr>
        <w:t xml:space="preserve">when </w:t>
      </w:r>
      <w:r>
        <w:rPr>
          <w:rFonts w:cs="Arial"/>
        </w:rPr>
        <w:t xml:space="preserve">the </w:t>
      </w:r>
      <w:r w:rsidR="00EB4A6D">
        <w:rPr>
          <w:rFonts w:cs="Arial"/>
        </w:rPr>
        <w:t xml:space="preserve">Respondent </w:t>
      </w:r>
      <w:r>
        <w:rPr>
          <w:rFonts w:cs="Arial"/>
        </w:rPr>
        <w:t>was sent to prison and was no longer living with the family, the old</w:t>
      </w:r>
      <w:r w:rsidR="001C4EB3">
        <w:rPr>
          <w:rFonts w:cs="Arial"/>
        </w:rPr>
        <w:t>er</w:t>
      </w:r>
      <w:r>
        <w:rPr>
          <w:rFonts w:cs="Arial"/>
        </w:rPr>
        <w:t xml:space="preserve"> son had not been doing very well at school and had stopped playing cricket</w:t>
      </w:r>
      <w:r w:rsidR="00EB4A6D">
        <w:rPr>
          <w:rFonts w:cs="Arial"/>
        </w:rPr>
        <w:t>,</w:t>
      </w:r>
      <w:r>
        <w:rPr>
          <w:rFonts w:cs="Arial"/>
        </w:rPr>
        <w:t xml:space="preserve"> despite having been playing at local championship level. </w:t>
      </w:r>
      <w:r w:rsidR="001C4EB3">
        <w:rPr>
          <w:rFonts w:cs="Arial"/>
        </w:rPr>
        <w:t>He a</w:t>
      </w:r>
      <w:r>
        <w:rPr>
          <w:rFonts w:cs="Arial"/>
        </w:rPr>
        <w:t xml:space="preserve">lso noted the </w:t>
      </w:r>
      <w:r w:rsidR="00EB4A6D">
        <w:rPr>
          <w:rFonts w:cs="Arial"/>
        </w:rPr>
        <w:t>Respondent</w:t>
      </w:r>
      <w:r>
        <w:rPr>
          <w:rFonts w:cs="Arial"/>
        </w:rPr>
        <w:t>’s wife had said that the youngest child was being difficult.</w:t>
      </w:r>
      <w:r w:rsidR="001C4EB3">
        <w:rPr>
          <w:rFonts w:cs="Arial"/>
        </w:rPr>
        <w:t xml:space="preserve"> Counsel for the Respondent referred to this report as an expert report b</w:t>
      </w:r>
      <w:r w:rsidR="00EB4A6D">
        <w:rPr>
          <w:rFonts w:cs="Arial"/>
        </w:rPr>
        <w:t>ut I have noted that Mr. Mohamma</w:t>
      </w:r>
      <w:r w:rsidR="001C4EB3">
        <w:rPr>
          <w:rFonts w:cs="Arial"/>
        </w:rPr>
        <w:t>d had not listed his qualifications or his experience and he had not provided any medical diagnosis or prognosis in relation to the children</w:t>
      </w:r>
    </w:p>
    <w:p w:rsidR="001C4EB3" w:rsidRDefault="001C4EB3" w:rsidP="00727FFD">
      <w:pPr>
        <w:spacing w:line="360" w:lineRule="auto"/>
        <w:ind w:left="567" w:hanging="567"/>
        <w:jc w:val="both"/>
        <w:rPr>
          <w:rFonts w:cs="Arial"/>
        </w:rPr>
      </w:pPr>
    </w:p>
    <w:p w:rsidR="001C4EB3" w:rsidRDefault="001C4EB3" w:rsidP="00727FFD">
      <w:pPr>
        <w:spacing w:line="360" w:lineRule="auto"/>
        <w:ind w:left="567" w:hanging="567"/>
        <w:jc w:val="both"/>
        <w:rPr>
          <w:rFonts w:cs="Arial"/>
        </w:rPr>
      </w:pPr>
      <w:r>
        <w:rPr>
          <w:rFonts w:cs="Arial"/>
        </w:rPr>
        <w:t>12.</w:t>
      </w:r>
      <w:r>
        <w:rPr>
          <w:rFonts w:cs="Arial"/>
        </w:rPr>
        <w:tab/>
        <w:t xml:space="preserve">Counsel for the </w:t>
      </w:r>
      <w:r w:rsidR="00EB4A6D">
        <w:rPr>
          <w:rFonts w:cs="Arial"/>
        </w:rPr>
        <w:t>Respondent</w:t>
      </w:r>
      <w:r>
        <w:rPr>
          <w:rFonts w:cs="Arial"/>
        </w:rPr>
        <w:t xml:space="preserve"> submitted that the decision in paragraph 34 of the decision that it would be unduly harsh for the children to remain in the United Kingdom without the </w:t>
      </w:r>
      <w:r w:rsidR="00EB4A6D">
        <w:rPr>
          <w:rFonts w:cs="Arial"/>
        </w:rPr>
        <w:t>Respondent</w:t>
      </w:r>
      <w:r>
        <w:rPr>
          <w:rFonts w:cs="Arial"/>
        </w:rPr>
        <w:t xml:space="preserve"> was supported by the First-tier Tribunal’s findings in paragraphs 22 – 24 and 33. </w:t>
      </w:r>
    </w:p>
    <w:p w:rsidR="00727FFD" w:rsidRDefault="00727FFD" w:rsidP="00727FFD">
      <w:pPr>
        <w:spacing w:line="360" w:lineRule="auto"/>
        <w:ind w:left="567" w:hanging="567"/>
        <w:jc w:val="both"/>
        <w:rPr>
          <w:rFonts w:cs="Arial"/>
        </w:rPr>
      </w:pPr>
    </w:p>
    <w:p w:rsidR="00727FFD" w:rsidRDefault="00727FFD" w:rsidP="00727FFD">
      <w:pPr>
        <w:spacing w:line="360" w:lineRule="auto"/>
        <w:ind w:left="567" w:hanging="567"/>
        <w:jc w:val="both"/>
        <w:rPr>
          <w:rFonts w:cs="Arial"/>
        </w:rPr>
      </w:pPr>
      <w:r>
        <w:rPr>
          <w:rFonts w:cs="Arial"/>
        </w:rPr>
        <w:t>1</w:t>
      </w:r>
      <w:r w:rsidR="00704F53">
        <w:rPr>
          <w:rFonts w:cs="Arial"/>
        </w:rPr>
        <w:t>3</w:t>
      </w:r>
      <w:r>
        <w:rPr>
          <w:rFonts w:cs="Arial"/>
        </w:rPr>
        <w:t>.</w:t>
      </w:r>
      <w:r>
        <w:rPr>
          <w:rFonts w:cs="Arial"/>
        </w:rPr>
        <w:tab/>
      </w:r>
      <w:r w:rsidR="00704F53">
        <w:rPr>
          <w:rFonts w:cs="Arial"/>
        </w:rPr>
        <w:t xml:space="preserve">However, it is clear from these paragraphs that the First-tier Tribunal Judge had not directed herself to </w:t>
      </w:r>
      <w:r>
        <w:rPr>
          <w:rFonts w:cs="Arial"/>
        </w:rPr>
        <w:t xml:space="preserve">the fact that paragraph 26 of </w:t>
      </w:r>
      <w:r>
        <w:rPr>
          <w:rFonts w:cs="Arial"/>
          <w:i/>
        </w:rPr>
        <w:t xml:space="preserve">MM (Uganda) v Secretary of State for the Home Department </w:t>
      </w:r>
      <w:r>
        <w:rPr>
          <w:rFonts w:cs="Arial"/>
        </w:rPr>
        <w:t xml:space="preserve">[2016] EWCA </w:t>
      </w:r>
      <w:proofErr w:type="spellStart"/>
      <w:r>
        <w:rPr>
          <w:rFonts w:cs="Arial"/>
        </w:rPr>
        <w:t>Civ</w:t>
      </w:r>
      <w:proofErr w:type="spellEnd"/>
      <w:r>
        <w:rPr>
          <w:rFonts w:cs="Arial"/>
        </w:rPr>
        <w:t xml:space="preserve"> 450 states that:</w:t>
      </w:r>
    </w:p>
    <w:p w:rsidR="00727FFD" w:rsidRDefault="00727FFD" w:rsidP="00530B1F">
      <w:pPr>
        <w:spacing w:before="120" w:after="120" w:line="360" w:lineRule="auto"/>
        <w:ind w:left="567" w:hanging="567"/>
        <w:jc w:val="both"/>
        <w:rPr>
          <w:rFonts w:cs="Arial"/>
        </w:rPr>
      </w:pPr>
      <w:r>
        <w:rPr>
          <w:rFonts w:cs="Arial"/>
        </w:rPr>
        <w:tab/>
        <w:t>“The expression “unduly harsh” in section 117</w:t>
      </w:r>
      <w:proofErr w:type="gramStart"/>
      <w:r>
        <w:rPr>
          <w:rFonts w:cs="Arial"/>
        </w:rPr>
        <w:t>C(</w:t>
      </w:r>
      <w:proofErr w:type="gramEnd"/>
      <w:r>
        <w:rPr>
          <w:rFonts w:cs="Arial"/>
        </w:rPr>
        <w:t>5) and Rules 399(a) and (b) requires regard to be had to all the circumstances including the criminal’s immigration and criminal history”.</w:t>
      </w:r>
    </w:p>
    <w:p w:rsidR="00727FFD" w:rsidRDefault="00727FFD" w:rsidP="00727FFD">
      <w:pPr>
        <w:spacing w:line="360" w:lineRule="auto"/>
        <w:ind w:left="567" w:hanging="567"/>
        <w:jc w:val="both"/>
        <w:rPr>
          <w:rFonts w:cs="Arial"/>
        </w:rPr>
      </w:pPr>
      <w:r>
        <w:rPr>
          <w:rFonts w:cs="Arial"/>
        </w:rPr>
        <w:t>1</w:t>
      </w:r>
      <w:r w:rsidR="00EB4A6D">
        <w:rPr>
          <w:rFonts w:cs="Arial"/>
        </w:rPr>
        <w:t>4</w:t>
      </w:r>
      <w:r>
        <w:rPr>
          <w:rFonts w:cs="Arial"/>
        </w:rPr>
        <w:t>.</w:t>
      </w:r>
      <w:r>
        <w:rPr>
          <w:rFonts w:cs="Arial"/>
        </w:rPr>
        <w:tab/>
        <w:t xml:space="preserve">At </w:t>
      </w:r>
      <w:r w:rsidR="00704F53">
        <w:rPr>
          <w:rFonts w:cs="Arial"/>
        </w:rPr>
        <w:t xml:space="preserve">most, at </w:t>
      </w:r>
      <w:r>
        <w:rPr>
          <w:rFonts w:cs="Arial"/>
        </w:rPr>
        <w:t>the end of paragraph 37 the First-tier Tribunal Judge found that:</w:t>
      </w:r>
    </w:p>
    <w:p w:rsidR="00727FFD" w:rsidRDefault="00727FFD" w:rsidP="00530B1F">
      <w:pPr>
        <w:spacing w:before="120" w:after="120" w:line="360" w:lineRule="auto"/>
        <w:ind w:left="567" w:hanging="567"/>
        <w:jc w:val="both"/>
        <w:rPr>
          <w:rFonts w:cs="Arial"/>
        </w:rPr>
      </w:pPr>
      <w:r>
        <w:rPr>
          <w:rFonts w:cs="Arial"/>
        </w:rPr>
        <w:tab/>
        <w:t xml:space="preserve">“I am satisfied that issues in respect of their education and accommodation if returned, together with the practical difficulties in terms of, amongst other things, the children’s settlement and whether the Appellant would be in a position to fully support them all in this particular context, </w:t>
      </w:r>
      <w:r>
        <w:rPr>
          <w:rFonts w:cs="Arial"/>
        </w:rPr>
        <w:lastRenderedPageBreak/>
        <w:t>would, in my view, make integration there extremely difficult and therefore outweigh the public interest in the deportation of the Appellant with his children”.</w:t>
      </w:r>
    </w:p>
    <w:p w:rsidR="00EE13E0" w:rsidRDefault="001C74AC" w:rsidP="00727FFD">
      <w:pPr>
        <w:spacing w:line="360" w:lineRule="auto"/>
        <w:ind w:left="567" w:hanging="567"/>
        <w:jc w:val="both"/>
        <w:rPr>
          <w:rFonts w:cs="Arial"/>
        </w:rPr>
      </w:pPr>
      <w:r>
        <w:rPr>
          <w:rFonts w:cs="Arial"/>
        </w:rPr>
        <w:t>1</w:t>
      </w:r>
      <w:r w:rsidR="00EB4A6D">
        <w:rPr>
          <w:rFonts w:cs="Arial"/>
        </w:rPr>
        <w:t>5</w:t>
      </w:r>
      <w:r>
        <w:rPr>
          <w:rFonts w:cs="Arial"/>
        </w:rPr>
        <w:t>.</w:t>
      </w:r>
      <w:r>
        <w:rPr>
          <w:rFonts w:cs="Arial"/>
        </w:rPr>
        <w:tab/>
        <w:t xml:space="preserve">This </w:t>
      </w:r>
      <w:r w:rsidR="00EE13E0">
        <w:rPr>
          <w:rFonts w:cs="Arial"/>
        </w:rPr>
        <w:t xml:space="preserve">indicates that the First-tier </w:t>
      </w:r>
      <w:r>
        <w:rPr>
          <w:rFonts w:cs="Arial"/>
        </w:rPr>
        <w:t xml:space="preserve">Tribunal Judge had </w:t>
      </w:r>
      <w:r w:rsidR="00EE13E0">
        <w:rPr>
          <w:rFonts w:cs="Arial"/>
        </w:rPr>
        <w:t xml:space="preserve">concluded her </w:t>
      </w:r>
      <w:r>
        <w:rPr>
          <w:rFonts w:cs="Arial"/>
        </w:rPr>
        <w:t xml:space="preserve">“unduly harsh” test before taking into account the </w:t>
      </w:r>
      <w:r w:rsidR="00EB4A6D">
        <w:rPr>
          <w:rFonts w:cs="Arial"/>
        </w:rPr>
        <w:t>Respondent</w:t>
      </w:r>
      <w:r>
        <w:rPr>
          <w:rFonts w:cs="Arial"/>
        </w:rPr>
        <w:t xml:space="preserve">’s criminality and immigration history. </w:t>
      </w:r>
      <w:r w:rsidR="00EE13E0">
        <w:rPr>
          <w:rFonts w:cs="Arial"/>
        </w:rPr>
        <w:t xml:space="preserve">There was a very brief reference to the </w:t>
      </w:r>
      <w:r w:rsidR="00EB4A6D">
        <w:rPr>
          <w:rFonts w:cs="Arial"/>
        </w:rPr>
        <w:t>Respondent</w:t>
      </w:r>
      <w:r w:rsidR="00EE13E0">
        <w:rPr>
          <w:rFonts w:cs="Arial"/>
        </w:rPr>
        <w:t xml:space="preserve">’s criminality in paragraph 38 of the decision where the First-tier Tribunal Judge said that she had “considered the nature and seriousness of the Appellant’s criminal behaviour in relation to the exceptions and also the time elapsed since the offence, the Appellant’s conduct during that period and the length of the Appellant’s stay in the country”.  However, this appears to be a more general reference to the proportionality test to be applied and does not indicate any focus on the part the criminality plays in the unduly harsh test. There is also no reference to the </w:t>
      </w:r>
      <w:r w:rsidR="00EB4A6D">
        <w:rPr>
          <w:rFonts w:cs="Arial"/>
        </w:rPr>
        <w:t>Respondent</w:t>
      </w:r>
      <w:r w:rsidR="00EE13E0">
        <w:rPr>
          <w:rFonts w:cs="Arial"/>
        </w:rPr>
        <w:t xml:space="preserve">’s lack of immigration status between 1993 and 2012. </w:t>
      </w:r>
    </w:p>
    <w:p w:rsidR="00EE13E0" w:rsidRDefault="00EE13E0" w:rsidP="00727FFD">
      <w:pPr>
        <w:spacing w:line="360" w:lineRule="auto"/>
        <w:ind w:left="567" w:hanging="567"/>
        <w:jc w:val="both"/>
        <w:rPr>
          <w:rFonts w:cs="Arial"/>
        </w:rPr>
      </w:pPr>
    </w:p>
    <w:p w:rsidR="00BC4F9B" w:rsidRDefault="00B45945" w:rsidP="002D56FD">
      <w:pPr>
        <w:spacing w:line="360" w:lineRule="auto"/>
        <w:ind w:left="567" w:hanging="567"/>
        <w:jc w:val="both"/>
        <w:rPr>
          <w:rFonts w:cs="Arial"/>
        </w:rPr>
      </w:pPr>
      <w:r>
        <w:rPr>
          <w:rFonts w:cs="Arial"/>
        </w:rPr>
        <w:t>1</w:t>
      </w:r>
      <w:r w:rsidR="00EB4A6D">
        <w:rPr>
          <w:rFonts w:cs="Arial"/>
        </w:rPr>
        <w:t>6</w:t>
      </w:r>
      <w:r>
        <w:rPr>
          <w:rFonts w:cs="Arial"/>
        </w:rPr>
        <w:t>.</w:t>
      </w:r>
      <w:r>
        <w:rPr>
          <w:rFonts w:cs="Arial"/>
        </w:rPr>
        <w:tab/>
        <w:t xml:space="preserve">This </w:t>
      </w:r>
      <w:r w:rsidR="009840B7">
        <w:rPr>
          <w:rFonts w:cs="Arial"/>
        </w:rPr>
        <w:t xml:space="preserve">omission </w:t>
      </w:r>
      <w:r>
        <w:rPr>
          <w:rFonts w:cs="Arial"/>
        </w:rPr>
        <w:t xml:space="preserve">is made explicit in paragraph 42 of the decision, where the First-tier Tribunal Judge failed to direct herself in relation to the decision in </w:t>
      </w:r>
      <w:r>
        <w:rPr>
          <w:rFonts w:cs="Arial"/>
          <w:i/>
        </w:rPr>
        <w:t xml:space="preserve">MM (Uganda) </w:t>
      </w:r>
      <w:r>
        <w:rPr>
          <w:rFonts w:cs="Arial"/>
        </w:rPr>
        <w:t>or apply its ratio.</w:t>
      </w:r>
    </w:p>
    <w:p w:rsidR="00B45945" w:rsidRDefault="00B45945" w:rsidP="002D56FD">
      <w:pPr>
        <w:spacing w:line="360" w:lineRule="auto"/>
        <w:ind w:left="567" w:hanging="567"/>
        <w:jc w:val="both"/>
        <w:rPr>
          <w:rFonts w:cs="Arial"/>
        </w:rPr>
      </w:pPr>
    </w:p>
    <w:p w:rsidR="00B45945" w:rsidRDefault="00B45945" w:rsidP="002D56FD">
      <w:pPr>
        <w:spacing w:line="360" w:lineRule="auto"/>
        <w:ind w:left="567" w:hanging="567"/>
        <w:jc w:val="both"/>
        <w:rPr>
          <w:rFonts w:cs="Arial"/>
        </w:rPr>
      </w:pPr>
      <w:r>
        <w:rPr>
          <w:rFonts w:cs="Arial"/>
        </w:rPr>
        <w:t>1</w:t>
      </w:r>
      <w:r w:rsidR="00EB4A6D">
        <w:rPr>
          <w:rFonts w:cs="Arial"/>
        </w:rPr>
        <w:t>7</w:t>
      </w:r>
      <w:r>
        <w:rPr>
          <w:rFonts w:cs="Arial"/>
        </w:rPr>
        <w:t>.</w:t>
      </w:r>
      <w:r>
        <w:rPr>
          <w:rFonts w:cs="Arial"/>
        </w:rPr>
        <w:tab/>
        <w:t>When applying the unduly harsh test the First-tier Tribunal Judge also failed to take into acco</w:t>
      </w:r>
      <w:r w:rsidR="00EB4A6D">
        <w:rPr>
          <w:rFonts w:cs="Arial"/>
        </w:rPr>
        <w:t xml:space="preserve">unt the definition of this test, </w:t>
      </w:r>
      <w:r>
        <w:rPr>
          <w:rFonts w:cs="Arial"/>
        </w:rPr>
        <w:t xml:space="preserve">which was formulated in </w:t>
      </w:r>
      <w:r>
        <w:rPr>
          <w:rFonts w:cs="Arial"/>
          <w:i/>
        </w:rPr>
        <w:t>MAB</w:t>
      </w:r>
      <w:r w:rsidR="00B9422C">
        <w:rPr>
          <w:rFonts w:cs="Arial"/>
          <w:i/>
        </w:rPr>
        <w:t xml:space="preserve"> (para 399; “unduly harsh”) USA </w:t>
      </w:r>
      <w:r w:rsidR="00B9422C">
        <w:rPr>
          <w:rFonts w:cs="Arial"/>
        </w:rPr>
        <w:t>[2015] UKUT 435 (IAC)</w:t>
      </w:r>
      <w:r>
        <w:rPr>
          <w:rFonts w:cs="Arial"/>
          <w:i/>
        </w:rPr>
        <w:t xml:space="preserve"> </w:t>
      </w:r>
      <w:r>
        <w:rPr>
          <w:rFonts w:cs="Arial"/>
        </w:rPr>
        <w:t xml:space="preserve">and followed in </w:t>
      </w:r>
      <w:r>
        <w:rPr>
          <w:rFonts w:cs="Arial"/>
          <w:i/>
        </w:rPr>
        <w:t>KMO</w:t>
      </w:r>
      <w:r w:rsidR="00B9422C">
        <w:rPr>
          <w:rFonts w:cs="Arial"/>
          <w:i/>
        </w:rPr>
        <w:t xml:space="preserve"> (section 117 – unduly harsh) Nigeria </w:t>
      </w:r>
      <w:r w:rsidR="00B9422C">
        <w:rPr>
          <w:rFonts w:cs="Arial"/>
        </w:rPr>
        <w:t>[2015] UKUT 543 (IAC)</w:t>
      </w:r>
      <w:r>
        <w:rPr>
          <w:rFonts w:cs="Arial"/>
          <w:i/>
        </w:rPr>
        <w:t xml:space="preserve">. </w:t>
      </w:r>
      <w:r>
        <w:rPr>
          <w:rFonts w:cs="Arial"/>
        </w:rPr>
        <w:t>In paragraph</w:t>
      </w:r>
      <w:r w:rsidR="00EB4A6D">
        <w:rPr>
          <w:rFonts w:cs="Arial"/>
        </w:rPr>
        <w:t xml:space="preserve"> 26 of </w:t>
      </w:r>
      <w:r w:rsidR="00EB4A6D">
        <w:rPr>
          <w:rFonts w:cs="Arial"/>
          <w:i/>
        </w:rPr>
        <w:t xml:space="preserve">KMO </w:t>
      </w:r>
      <w:r>
        <w:rPr>
          <w:rFonts w:cs="Arial"/>
        </w:rPr>
        <w:t>the Upper Tribunal found that:</w:t>
      </w:r>
    </w:p>
    <w:p w:rsidR="00B45945" w:rsidRDefault="00B45945" w:rsidP="00530B1F">
      <w:pPr>
        <w:spacing w:before="120" w:after="120" w:line="360" w:lineRule="auto"/>
        <w:ind w:left="567" w:hanging="567"/>
        <w:jc w:val="both"/>
        <w:rPr>
          <w:rFonts w:cs="Arial"/>
        </w:rPr>
      </w:pPr>
      <w:r>
        <w:rPr>
          <w:rFonts w:cs="Arial"/>
        </w:rPr>
        <w:tab/>
        <w:t>“</w:t>
      </w:r>
      <w:r w:rsidR="00EB4A6D">
        <w:rPr>
          <w:rFonts w:cs="Arial"/>
        </w:rPr>
        <w:t xml:space="preserve">Although, for these reasons, I respectfully depart from the approach advocated by the Tribunal in </w:t>
      </w:r>
      <w:r w:rsidR="00EB4A6D">
        <w:rPr>
          <w:rFonts w:cs="Arial"/>
          <w:i/>
        </w:rPr>
        <w:t xml:space="preserve">MAB </w:t>
      </w:r>
      <w:r w:rsidR="00EB4A6D">
        <w:rPr>
          <w:rFonts w:cs="Arial"/>
        </w:rPr>
        <w:t xml:space="preserve">I do adopt </w:t>
      </w:r>
      <w:r w:rsidR="00B9422C">
        <w:rPr>
          <w:rFonts w:cs="Arial"/>
        </w:rPr>
        <w:t>the other guidance offered by that decision:</w:t>
      </w:r>
    </w:p>
    <w:p w:rsidR="00B9422C" w:rsidRDefault="00B9422C" w:rsidP="00530B1F">
      <w:pPr>
        <w:spacing w:before="120" w:after="120" w:line="360" w:lineRule="auto"/>
        <w:ind w:left="1134" w:firstLine="6"/>
        <w:jc w:val="both"/>
        <w:rPr>
          <w:rFonts w:cs="Arial"/>
        </w:rPr>
      </w:pPr>
      <w:r>
        <w:rPr>
          <w:rFonts w:cs="Arial"/>
        </w:rPr>
        <w:t>“Whether the consequences of deportation will be “unduly harsh” for an individual involves more than “uncomfortable, inconvenient, undesirable, unwelcome or merely difficult and challenging” consequences and imposes a considerably more elevated or higher threshold.</w:t>
      </w:r>
    </w:p>
    <w:p w:rsidR="00B9422C" w:rsidRPr="00EB4A6D" w:rsidRDefault="00B9422C" w:rsidP="00530B1F">
      <w:pPr>
        <w:spacing w:before="120" w:after="120" w:line="360" w:lineRule="auto"/>
        <w:ind w:left="1134" w:firstLine="6"/>
        <w:jc w:val="both"/>
        <w:rPr>
          <w:rFonts w:cs="Arial"/>
        </w:rPr>
      </w:pPr>
      <w:r>
        <w:rPr>
          <w:rFonts w:cs="Arial"/>
        </w:rPr>
        <w:t>The consequences for an individual will be “harsh” if they are “severe” or “bleak” and they will be “unduly” so if they are “inordinately” or “excessively” harsh taking into account all of the circumstances of the individual”.</w:t>
      </w:r>
    </w:p>
    <w:p w:rsidR="00BC4F9B" w:rsidRDefault="009840B7" w:rsidP="002D56FD">
      <w:pPr>
        <w:spacing w:line="360" w:lineRule="auto"/>
        <w:ind w:left="567" w:hanging="567"/>
        <w:jc w:val="both"/>
        <w:rPr>
          <w:rFonts w:cs="Arial"/>
        </w:rPr>
      </w:pPr>
      <w:r>
        <w:rPr>
          <w:rFonts w:cs="Arial"/>
        </w:rPr>
        <w:t>1</w:t>
      </w:r>
      <w:r w:rsidR="00B9422C">
        <w:rPr>
          <w:rFonts w:cs="Arial"/>
        </w:rPr>
        <w:t>8</w:t>
      </w:r>
      <w:r w:rsidR="003817B4">
        <w:rPr>
          <w:rFonts w:cs="Arial"/>
        </w:rPr>
        <w:t>.</w:t>
      </w:r>
      <w:r w:rsidR="003817B4">
        <w:rPr>
          <w:rFonts w:cs="Arial"/>
        </w:rPr>
        <w:tab/>
        <w:t xml:space="preserve">In paragraph 40 </w:t>
      </w:r>
      <w:r>
        <w:rPr>
          <w:rFonts w:cs="Arial"/>
        </w:rPr>
        <w:t xml:space="preserve">of her decision </w:t>
      </w:r>
      <w:r w:rsidR="003817B4">
        <w:rPr>
          <w:rFonts w:cs="Arial"/>
        </w:rPr>
        <w:t>the First-tier Tribunal said that she was satisfied that the Appellant present</w:t>
      </w:r>
      <w:r>
        <w:rPr>
          <w:rFonts w:cs="Arial"/>
        </w:rPr>
        <w:t>ed</w:t>
      </w:r>
      <w:r w:rsidR="003817B4">
        <w:rPr>
          <w:rFonts w:cs="Arial"/>
        </w:rPr>
        <w:t xml:space="preserve"> as having a low risk of re-offending and relie</w:t>
      </w:r>
      <w:r>
        <w:rPr>
          <w:rFonts w:cs="Arial"/>
        </w:rPr>
        <w:t>d</w:t>
      </w:r>
      <w:r w:rsidR="003817B4">
        <w:rPr>
          <w:rFonts w:cs="Arial"/>
        </w:rPr>
        <w:t xml:space="preserve"> on his indication that his offence was a one-off for which he was truly sorry. When doing so she failed to take into account the fact that the Appellant had set up a company and a complicated scheme for the purpose of large scale fraud and that the counts on which he was convicted only represented a </w:t>
      </w:r>
      <w:r w:rsidR="003817B4">
        <w:rPr>
          <w:rFonts w:cs="Arial"/>
        </w:rPr>
        <w:lastRenderedPageBreak/>
        <w:t>small sample of his fraudulent behaviour. His Honour Judge Leeming noted “the carrying on the business in the way found involving what it does connotes something considerably wider than isolated instances of fraud”</w:t>
      </w:r>
      <w:r w:rsidR="002B3709">
        <w:rPr>
          <w:rFonts w:cs="Arial"/>
        </w:rPr>
        <w:t>.</w:t>
      </w:r>
    </w:p>
    <w:p w:rsidR="002B3709" w:rsidRDefault="002B3709" w:rsidP="002D56FD">
      <w:pPr>
        <w:spacing w:line="360" w:lineRule="auto"/>
        <w:ind w:left="567" w:hanging="567"/>
        <w:jc w:val="both"/>
        <w:rPr>
          <w:rFonts w:cs="Arial"/>
        </w:rPr>
      </w:pPr>
    </w:p>
    <w:p w:rsidR="002B3709" w:rsidRDefault="00B9422C" w:rsidP="002D56FD">
      <w:pPr>
        <w:spacing w:line="360" w:lineRule="auto"/>
        <w:ind w:left="567" w:hanging="567"/>
        <w:jc w:val="both"/>
        <w:rPr>
          <w:rFonts w:cs="Arial"/>
        </w:rPr>
      </w:pPr>
      <w:r>
        <w:rPr>
          <w:rFonts w:cs="Arial"/>
        </w:rPr>
        <w:t>19</w:t>
      </w:r>
      <w:r w:rsidR="002B3709">
        <w:rPr>
          <w:rFonts w:cs="Arial"/>
        </w:rPr>
        <w:t>.</w:t>
      </w:r>
      <w:r w:rsidR="002B3709">
        <w:rPr>
          <w:rFonts w:cs="Arial"/>
        </w:rPr>
        <w:tab/>
        <w:t xml:space="preserve">The First-tier Tribunal failed to deal explicitly with the finding at paragraph 2.11 of the OASys Assessment where it is said that the Appellant “had attempted to apportion the blame for these offences to all </w:t>
      </w:r>
      <w:proofErr w:type="gramStart"/>
      <w:r w:rsidR="002B3709">
        <w:rPr>
          <w:rFonts w:cs="Arial"/>
        </w:rPr>
        <w:t>parties</w:t>
      </w:r>
      <w:proofErr w:type="gramEnd"/>
      <w:r w:rsidR="002B3709">
        <w:rPr>
          <w:rFonts w:cs="Arial"/>
        </w:rPr>
        <w:t xml:space="preserve"> bar himself” or the fact that the Appellant had also been successfully prosecuted for fraud back in 1997. It was also noted in paragraph 12.8 that in “the sentencing PSR he would not accept responsibility and did not demonstrate any genuine empathy towards the victims”.</w:t>
      </w:r>
      <w:r w:rsidR="009840B7">
        <w:rPr>
          <w:rFonts w:cs="Arial"/>
        </w:rPr>
        <w:t xml:space="preserve"> This needed to be weighed in the balance with the remorse he expressed during his appeal against deportation. </w:t>
      </w:r>
    </w:p>
    <w:p w:rsidR="002B3709" w:rsidRDefault="002B3709" w:rsidP="002D56FD">
      <w:pPr>
        <w:spacing w:line="360" w:lineRule="auto"/>
        <w:ind w:left="567" w:hanging="567"/>
        <w:jc w:val="both"/>
        <w:rPr>
          <w:rFonts w:cs="Arial"/>
        </w:rPr>
      </w:pPr>
    </w:p>
    <w:p w:rsidR="00002FE6" w:rsidRPr="0068707D" w:rsidRDefault="0018739D" w:rsidP="002D56FD">
      <w:pPr>
        <w:spacing w:line="360" w:lineRule="auto"/>
        <w:ind w:left="567" w:hanging="567"/>
        <w:jc w:val="both"/>
        <w:rPr>
          <w:rFonts w:cs="Arial"/>
        </w:rPr>
      </w:pPr>
      <w:r>
        <w:rPr>
          <w:rFonts w:cs="Arial"/>
        </w:rPr>
        <w:t>2</w:t>
      </w:r>
      <w:r w:rsidR="00B9422C">
        <w:rPr>
          <w:rFonts w:cs="Arial"/>
        </w:rPr>
        <w:t>0</w:t>
      </w:r>
      <w:r w:rsidR="00002FE6">
        <w:rPr>
          <w:rFonts w:cs="Arial"/>
        </w:rPr>
        <w:t>.</w:t>
      </w:r>
      <w:r w:rsidR="00002FE6">
        <w:rPr>
          <w:rFonts w:cs="Arial"/>
        </w:rPr>
        <w:tab/>
        <w:t>As a consequence, the</w:t>
      </w:r>
      <w:r>
        <w:rPr>
          <w:rFonts w:cs="Arial"/>
        </w:rPr>
        <w:t xml:space="preserve">re were errors of law in First-tier Tribunal Judge Raikes’ </w:t>
      </w:r>
      <w:r w:rsidR="00002FE6">
        <w:rPr>
          <w:rFonts w:cs="Arial"/>
        </w:rPr>
        <w:t xml:space="preserve">decision. </w:t>
      </w:r>
    </w:p>
    <w:p w:rsidR="00B9422C" w:rsidRDefault="00B9422C" w:rsidP="00B478BC">
      <w:pPr>
        <w:spacing w:line="360" w:lineRule="auto"/>
        <w:ind w:left="567" w:hanging="567"/>
        <w:jc w:val="both"/>
        <w:rPr>
          <w:rFonts w:ascii="Book Antiqua" w:hAnsi="Book Antiqua" w:cs="Arial"/>
          <w:b/>
        </w:rPr>
      </w:pPr>
    </w:p>
    <w:p w:rsidR="003257CA" w:rsidRPr="00DC30E0" w:rsidRDefault="00B9422C" w:rsidP="00B478BC">
      <w:pPr>
        <w:spacing w:line="360" w:lineRule="auto"/>
        <w:ind w:left="567" w:hanging="567"/>
        <w:jc w:val="both"/>
        <w:rPr>
          <w:b/>
        </w:rPr>
      </w:pPr>
      <w:r w:rsidRPr="00DC30E0">
        <w:rPr>
          <w:b/>
        </w:rPr>
        <w:t>D</w:t>
      </w:r>
      <w:r w:rsidR="003257CA" w:rsidRPr="00DC30E0">
        <w:rPr>
          <w:b/>
        </w:rPr>
        <w:t xml:space="preserve">ECISION </w:t>
      </w:r>
    </w:p>
    <w:p w:rsidR="003257CA" w:rsidRPr="00DC30E0" w:rsidRDefault="003257CA" w:rsidP="00026E39">
      <w:pPr>
        <w:ind w:left="567" w:hanging="567"/>
        <w:jc w:val="both"/>
        <w:rPr>
          <w:b/>
        </w:rPr>
      </w:pPr>
    </w:p>
    <w:p w:rsidR="003257CA" w:rsidRPr="00DC30E0" w:rsidRDefault="003257CA" w:rsidP="00E25D2E">
      <w:pPr>
        <w:spacing w:line="360" w:lineRule="auto"/>
        <w:ind w:left="567" w:hanging="567"/>
        <w:jc w:val="both"/>
      </w:pPr>
      <w:r w:rsidRPr="00DC30E0">
        <w:t>(1)</w:t>
      </w:r>
      <w:r w:rsidRPr="00DC30E0">
        <w:tab/>
        <w:t>The Appellant’s appeal is allowed</w:t>
      </w:r>
      <w:r w:rsidR="006B2C82" w:rsidRPr="00DC30E0">
        <w:t>.</w:t>
      </w:r>
    </w:p>
    <w:p w:rsidR="00175141" w:rsidRPr="00DC30E0" w:rsidRDefault="00175141" w:rsidP="00E25D2E">
      <w:pPr>
        <w:spacing w:line="360" w:lineRule="auto"/>
        <w:ind w:left="567" w:hanging="567"/>
        <w:jc w:val="both"/>
      </w:pPr>
      <w:bookmarkStart w:id="0" w:name="_GoBack"/>
      <w:bookmarkEnd w:id="0"/>
    </w:p>
    <w:p w:rsidR="00175141" w:rsidRPr="00DC30E0" w:rsidRDefault="00175141" w:rsidP="00E25D2E">
      <w:pPr>
        <w:spacing w:line="360" w:lineRule="auto"/>
        <w:ind w:left="567" w:hanging="567"/>
        <w:jc w:val="both"/>
      </w:pPr>
      <w:r w:rsidRPr="00DC30E0">
        <w:t>(2)</w:t>
      </w:r>
      <w:r w:rsidRPr="00DC30E0">
        <w:tab/>
        <w:t>The decision of First-tier Tribunal Judge Raikes is set aside.</w:t>
      </w:r>
    </w:p>
    <w:p w:rsidR="003257CA" w:rsidRPr="00DC30E0" w:rsidRDefault="003257CA" w:rsidP="00E25D2E">
      <w:pPr>
        <w:spacing w:line="360" w:lineRule="auto"/>
        <w:ind w:left="567" w:hanging="567"/>
        <w:jc w:val="both"/>
      </w:pPr>
    </w:p>
    <w:p w:rsidR="003257CA" w:rsidRPr="00DC30E0" w:rsidRDefault="003257CA" w:rsidP="00026E39">
      <w:pPr>
        <w:ind w:left="567" w:hanging="567"/>
        <w:jc w:val="both"/>
      </w:pPr>
      <w:r w:rsidRPr="00DC30E0">
        <w:t>(2)</w:t>
      </w:r>
      <w:r w:rsidRPr="00DC30E0">
        <w:tab/>
      </w:r>
      <w:r w:rsidR="006B2C82" w:rsidRPr="00DC30E0">
        <w:t xml:space="preserve">The appeal is remitted to the First-tier Tribunal </w:t>
      </w:r>
      <w:r w:rsidR="00175141" w:rsidRPr="00DC30E0">
        <w:t xml:space="preserve">in Manchester </w:t>
      </w:r>
      <w:r w:rsidR="006B2C82" w:rsidRPr="00DC30E0">
        <w:t xml:space="preserve">to be heard </w:t>
      </w:r>
      <w:r w:rsidR="006B2C82" w:rsidRPr="00DC30E0">
        <w:rPr>
          <w:i/>
        </w:rPr>
        <w:t xml:space="preserve">de novo </w:t>
      </w:r>
      <w:r w:rsidR="006B2C82" w:rsidRPr="00DC30E0">
        <w:t xml:space="preserve">before a First-tier Tribunal Judge other than First-tier Tribunal Judge </w:t>
      </w:r>
      <w:r w:rsidR="0018739D" w:rsidRPr="00DC30E0">
        <w:t>Raikes</w:t>
      </w:r>
      <w:r w:rsidR="006B2C82" w:rsidRPr="00DC30E0">
        <w:t>.</w:t>
      </w:r>
      <w:r w:rsidRPr="00DC30E0">
        <w:t xml:space="preserve">   </w:t>
      </w:r>
    </w:p>
    <w:p w:rsidR="003257CA" w:rsidRPr="00DC30E0" w:rsidRDefault="003257CA" w:rsidP="00026E39">
      <w:pPr>
        <w:ind w:left="567" w:hanging="567"/>
        <w:jc w:val="both"/>
      </w:pPr>
    </w:p>
    <w:p w:rsidR="003257CA" w:rsidRDefault="003257CA" w:rsidP="00026E39">
      <w:pPr>
        <w:ind w:left="567" w:hanging="567"/>
        <w:jc w:val="both"/>
        <w:rPr>
          <w:rFonts w:ascii="Book Antiqua" w:hAnsi="Book Antiqua" w:cs="Arial"/>
        </w:rPr>
      </w:pPr>
    </w:p>
    <w:p w:rsidR="003257CA" w:rsidRDefault="003257CA" w:rsidP="00026E39">
      <w:pPr>
        <w:ind w:left="567" w:hanging="567"/>
        <w:jc w:val="both"/>
        <w:rPr>
          <w:rFonts w:ascii="Book Antiqua" w:hAnsi="Book Antiqua" w:cs="Arial"/>
        </w:rPr>
      </w:pPr>
    </w:p>
    <w:p w:rsidR="003257CA" w:rsidRPr="00725575" w:rsidRDefault="003257CA" w:rsidP="00026E39">
      <w:pPr>
        <w:jc w:val="both"/>
        <w:rPr>
          <w:rFonts w:ascii="Lucida Handwriting" w:hAnsi="Lucida Handwriting" w:cs="Arial"/>
          <w:sz w:val="40"/>
        </w:rPr>
      </w:pPr>
      <w:r>
        <w:rPr>
          <w:rFonts w:ascii="Lucida Handwriting" w:hAnsi="Lucida Handwriting" w:cs="Arial"/>
          <w:sz w:val="40"/>
        </w:rPr>
        <w:t>Nadine Finch</w:t>
      </w:r>
    </w:p>
    <w:p w:rsidR="003257CA" w:rsidRDefault="003257CA" w:rsidP="00026E39">
      <w:pPr>
        <w:jc w:val="both"/>
        <w:rPr>
          <w:rFonts w:ascii="Book Antiqua" w:hAnsi="Book Antiqua" w:cs="Arial"/>
        </w:rPr>
      </w:pPr>
    </w:p>
    <w:p w:rsidR="003257CA" w:rsidRPr="00DC30E0" w:rsidRDefault="003257CA" w:rsidP="00847259">
      <w:pPr>
        <w:jc w:val="both"/>
      </w:pPr>
      <w:r w:rsidRPr="00DC30E0">
        <w:t>Signed</w:t>
      </w:r>
      <w:r w:rsidRPr="00DC30E0">
        <w:tab/>
      </w:r>
      <w:r w:rsidRPr="00DC30E0">
        <w:tab/>
      </w:r>
      <w:r w:rsidRPr="00DC30E0">
        <w:tab/>
      </w:r>
      <w:r w:rsidRPr="00DC30E0">
        <w:tab/>
      </w:r>
      <w:r w:rsidRPr="00DC30E0">
        <w:tab/>
      </w:r>
      <w:r w:rsidRPr="00DC30E0">
        <w:tab/>
      </w:r>
      <w:r w:rsidRPr="00DC30E0">
        <w:tab/>
      </w:r>
      <w:r w:rsidRPr="00DC30E0">
        <w:tab/>
        <w:t xml:space="preserve">Date </w:t>
      </w:r>
      <w:r w:rsidR="007B3613" w:rsidRPr="00DC30E0">
        <w:t>30 July</w:t>
      </w:r>
      <w:r w:rsidRPr="00DC30E0">
        <w:t xml:space="preserve"> 2018</w:t>
      </w:r>
    </w:p>
    <w:p w:rsidR="00530B1F" w:rsidRPr="00DC30E0" w:rsidRDefault="00530B1F" w:rsidP="00847259">
      <w:pPr>
        <w:jc w:val="both"/>
        <w:rPr>
          <w:color w:val="000000"/>
        </w:rPr>
      </w:pPr>
    </w:p>
    <w:p w:rsidR="003257CA" w:rsidRPr="00DC30E0" w:rsidRDefault="003257CA" w:rsidP="00847259">
      <w:pPr>
        <w:jc w:val="both"/>
        <w:rPr>
          <w:color w:val="000000"/>
        </w:rPr>
      </w:pPr>
      <w:r w:rsidRPr="00DC30E0">
        <w:rPr>
          <w:color w:val="000000"/>
        </w:rPr>
        <w:t xml:space="preserve">Upper Tribunal Judge Finch </w:t>
      </w:r>
    </w:p>
    <w:p w:rsidR="003257CA" w:rsidRDefault="003257CA" w:rsidP="00847259">
      <w:pPr>
        <w:jc w:val="both"/>
        <w:rPr>
          <w:rFonts w:ascii="Book Antiqua" w:hAnsi="Book Antiqua" w:cs="Arial"/>
          <w:color w:val="000000"/>
        </w:rPr>
      </w:pPr>
    </w:p>
    <w:sectPr w:rsidR="003257CA" w:rsidSect="00585F72">
      <w:headerReference w:type="default" r:id="rId8"/>
      <w:footerReference w:type="default" r:id="rId9"/>
      <w:footerReference w:type="first" r:id="rId10"/>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307" w:rsidRDefault="00256307">
      <w:r>
        <w:separator/>
      </w:r>
    </w:p>
  </w:endnote>
  <w:endnote w:type="continuationSeparator" w:id="0">
    <w:p w:rsidR="00256307" w:rsidRDefault="00256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058367279"/>
      <w:docPartObj>
        <w:docPartGallery w:val="Page Numbers (Bottom of Page)"/>
        <w:docPartUnique/>
      </w:docPartObj>
    </w:sdtPr>
    <w:sdtEndPr>
      <w:rPr>
        <w:rFonts w:ascii="Times New Roman" w:hAnsi="Times New Roman"/>
        <w:noProof/>
        <w:sz w:val="24"/>
        <w:szCs w:val="24"/>
      </w:rPr>
    </w:sdtEndPr>
    <w:sdtContent>
      <w:p w:rsidR="00530B1F" w:rsidRPr="00863FF0" w:rsidRDefault="00530B1F">
        <w:pPr>
          <w:pStyle w:val="Footer"/>
          <w:jc w:val="center"/>
        </w:pPr>
        <w:r w:rsidRPr="00863FF0">
          <w:fldChar w:fldCharType="begin"/>
        </w:r>
        <w:r w:rsidRPr="00863FF0">
          <w:instrText xml:space="preserve"> PAGE   \* MERGEFORMAT </w:instrText>
        </w:r>
        <w:r w:rsidRPr="00863FF0">
          <w:fldChar w:fldCharType="separate"/>
        </w:r>
        <w:r w:rsidR="00E76DB2">
          <w:rPr>
            <w:noProof/>
          </w:rPr>
          <w:t>6</w:t>
        </w:r>
        <w:r w:rsidRPr="00863FF0">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863FF0" w:rsidRDefault="003257CA" w:rsidP="00A82254">
    <w:pPr>
      <w:jc w:val="center"/>
      <w:rPr>
        <w:b/>
      </w:rPr>
    </w:pPr>
    <w:r w:rsidRPr="00863FF0">
      <w:rPr>
        <w:b/>
        <w:spacing w:val="-6"/>
      </w:rPr>
      <w:t>©</w:t>
    </w:r>
    <w:r w:rsidR="00C94861" w:rsidRPr="00863FF0">
      <w:rPr>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307" w:rsidRDefault="00256307">
      <w:r>
        <w:separator/>
      </w:r>
    </w:p>
  </w:footnote>
  <w:footnote w:type="continuationSeparator" w:id="0">
    <w:p w:rsidR="00256307" w:rsidRDefault="00256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Default="00530B1F" w:rsidP="00530B1F">
    <w:pPr>
      <w:tabs>
        <w:tab w:val="right" w:pos="9638"/>
      </w:tabs>
      <w:rPr>
        <w:color w:val="000000"/>
        <w:sz w:val="16"/>
        <w:szCs w:val="16"/>
      </w:rPr>
    </w:pPr>
    <w:r>
      <w:rPr>
        <w:rFonts w:ascii="Book Antiqua" w:hAnsi="Book Antiqua" w:cs="Arial"/>
        <w:caps/>
        <w:color w:val="000000"/>
        <w:sz w:val="20"/>
        <w:szCs w:val="20"/>
      </w:rPr>
      <w:tab/>
    </w:r>
    <w:r w:rsidR="003257CA" w:rsidRPr="00863FF0">
      <w:rPr>
        <w:color w:val="000000"/>
        <w:sz w:val="16"/>
        <w:szCs w:val="16"/>
      </w:rPr>
      <w:t>Appeal Numbe</w:t>
    </w:r>
    <w:r w:rsidR="00CB6CFF" w:rsidRPr="00863FF0">
      <w:rPr>
        <w:color w:val="000000"/>
        <w:sz w:val="16"/>
        <w:szCs w:val="16"/>
      </w:rPr>
      <w:t>r</w:t>
    </w:r>
    <w:r w:rsidR="007B3613" w:rsidRPr="00863FF0">
      <w:rPr>
        <w:color w:val="000000"/>
        <w:sz w:val="16"/>
        <w:szCs w:val="16"/>
      </w:rPr>
      <w:t xml:space="preserve"> HU/04117/2018</w:t>
    </w:r>
  </w:p>
  <w:p w:rsidR="00863FF0" w:rsidRPr="00530B1F" w:rsidRDefault="00863FF0" w:rsidP="00530B1F">
    <w:pPr>
      <w:tabs>
        <w:tab w:val="right" w:pos="9638"/>
      </w:tabs>
      <w:rPr>
        <w:rFonts w:ascii="Book Antiqua" w:hAnsi="Book Antiqua"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4"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7"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3E7E"/>
    <w:rsid w:val="00005C5B"/>
    <w:rsid w:val="00011C5D"/>
    <w:rsid w:val="00013EFF"/>
    <w:rsid w:val="00014893"/>
    <w:rsid w:val="00016BC5"/>
    <w:rsid w:val="00025E48"/>
    <w:rsid w:val="00026E39"/>
    <w:rsid w:val="00033D3D"/>
    <w:rsid w:val="0003772C"/>
    <w:rsid w:val="00040A6C"/>
    <w:rsid w:val="000428C0"/>
    <w:rsid w:val="00045E7E"/>
    <w:rsid w:val="00046575"/>
    <w:rsid w:val="00052233"/>
    <w:rsid w:val="00062F02"/>
    <w:rsid w:val="00071A7E"/>
    <w:rsid w:val="000746C0"/>
    <w:rsid w:val="0007473F"/>
    <w:rsid w:val="000747FB"/>
    <w:rsid w:val="00074D1D"/>
    <w:rsid w:val="00081F3E"/>
    <w:rsid w:val="00087721"/>
    <w:rsid w:val="00092429"/>
    <w:rsid w:val="00092551"/>
    <w:rsid w:val="00092580"/>
    <w:rsid w:val="00093D4D"/>
    <w:rsid w:val="000A3D14"/>
    <w:rsid w:val="000A3F67"/>
    <w:rsid w:val="000A5B67"/>
    <w:rsid w:val="000B024E"/>
    <w:rsid w:val="000B0381"/>
    <w:rsid w:val="000B24F7"/>
    <w:rsid w:val="000B51C2"/>
    <w:rsid w:val="000B5402"/>
    <w:rsid w:val="000B6640"/>
    <w:rsid w:val="000C00D4"/>
    <w:rsid w:val="000C2CDE"/>
    <w:rsid w:val="000C3CB0"/>
    <w:rsid w:val="000C4CC2"/>
    <w:rsid w:val="000C7E4D"/>
    <w:rsid w:val="000D4BC9"/>
    <w:rsid w:val="000D5D94"/>
    <w:rsid w:val="000E3A77"/>
    <w:rsid w:val="000F1A0E"/>
    <w:rsid w:val="0010028C"/>
    <w:rsid w:val="00100617"/>
    <w:rsid w:val="001069F9"/>
    <w:rsid w:val="00106C24"/>
    <w:rsid w:val="001107AD"/>
    <w:rsid w:val="00111206"/>
    <w:rsid w:val="00111800"/>
    <w:rsid w:val="0011268F"/>
    <w:rsid w:val="0011302C"/>
    <w:rsid w:val="00114C50"/>
    <w:rsid w:val="001165A7"/>
    <w:rsid w:val="001168AD"/>
    <w:rsid w:val="00120A12"/>
    <w:rsid w:val="00121A51"/>
    <w:rsid w:val="001222AE"/>
    <w:rsid w:val="00124BCD"/>
    <w:rsid w:val="001263DC"/>
    <w:rsid w:val="00135190"/>
    <w:rsid w:val="001430C7"/>
    <w:rsid w:val="00144A8F"/>
    <w:rsid w:val="0014653D"/>
    <w:rsid w:val="00151509"/>
    <w:rsid w:val="001521D5"/>
    <w:rsid w:val="00161D7A"/>
    <w:rsid w:val="00162CB6"/>
    <w:rsid w:val="00166E37"/>
    <w:rsid w:val="00167D3A"/>
    <w:rsid w:val="00173946"/>
    <w:rsid w:val="00174D95"/>
    <w:rsid w:val="00175141"/>
    <w:rsid w:val="00176B08"/>
    <w:rsid w:val="00183704"/>
    <w:rsid w:val="0018739D"/>
    <w:rsid w:val="001971C8"/>
    <w:rsid w:val="001A19A9"/>
    <w:rsid w:val="001A2558"/>
    <w:rsid w:val="001A3082"/>
    <w:rsid w:val="001B091F"/>
    <w:rsid w:val="001B186A"/>
    <w:rsid w:val="001B2F75"/>
    <w:rsid w:val="001B5021"/>
    <w:rsid w:val="001B6A67"/>
    <w:rsid w:val="001B768F"/>
    <w:rsid w:val="001C4EB3"/>
    <w:rsid w:val="001C74AC"/>
    <w:rsid w:val="001F245E"/>
    <w:rsid w:val="001F2716"/>
    <w:rsid w:val="00200BD4"/>
    <w:rsid w:val="00203467"/>
    <w:rsid w:val="002035ED"/>
    <w:rsid w:val="00206D4A"/>
    <w:rsid w:val="00207617"/>
    <w:rsid w:val="0021618E"/>
    <w:rsid w:val="002165E3"/>
    <w:rsid w:val="00217865"/>
    <w:rsid w:val="00224D49"/>
    <w:rsid w:val="0023134B"/>
    <w:rsid w:val="002367B0"/>
    <w:rsid w:val="00236A9B"/>
    <w:rsid w:val="002376E5"/>
    <w:rsid w:val="00243EF7"/>
    <w:rsid w:val="00251979"/>
    <w:rsid w:val="00251A86"/>
    <w:rsid w:val="00253110"/>
    <w:rsid w:val="00253D70"/>
    <w:rsid w:val="002540F1"/>
    <w:rsid w:val="00254DBC"/>
    <w:rsid w:val="00256307"/>
    <w:rsid w:val="00256EEF"/>
    <w:rsid w:val="002630D9"/>
    <w:rsid w:val="00264D85"/>
    <w:rsid w:val="00266099"/>
    <w:rsid w:val="00267EBB"/>
    <w:rsid w:val="00271A88"/>
    <w:rsid w:val="002809C0"/>
    <w:rsid w:val="00283659"/>
    <w:rsid w:val="00287C9C"/>
    <w:rsid w:val="002946D1"/>
    <w:rsid w:val="002A5013"/>
    <w:rsid w:val="002A78E2"/>
    <w:rsid w:val="002B342D"/>
    <w:rsid w:val="002B3709"/>
    <w:rsid w:val="002C54A7"/>
    <w:rsid w:val="002C6BD4"/>
    <w:rsid w:val="002D083B"/>
    <w:rsid w:val="002D0E6D"/>
    <w:rsid w:val="002D56FD"/>
    <w:rsid w:val="002D68BF"/>
    <w:rsid w:val="002D6C34"/>
    <w:rsid w:val="002E7EA9"/>
    <w:rsid w:val="002F0F14"/>
    <w:rsid w:val="002F6B98"/>
    <w:rsid w:val="002F7BBB"/>
    <w:rsid w:val="00300D36"/>
    <w:rsid w:val="00300EFA"/>
    <w:rsid w:val="00303BAF"/>
    <w:rsid w:val="00321375"/>
    <w:rsid w:val="00322667"/>
    <w:rsid w:val="003257CA"/>
    <w:rsid w:val="003343B2"/>
    <w:rsid w:val="00335737"/>
    <w:rsid w:val="00336CBF"/>
    <w:rsid w:val="00343FE3"/>
    <w:rsid w:val="0034796B"/>
    <w:rsid w:val="00353B0E"/>
    <w:rsid w:val="003546C8"/>
    <w:rsid w:val="003626A1"/>
    <w:rsid w:val="00363410"/>
    <w:rsid w:val="0037519F"/>
    <w:rsid w:val="00376618"/>
    <w:rsid w:val="00376763"/>
    <w:rsid w:val="003817B4"/>
    <w:rsid w:val="00384748"/>
    <w:rsid w:val="003863F7"/>
    <w:rsid w:val="00390A01"/>
    <w:rsid w:val="00394E67"/>
    <w:rsid w:val="00395C30"/>
    <w:rsid w:val="003A0375"/>
    <w:rsid w:val="003A7CF2"/>
    <w:rsid w:val="003C5CE5"/>
    <w:rsid w:val="003D3F1E"/>
    <w:rsid w:val="003D461D"/>
    <w:rsid w:val="003D549E"/>
    <w:rsid w:val="003E267B"/>
    <w:rsid w:val="003E3C30"/>
    <w:rsid w:val="003E7CC8"/>
    <w:rsid w:val="003E7CD1"/>
    <w:rsid w:val="003F4C61"/>
    <w:rsid w:val="00401DA1"/>
    <w:rsid w:val="00402B9E"/>
    <w:rsid w:val="00404B61"/>
    <w:rsid w:val="00415CC5"/>
    <w:rsid w:val="00420216"/>
    <w:rsid w:val="004249CB"/>
    <w:rsid w:val="00431935"/>
    <w:rsid w:val="00433ABB"/>
    <w:rsid w:val="0044127D"/>
    <w:rsid w:val="00443BB9"/>
    <w:rsid w:val="00444316"/>
    <w:rsid w:val="004448DB"/>
    <w:rsid w:val="004458F2"/>
    <w:rsid w:val="00446305"/>
    <w:rsid w:val="00446C9A"/>
    <w:rsid w:val="00447988"/>
    <w:rsid w:val="00451B2C"/>
    <w:rsid w:val="00451D01"/>
    <w:rsid w:val="00452F2B"/>
    <w:rsid w:val="0046060F"/>
    <w:rsid w:val="00464DE1"/>
    <w:rsid w:val="004672C1"/>
    <w:rsid w:val="00471E3C"/>
    <w:rsid w:val="00473BE7"/>
    <w:rsid w:val="00477193"/>
    <w:rsid w:val="00484940"/>
    <w:rsid w:val="004931D1"/>
    <w:rsid w:val="004A00B4"/>
    <w:rsid w:val="004A1848"/>
    <w:rsid w:val="004A1985"/>
    <w:rsid w:val="004A34EE"/>
    <w:rsid w:val="004A6F4A"/>
    <w:rsid w:val="004B2449"/>
    <w:rsid w:val="004B5275"/>
    <w:rsid w:val="004B66BF"/>
    <w:rsid w:val="004B7E8C"/>
    <w:rsid w:val="004C1D93"/>
    <w:rsid w:val="004C5D11"/>
    <w:rsid w:val="004C6EC3"/>
    <w:rsid w:val="004E1E3A"/>
    <w:rsid w:val="004E4717"/>
    <w:rsid w:val="004F3592"/>
    <w:rsid w:val="004F55F8"/>
    <w:rsid w:val="004F672C"/>
    <w:rsid w:val="004F74EC"/>
    <w:rsid w:val="005016E0"/>
    <w:rsid w:val="0050334D"/>
    <w:rsid w:val="0050388A"/>
    <w:rsid w:val="00507FEC"/>
    <w:rsid w:val="00510339"/>
    <w:rsid w:val="00510F0E"/>
    <w:rsid w:val="00511050"/>
    <w:rsid w:val="0051653A"/>
    <w:rsid w:val="00516A49"/>
    <w:rsid w:val="005171BD"/>
    <w:rsid w:val="00530B1F"/>
    <w:rsid w:val="00537E50"/>
    <w:rsid w:val="005420FD"/>
    <w:rsid w:val="00543D39"/>
    <w:rsid w:val="00547222"/>
    <w:rsid w:val="005473D4"/>
    <w:rsid w:val="005479E1"/>
    <w:rsid w:val="00553E0A"/>
    <w:rsid w:val="00556B0D"/>
    <w:rsid w:val="005570FD"/>
    <w:rsid w:val="005575EA"/>
    <w:rsid w:val="005611D9"/>
    <w:rsid w:val="005630AD"/>
    <w:rsid w:val="0056365B"/>
    <w:rsid w:val="00563CFD"/>
    <w:rsid w:val="00565359"/>
    <w:rsid w:val="005661A7"/>
    <w:rsid w:val="0056624B"/>
    <w:rsid w:val="00571979"/>
    <w:rsid w:val="0057790C"/>
    <w:rsid w:val="00585F72"/>
    <w:rsid w:val="00590558"/>
    <w:rsid w:val="00593795"/>
    <w:rsid w:val="00595102"/>
    <w:rsid w:val="00596130"/>
    <w:rsid w:val="005A11EA"/>
    <w:rsid w:val="005A6895"/>
    <w:rsid w:val="005A75FF"/>
    <w:rsid w:val="005B7413"/>
    <w:rsid w:val="005C2B9C"/>
    <w:rsid w:val="005C720F"/>
    <w:rsid w:val="005D0062"/>
    <w:rsid w:val="005D10AB"/>
    <w:rsid w:val="005D603D"/>
    <w:rsid w:val="005E34E2"/>
    <w:rsid w:val="005E3B61"/>
    <w:rsid w:val="005E64E1"/>
    <w:rsid w:val="005F3EB4"/>
    <w:rsid w:val="005F7557"/>
    <w:rsid w:val="00601D8F"/>
    <w:rsid w:val="00602C67"/>
    <w:rsid w:val="00602FB3"/>
    <w:rsid w:val="0060435A"/>
    <w:rsid w:val="00604A30"/>
    <w:rsid w:val="00606611"/>
    <w:rsid w:val="00610B20"/>
    <w:rsid w:val="0062078F"/>
    <w:rsid w:val="00627B05"/>
    <w:rsid w:val="0063325D"/>
    <w:rsid w:val="00636BB7"/>
    <w:rsid w:val="006408F7"/>
    <w:rsid w:val="00643D0C"/>
    <w:rsid w:val="00643F31"/>
    <w:rsid w:val="00646D54"/>
    <w:rsid w:val="006479DD"/>
    <w:rsid w:val="00652381"/>
    <w:rsid w:val="00653E97"/>
    <w:rsid w:val="006705BC"/>
    <w:rsid w:val="00672884"/>
    <w:rsid w:val="00681052"/>
    <w:rsid w:val="00684A74"/>
    <w:rsid w:val="0068707D"/>
    <w:rsid w:val="00690B8A"/>
    <w:rsid w:val="00693BA8"/>
    <w:rsid w:val="006B2C82"/>
    <w:rsid w:val="006B3E15"/>
    <w:rsid w:val="006C0A52"/>
    <w:rsid w:val="006C2275"/>
    <w:rsid w:val="006C5055"/>
    <w:rsid w:val="006C7066"/>
    <w:rsid w:val="006D091B"/>
    <w:rsid w:val="006E47C4"/>
    <w:rsid w:val="006F2CF1"/>
    <w:rsid w:val="006F73F1"/>
    <w:rsid w:val="00701A03"/>
    <w:rsid w:val="00702792"/>
    <w:rsid w:val="00702B91"/>
    <w:rsid w:val="00703184"/>
    <w:rsid w:val="007038ED"/>
    <w:rsid w:val="00703BC3"/>
    <w:rsid w:val="00704B61"/>
    <w:rsid w:val="00704F53"/>
    <w:rsid w:val="00705AFB"/>
    <w:rsid w:val="00724968"/>
    <w:rsid w:val="00725575"/>
    <w:rsid w:val="007276FF"/>
    <w:rsid w:val="00727FFD"/>
    <w:rsid w:val="007326A3"/>
    <w:rsid w:val="00736820"/>
    <w:rsid w:val="00744073"/>
    <w:rsid w:val="00745C27"/>
    <w:rsid w:val="00747519"/>
    <w:rsid w:val="007552A9"/>
    <w:rsid w:val="00761858"/>
    <w:rsid w:val="00767019"/>
    <w:rsid w:val="00767D59"/>
    <w:rsid w:val="00772B71"/>
    <w:rsid w:val="007736D2"/>
    <w:rsid w:val="00776E97"/>
    <w:rsid w:val="00780F86"/>
    <w:rsid w:val="00782593"/>
    <w:rsid w:val="007827A0"/>
    <w:rsid w:val="00787AC3"/>
    <w:rsid w:val="007912AD"/>
    <w:rsid w:val="0079216A"/>
    <w:rsid w:val="007A0794"/>
    <w:rsid w:val="007A5C26"/>
    <w:rsid w:val="007B0824"/>
    <w:rsid w:val="007B0DDF"/>
    <w:rsid w:val="007B2BD6"/>
    <w:rsid w:val="007B3613"/>
    <w:rsid w:val="007B4374"/>
    <w:rsid w:val="007B5330"/>
    <w:rsid w:val="007B5D3C"/>
    <w:rsid w:val="007C0095"/>
    <w:rsid w:val="007C6FA5"/>
    <w:rsid w:val="007D4375"/>
    <w:rsid w:val="007D63FF"/>
    <w:rsid w:val="007E2895"/>
    <w:rsid w:val="007E550A"/>
    <w:rsid w:val="007F2534"/>
    <w:rsid w:val="007F339D"/>
    <w:rsid w:val="00804815"/>
    <w:rsid w:val="00806A73"/>
    <w:rsid w:val="0080713D"/>
    <w:rsid w:val="008130CE"/>
    <w:rsid w:val="00813153"/>
    <w:rsid w:val="00821B72"/>
    <w:rsid w:val="00823EF2"/>
    <w:rsid w:val="00826B2A"/>
    <w:rsid w:val="00827025"/>
    <w:rsid w:val="008303B8"/>
    <w:rsid w:val="00830810"/>
    <w:rsid w:val="00831918"/>
    <w:rsid w:val="00831E27"/>
    <w:rsid w:val="00833D8D"/>
    <w:rsid w:val="00833DCE"/>
    <w:rsid w:val="00841072"/>
    <w:rsid w:val="00845B37"/>
    <w:rsid w:val="00847259"/>
    <w:rsid w:val="008478F6"/>
    <w:rsid w:val="008516F1"/>
    <w:rsid w:val="008537F9"/>
    <w:rsid w:val="00854534"/>
    <w:rsid w:val="00854894"/>
    <w:rsid w:val="008566D0"/>
    <w:rsid w:val="00863FF0"/>
    <w:rsid w:val="0086738E"/>
    <w:rsid w:val="00871063"/>
    <w:rsid w:val="00871D34"/>
    <w:rsid w:val="00874D45"/>
    <w:rsid w:val="0087528C"/>
    <w:rsid w:val="00877198"/>
    <w:rsid w:val="00881860"/>
    <w:rsid w:val="00891016"/>
    <w:rsid w:val="0089348F"/>
    <w:rsid w:val="0089553D"/>
    <w:rsid w:val="00897C8C"/>
    <w:rsid w:val="008A2695"/>
    <w:rsid w:val="008A7E3E"/>
    <w:rsid w:val="008B270C"/>
    <w:rsid w:val="008B2F0F"/>
    <w:rsid w:val="008B5078"/>
    <w:rsid w:val="008C12BC"/>
    <w:rsid w:val="008C3D3D"/>
    <w:rsid w:val="008D1135"/>
    <w:rsid w:val="008D4131"/>
    <w:rsid w:val="008E0286"/>
    <w:rsid w:val="008E7B93"/>
    <w:rsid w:val="008F1932"/>
    <w:rsid w:val="008F1BDC"/>
    <w:rsid w:val="008F48D0"/>
    <w:rsid w:val="008F4C67"/>
    <w:rsid w:val="008F6C0F"/>
    <w:rsid w:val="00901A46"/>
    <w:rsid w:val="00920EC0"/>
    <w:rsid w:val="00921062"/>
    <w:rsid w:val="00922444"/>
    <w:rsid w:val="009239B0"/>
    <w:rsid w:val="00924D93"/>
    <w:rsid w:val="009276B8"/>
    <w:rsid w:val="009324B2"/>
    <w:rsid w:val="00947565"/>
    <w:rsid w:val="00950F7D"/>
    <w:rsid w:val="009530C8"/>
    <w:rsid w:val="00953E15"/>
    <w:rsid w:val="00956C43"/>
    <w:rsid w:val="009604E6"/>
    <w:rsid w:val="00961434"/>
    <w:rsid w:val="009617A1"/>
    <w:rsid w:val="00963E6D"/>
    <w:rsid w:val="00963F7F"/>
    <w:rsid w:val="00965C3E"/>
    <w:rsid w:val="009722BC"/>
    <w:rsid w:val="009727A3"/>
    <w:rsid w:val="00974225"/>
    <w:rsid w:val="009771B1"/>
    <w:rsid w:val="00980665"/>
    <w:rsid w:val="009840B7"/>
    <w:rsid w:val="00984B68"/>
    <w:rsid w:val="00984E64"/>
    <w:rsid w:val="00987774"/>
    <w:rsid w:val="0099516E"/>
    <w:rsid w:val="009A11E8"/>
    <w:rsid w:val="009A244B"/>
    <w:rsid w:val="009A6060"/>
    <w:rsid w:val="009B0A37"/>
    <w:rsid w:val="009B443B"/>
    <w:rsid w:val="009B7433"/>
    <w:rsid w:val="009C0687"/>
    <w:rsid w:val="009D1EA3"/>
    <w:rsid w:val="009D341B"/>
    <w:rsid w:val="009E7D56"/>
    <w:rsid w:val="009F45F1"/>
    <w:rsid w:val="009F5220"/>
    <w:rsid w:val="009F6F01"/>
    <w:rsid w:val="009F7540"/>
    <w:rsid w:val="00A0236C"/>
    <w:rsid w:val="00A11735"/>
    <w:rsid w:val="00A11B3C"/>
    <w:rsid w:val="00A13119"/>
    <w:rsid w:val="00A15234"/>
    <w:rsid w:val="00A201AB"/>
    <w:rsid w:val="00A2642D"/>
    <w:rsid w:val="00A31C8B"/>
    <w:rsid w:val="00A32CD1"/>
    <w:rsid w:val="00A40BC5"/>
    <w:rsid w:val="00A46E02"/>
    <w:rsid w:val="00A509FA"/>
    <w:rsid w:val="00A53185"/>
    <w:rsid w:val="00A54BD6"/>
    <w:rsid w:val="00A564E3"/>
    <w:rsid w:val="00A575DA"/>
    <w:rsid w:val="00A57B5D"/>
    <w:rsid w:val="00A6017F"/>
    <w:rsid w:val="00A61FE2"/>
    <w:rsid w:val="00A6486B"/>
    <w:rsid w:val="00A659B5"/>
    <w:rsid w:val="00A743D3"/>
    <w:rsid w:val="00A759FF"/>
    <w:rsid w:val="00A75BCD"/>
    <w:rsid w:val="00A80595"/>
    <w:rsid w:val="00A82254"/>
    <w:rsid w:val="00A845DC"/>
    <w:rsid w:val="00A872EE"/>
    <w:rsid w:val="00A92942"/>
    <w:rsid w:val="00AA14AD"/>
    <w:rsid w:val="00AA557A"/>
    <w:rsid w:val="00AA708B"/>
    <w:rsid w:val="00AA77BE"/>
    <w:rsid w:val="00AB0C35"/>
    <w:rsid w:val="00AB20E4"/>
    <w:rsid w:val="00AC217A"/>
    <w:rsid w:val="00AC6CDD"/>
    <w:rsid w:val="00AD5231"/>
    <w:rsid w:val="00AD7BB2"/>
    <w:rsid w:val="00AE1861"/>
    <w:rsid w:val="00AE47FD"/>
    <w:rsid w:val="00AE6DDE"/>
    <w:rsid w:val="00AE7D0A"/>
    <w:rsid w:val="00AE7D4D"/>
    <w:rsid w:val="00AF6109"/>
    <w:rsid w:val="00B03D62"/>
    <w:rsid w:val="00B04B47"/>
    <w:rsid w:val="00B04BD3"/>
    <w:rsid w:val="00B14A0F"/>
    <w:rsid w:val="00B14DB5"/>
    <w:rsid w:val="00B23D2D"/>
    <w:rsid w:val="00B25CB9"/>
    <w:rsid w:val="00B26AA2"/>
    <w:rsid w:val="00B301AC"/>
    <w:rsid w:val="00B30647"/>
    <w:rsid w:val="00B34549"/>
    <w:rsid w:val="00B3524D"/>
    <w:rsid w:val="00B354CC"/>
    <w:rsid w:val="00B40F69"/>
    <w:rsid w:val="00B40FFF"/>
    <w:rsid w:val="00B45945"/>
    <w:rsid w:val="00B46616"/>
    <w:rsid w:val="00B478BC"/>
    <w:rsid w:val="00B50946"/>
    <w:rsid w:val="00B515A8"/>
    <w:rsid w:val="00B5248D"/>
    <w:rsid w:val="00B601E0"/>
    <w:rsid w:val="00B62149"/>
    <w:rsid w:val="00B7040A"/>
    <w:rsid w:val="00B73518"/>
    <w:rsid w:val="00B83391"/>
    <w:rsid w:val="00B84192"/>
    <w:rsid w:val="00B84A71"/>
    <w:rsid w:val="00B87C01"/>
    <w:rsid w:val="00B93154"/>
    <w:rsid w:val="00B9422C"/>
    <w:rsid w:val="00B95326"/>
    <w:rsid w:val="00B97CED"/>
    <w:rsid w:val="00BA295F"/>
    <w:rsid w:val="00BB5234"/>
    <w:rsid w:val="00BB7A60"/>
    <w:rsid w:val="00BB7C68"/>
    <w:rsid w:val="00BC042A"/>
    <w:rsid w:val="00BC4F9B"/>
    <w:rsid w:val="00BD4196"/>
    <w:rsid w:val="00BE0FBA"/>
    <w:rsid w:val="00BE10F9"/>
    <w:rsid w:val="00BE2D7D"/>
    <w:rsid w:val="00BE6E17"/>
    <w:rsid w:val="00BF023D"/>
    <w:rsid w:val="00BF0F1D"/>
    <w:rsid w:val="00BF21F8"/>
    <w:rsid w:val="00BF22CA"/>
    <w:rsid w:val="00BF23BB"/>
    <w:rsid w:val="00BF4F4A"/>
    <w:rsid w:val="00BF55CC"/>
    <w:rsid w:val="00BF66E5"/>
    <w:rsid w:val="00BF6E43"/>
    <w:rsid w:val="00C00C8D"/>
    <w:rsid w:val="00C027FD"/>
    <w:rsid w:val="00C06CD7"/>
    <w:rsid w:val="00C13AB5"/>
    <w:rsid w:val="00C15C10"/>
    <w:rsid w:val="00C17D15"/>
    <w:rsid w:val="00C222E1"/>
    <w:rsid w:val="00C26032"/>
    <w:rsid w:val="00C32F37"/>
    <w:rsid w:val="00C33454"/>
    <w:rsid w:val="00C345E1"/>
    <w:rsid w:val="00C355A8"/>
    <w:rsid w:val="00C43662"/>
    <w:rsid w:val="00C43BFD"/>
    <w:rsid w:val="00C53074"/>
    <w:rsid w:val="00C63FCE"/>
    <w:rsid w:val="00C74B35"/>
    <w:rsid w:val="00C87A30"/>
    <w:rsid w:val="00C942F8"/>
    <w:rsid w:val="00C94635"/>
    <w:rsid w:val="00C94861"/>
    <w:rsid w:val="00CA10DE"/>
    <w:rsid w:val="00CB4AB2"/>
    <w:rsid w:val="00CB5088"/>
    <w:rsid w:val="00CB575C"/>
    <w:rsid w:val="00CB5C75"/>
    <w:rsid w:val="00CB6CFF"/>
    <w:rsid w:val="00CB6E35"/>
    <w:rsid w:val="00CC295A"/>
    <w:rsid w:val="00CD3634"/>
    <w:rsid w:val="00CD3B1E"/>
    <w:rsid w:val="00CD3E3A"/>
    <w:rsid w:val="00CD58CE"/>
    <w:rsid w:val="00CD59AC"/>
    <w:rsid w:val="00CD643A"/>
    <w:rsid w:val="00CD7CCB"/>
    <w:rsid w:val="00CE1A46"/>
    <w:rsid w:val="00CE3602"/>
    <w:rsid w:val="00CF20B6"/>
    <w:rsid w:val="00D01A25"/>
    <w:rsid w:val="00D06C8C"/>
    <w:rsid w:val="00D11C22"/>
    <w:rsid w:val="00D20757"/>
    <w:rsid w:val="00D22636"/>
    <w:rsid w:val="00D27055"/>
    <w:rsid w:val="00D33AF2"/>
    <w:rsid w:val="00D3569D"/>
    <w:rsid w:val="00D40687"/>
    <w:rsid w:val="00D40FD9"/>
    <w:rsid w:val="00D42BE3"/>
    <w:rsid w:val="00D45631"/>
    <w:rsid w:val="00D53769"/>
    <w:rsid w:val="00D558B3"/>
    <w:rsid w:val="00D56507"/>
    <w:rsid w:val="00D576FD"/>
    <w:rsid w:val="00D57890"/>
    <w:rsid w:val="00D67C17"/>
    <w:rsid w:val="00D76EB4"/>
    <w:rsid w:val="00D80907"/>
    <w:rsid w:val="00D834A0"/>
    <w:rsid w:val="00D858C5"/>
    <w:rsid w:val="00D85C13"/>
    <w:rsid w:val="00D87AF7"/>
    <w:rsid w:val="00D9111A"/>
    <w:rsid w:val="00D91BE3"/>
    <w:rsid w:val="00D9291A"/>
    <w:rsid w:val="00D9445B"/>
    <w:rsid w:val="00D94AFC"/>
    <w:rsid w:val="00DA31CD"/>
    <w:rsid w:val="00DA7299"/>
    <w:rsid w:val="00DB032D"/>
    <w:rsid w:val="00DB0FA2"/>
    <w:rsid w:val="00DB2824"/>
    <w:rsid w:val="00DB4CF2"/>
    <w:rsid w:val="00DB6169"/>
    <w:rsid w:val="00DB70AE"/>
    <w:rsid w:val="00DC1BD4"/>
    <w:rsid w:val="00DC30E0"/>
    <w:rsid w:val="00DC39E7"/>
    <w:rsid w:val="00DC6179"/>
    <w:rsid w:val="00DC719A"/>
    <w:rsid w:val="00DD1BBC"/>
    <w:rsid w:val="00DD228A"/>
    <w:rsid w:val="00DD4868"/>
    <w:rsid w:val="00DD5071"/>
    <w:rsid w:val="00DD5C39"/>
    <w:rsid w:val="00DE5000"/>
    <w:rsid w:val="00DE6345"/>
    <w:rsid w:val="00DE7DB7"/>
    <w:rsid w:val="00DF01B2"/>
    <w:rsid w:val="00DF09E9"/>
    <w:rsid w:val="00DF0EC0"/>
    <w:rsid w:val="00DF7CE2"/>
    <w:rsid w:val="00E00973"/>
    <w:rsid w:val="00E00A0A"/>
    <w:rsid w:val="00E03875"/>
    <w:rsid w:val="00E066DE"/>
    <w:rsid w:val="00E07F57"/>
    <w:rsid w:val="00E142AF"/>
    <w:rsid w:val="00E14C03"/>
    <w:rsid w:val="00E17463"/>
    <w:rsid w:val="00E17E24"/>
    <w:rsid w:val="00E25182"/>
    <w:rsid w:val="00E25D2E"/>
    <w:rsid w:val="00E30683"/>
    <w:rsid w:val="00E453D8"/>
    <w:rsid w:val="00E47401"/>
    <w:rsid w:val="00E50BCE"/>
    <w:rsid w:val="00E51F18"/>
    <w:rsid w:val="00E52B70"/>
    <w:rsid w:val="00E574BF"/>
    <w:rsid w:val="00E57959"/>
    <w:rsid w:val="00E61292"/>
    <w:rsid w:val="00E61AB9"/>
    <w:rsid w:val="00E63C44"/>
    <w:rsid w:val="00E6703A"/>
    <w:rsid w:val="00E67616"/>
    <w:rsid w:val="00E75E86"/>
    <w:rsid w:val="00E76DB2"/>
    <w:rsid w:val="00E77C4D"/>
    <w:rsid w:val="00E81D01"/>
    <w:rsid w:val="00E83B41"/>
    <w:rsid w:val="00E841E4"/>
    <w:rsid w:val="00E845A5"/>
    <w:rsid w:val="00E848CE"/>
    <w:rsid w:val="00E85E57"/>
    <w:rsid w:val="00E95E09"/>
    <w:rsid w:val="00EA4A5B"/>
    <w:rsid w:val="00EA53CE"/>
    <w:rsid w:val="00EB4A6D"/>
    <w:rsid w:val="00EB5DB7"/>
    <w:rsid w:val="00EB5FC7"/>
    <w:rsid w:val="00EB71D2"/>
    <w:rsid w:val="00EB772A"/>
    <w:rsid w:val="00EC0100"/>
    <w:rsid w:val="00EC3926"/>
    <w:rsid w:val="00ED345E"/>
    <w:rsid w:val="00ED5594"/>
    <w:rsid w:val="00ED56AC"/>
    <w:rsid w:val="00ED5C52"/>
    <w:rsid w:val="00ED7C65"/>
    <w:rsid w:val="00EE13E0"/>
    <w:rsid w:val="00EE1E3E"/>
    <w:rsid w:val="00EE45D8"/>
    <w:rsid w:val="00EF488C"/>
    <w:rsid w:val="00EF49CF"/>
    <w:rsid w:val="00F040D9"/>
    <w:rsid w:val="00F115EC"/>
    <w:rsid w:val="00F15CE3"/>
    <w:rsid w:val="00F179F0"/>
    <w:rsid w:val="00F22EDA"/>
    <w:rsid w:val="00F246FD"/>
    <w:rsid w:val="00F301F6"/>
    <w:rsid w:val="00F34B59"/>
    <w:rsid w:val="00F41E63"/>
    <w:rsid w:val="00F563E7"/>
    <w:rsid w:val="00F63267"/>
    <w:rsid w:val="00F729E6"/>
    <w:rsid w:val="00F74FA7"/>
    <w:rsid w:val="00F75D7A"/>
    <w:rsid w:val="00F760DA"/>
    <w:rsid w:val="00F84B01"/>
    <w:rsid w:val="00F85BA0"/>
    <w:rsid w:val="00F97364"/>
    <w:rsid w:val="00FA040C"/>
    <w:rsid w:val="00FA1DB5"/>
    <w:rsid w:val="00FA608B"/>
    <w:rsid w:val="00FB05E3"/>
    <w:rsid w:val="00FB66A9"/>
    <w:rsid w:val="00FB6DB1"/>
    <w:rsid w:val="00FC244D"/>
    <w:rsid w:val="00FC4DDB"/>
    <w:rsid w:val="00FD3222"/>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4F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1914</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2018-08-23T15:10:00Z</dcterms:created>
  <dcterms:modified xsi:type="dcterms:W3CDTF">2018-08-23T15:10:00Z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